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86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March 31, 2014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6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334645</wp:posOffset>
            </wp:positionV>
            <wp:extent cx="124333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6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00"/>
          </w:cols>
          <w:pgMar w:left="240" w:top="233" w:right="25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ind w:right="180" w:firstLine="2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200" w:firstLine="162"/>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33" w:right="259" w:bottom="1440" w:gutter="0" w:footer="0" w:header="0"/>
          <w:type w:val="continuous"/>
        </w:sectPr>
      </w:pPr>
    </w:p>
    <w:p>
      <w:pPr>
        <w:spacing w:after="0" w:line="93"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00"/>
          </w:cols>
          <w:pgMar w:left="240" w:top="233" w:right="25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080"/>
          </w:cols>
          <w:pgMar w:left="240" w:top="233" w:right="25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May 5, 2014 there were 11,320,449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4"/>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gridSpan w:val="4"/>
          </w:tcPr>
          <w:p>
            <w:pPr>
              <w:jc w:val="right"/>
              <w:ind w:right="40"/>
              <w:spacing w:after="0"/>
              <w:rPr>
                <w:rFonts w:ascii="Arial" w:cs="Arial" w:eastAsia="Arial" w:hAnsi="Arial"/>
                <w:sz w:val="18"/>
                <w:szCs w:val="18"/>
                <w:color w:val="0000EE"/>
              </w:rPr>
            </w:pPr>
            <w:hyperlink w:anchor="page21">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FF"/>
                <w:w w:val="86"/>
              </w:rPr>
            </w:pPr>
            <w:hyperlink w:anchor="page30">
              <w:r>
                <w:rPr>
                  <w:rFonts w:ascii="Arial" w:cs="Arial" w:eastAsia="Arial" w:hAnsi="Arial"/>
                  <w:sz w:val="18"/>
                  <w:szCs w:val="18"/>
                  <w:b w:val="1"/>
                  <w:bCs w:val="1"/>
                  <w:i w:val="1"/>
                  <w:iCs w:val="1"/>
                  <w:color w:val="0000FF"/>
                  <w:w w:val="86"/>
                </w:rPr>
                <w:t>Quantitative and Qualitative Disclosures About Market Risk</w:t>
              </w:r>
            </w:hyperlink>
          </w:p>
        </w:tc>
        <w:tc>
          <w:tcPr>
            <w:tcW w:w="2220" w:type="dxa"/>
            <w:vAlign w:val="bottom"/>
            <w:gridSpan w:val="3"/>
          </w:tcPr>
          <w:p>
            <w:pPr>
              <w:spacing w:after="0"/>
              <w:rPr>
                <w:sz w:val="21"/>
                <w:szCs w:val="21"/>
                <w:color w:val="auto"/>
              </w:rPr>
            </w:pPr>
          </w:p>
        </w:tc>
        <w:tc>
          <w:tcPr>
            <w:tcW w:w="2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Controls and Procedures</w:t>
              </w:r>
            </w:hyperlink>
          </w:p>
        </w:tc>
        <w:tc>
          <w:tcPr>
            <w:tcW w:w="440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5"/>
          </w:tcPr>
          <w:p>
            <w:pPr>
              <w:jc w:val="center"/>
              <w:ind w:right="326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II—OTHER INFORMATION</w:t>
              </w:r>
            </w:hyperlink>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b w:val="1"/>
                <w:bCs w:val="1"/>
                <w:i w:val="1"/>
                <w:iCs w:val="1"/>
                <w:color w:val="0000FF"/>
                <w:w w:val="84"/>
              </w:rPr>
            </w:pPr>
            <w:hyperlink w:anchor="page31">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2"/>
          </w:tcPr>
          <w:p>
            <w:pPr>
              <w:spacing w:after="0"/>
              <w:rPr>
                <w:sz w:val="24"/>
                <w:szCs w:val="24"/>
                <w:color w:val="auto"/>
              </w:rPr>
            </w:pPr>
          </w:p>
        </w:tc>
        <w:tc>
          <w:tcPr>
            <w:tcW w:w="32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Risk Factors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2">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EE"/>
              </w:rPr>
            </w:pPr>
            <w:hyperlink w:anchor="page33">
              <w:r>
                <w:rPr>
                  <w:rFonts w:ascii="Arial" w:cs="Arial" w:eastAsia="Arial" w:hAnsi="Arial"/>
                  <w:sz w:val="18"/>
                  <w:szCs w:val="18"/>
                  <w:b w:val="1"/>
                  <w:bCs w:val="1"/>
                  <w:i w:val="1"/>
                  <w:iCs w:val="1"/>
                  <w:color w:val="0000EE"/>
                </w:rPr>
                <w:t>Other Information</w:t>
              </w:r>
            </w:hyperlink>
          </w:p>
        </w:tc>
        <w:tc>
          <w:tcPr>
            <w:tcW w:w="440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gridSpan w:val="3"/>
          </w:tcPr>
          <w:p>
            <w:pPr>
              <w:spacing w:after="0"/>
              <w:rPr>
                <w:rFonts w:ascii="Arial" w:cs="Arial" w:eastAsia="Arial" w:hAnsi="Arial"/>
                <w:sz w:val="18"/>
                <w:szCs w:val="18"/>
                <w:b w:val="1"/>
                <w:bCs w:val="1"/>
                <w:i w:val="1"/>
                <w:iCs w:val="1"/>
                <w:color w:val="0000FF"/>
              </w:rPr>
            </w:pPr>
            <w:hyperlink w:anchor="page33">
              <w:r>
                <w:rPr>
                  <w:rFonts w:ascii="Arial" w:cs="Arial" w:eastAsia="Arial" w:hAnsi="Arial"/>
                  <w:sz w:val="18"/>
                  <w:szCs w:val="18"/>
                  <w:b w:val="1"/>
                  <w:bCs w:val="1"/>
                  <w:i w:val="1"/>
                  <w:iCs w:val="1"/>
                  <w:color w:val="0000FF"/>
                </w:rPr>
                <w:t>Exhibits</w:t>
              </w:r>
            </w:hyperlink>
          </w:p>
        </w:tc>
        <w:tc>
          <w:tcPr>
            <w:tcW w:w="7480" w:type="dxa"/>
            <w:vAlign w:val="bottom"/>
            <w:gridSpan w:val="9"/>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181"/>
        </w:trPr>
        <w:tc>
          <w:tcPr>
            <w:tcW w:w="8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3"/>
          </w:tcPr>
          <w:p>
            <w:pPr>
              <w:jc w:val="right"/>
              <w:ind w:right="351"/>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r>
      <w:tr>
        <w:trPr>
          <w:trHeight w:val="25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40,036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28,080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27,449</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17,255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6,133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1,932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7,707</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1,028</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45,871</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28,326</w:t>
            </w:r>
          </w:p>
        </w:tc>
      </w:tr>
      <w:tr>
        <w:trPr>
          <w:trHeight w:val="237"/>
        </w:trPr>
        <w:tc>
          <w:tcPr>
            <w:tcW w:w="8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from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(5,834)</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r>
      <w:tr>
        <w:trPr>
          <w:trHeight w:val="237"/>
        </w:trPr>
        <w:tc>
          <w:tcPr>
            <w:tcW w:w="8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from sale of discontinued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Loss from operations of discontinued operations, net of tax</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(2,542)</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(2,444)</w:t>
            </w:r>
          </w:p>
        </w:tc>
      </w:tr>
      <w:tr>
        <w:trPr>
          <w:trHeight w:val="237"/>
        </w:trPr>
        <w:tc>
          <w:tcPr>
            <w:tcW w:w="8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(6,408)</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r>
      <w:tr>
        <w:trPr>
          <w:trHeight w:val="34"/>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11,142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10,967</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11,142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10,967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loss per share from discontinued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attributable to common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8320" w:type="dxa"/>
            <w:vAlign w:val="bottom"/>
            <w:shd w:val="clear" w:color="auto" w:fill="999999"/>
          </w:tcPr>
          <w:p>
            <w:pPr>
              <w:spacing w:after="0" w:line="20" w:lineRule="exact"/>
              <w:rPr>
                <w:sz w:val="1"/>
                <w:szCs w:val="1"/>
                <w:color w:val="auto"/>
              </w:rPr>
            </w:pPr>
          </w:p>
        </w:tc>
        <w:tc>
          <w:tcPr>
            <w:tcW w:w="300" w:type="dxa"/>
            <w:vAlign w:val="bottom"/>
            <w:shd w:val="clear" w:color="auto" w:fill="999999"/>
          </w:tcPr>
          <w:p>
            <w:pPr>
              <w:spacing w:after="0" w:line="20" w:lineRule="exact"/>
              <w:rPr>
                <w:sz w:val="1"/>
                <w:szCs w:val="1"/>
                <w:color w:val="auto"/>
              </w:rPr>
            </w:pPr>
          </w:p>
        </w:tc>
        <w:tc>
          <w:tcPr>
            <w:tcW w:w="1220" w:type="dxa"/>
            <w:vAlign w:val="bottom"/>
            <w:shd w:val="clear" w:color="auto" w:fill="999999"/>
          </w:tcPr>
          <w:p>
            <w:pPr>
              <w:spacing w:after="0" w:line="20" w:lineRule="exact"/>
              <w:rPr>
                <w:sz w:val="1"/>
                <w:szCs w:val="1"/>
                <w:color w:val="auto"/>
              </w:rPr>
            </w:pPr>
          </w:p>
        </w:tc>
        <w:tc>
          <w:tcPr>
            <w:tcW w:w="420" w:type="dxa"/>
            <w:vAlign w:val="bottom"/>
            <w:shd w:val="clear" w:color="auto" w:fill="999999"/>
          </w:tcPr>
          <w:p>
            <w:pPr>
              <w:spacing w:after="0" w:line="20" w:lineRule="exact"/>
              <w:rPr>
                <w:sz w:val="1"/>
                <w:szCs w:val="1"/>
                <w:color w:val="auto"/>
              </w:rPr>
            </w:pPr>
          </w:p>
        </w:tc>
        <w:tc>
          <w:tcPr>
            <w:tcW w:w="112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9"/>
              </w:rPr>
              <w:t>(Unaudited)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66"/>
        </w:trPr>
        <w:tc>
          <w:tcPr>
            <w:tcW w:w="8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89,499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91,667</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$544 and $408, respectively</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12,850</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521</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129,072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132,744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5,344</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10,684</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129</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149,215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152,644</w:t>
            </w:r>
          </w:p>
        </w:tc>
      </w:tr>
      <w:tr>
        <w:trPr>
          <w:trHeight w:val="24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23,265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14)</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31,905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32,004</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60,199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334</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254</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69,882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65,636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Preferred stock $.01 par value; authorized 5,000,000 shares; none issued or outstanding</w:t>
            </w: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stock $.01 par value; authorized 50,000,000 shares; issued 12,675,487 and 12,619,835 shares,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and outstanding 11,306,555 and 11,250,903 shares,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905,880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907,148</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(807,533)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Treasury stock 1,368,932 and 1,368,932 shares, respectively</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(12,733)</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87,008</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149,215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152,644</w:t>
            </w:r>
          </w:p>
        </w:tc>
      </w:tr>
      <w:tr>
        <w:trPr>
          <w:trHeight w:val="34"/>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7"/>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6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7"/>
              <w:spacing w:after="0"/>
              <w:rPr>
                <w:sz w:val="20"/>
                <w:szCs w:val="20"/>
                <w:color w:val="auto"/>
              </w:rPr>
            </w:pPr>
            <w:r>
              <w:rPr>
                <w:rFonts w:ascii="Arial" w:cs="Arial" w:eastAsia="Arial" w:hAnsi="Arial"/>
                <w:sz w:val="14"/>
                <w:szCs w:val="14"/>
                <w:b w:val="1"/>
                <w:bCs w:val="1"/>
                <w:i w:val="1"/>
                <w:iCs w:val="1"/>
                <w:color w:val="auto"/>
                <w:w w:val="87"/>
              </w:rPr>
              <w:t>(in thousands)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87,008</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12,620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907,148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(807,533)</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for the three months ended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March 31, 2014</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(6,408)</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(6,408)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1,618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Net-share settlement of stock-based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net of issuance of</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upon stock option</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(2,878)</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March 31,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79,333</w:t>
            </w:r>
          </w:p>
        </w:tc>
        <w:tc>
          <w:tcPr>
            <w:tcW w:w="126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b w:val="1"/>
                <w:bCs w:val="1"/>
                <w:color w:val="auto"/>
              </w:rPr>
              <w:t>12,675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905,880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(813,941)</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(6,408)</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(2,717)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574</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2,444</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(5,834)</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loss from continuing operations to net cash provided by (used in) operating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755</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4,520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658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244</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1,954</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386</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885</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(2,877)</w:t>
            </w: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(2,958)</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(1,829)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(6,288)</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(2,168)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91,667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80,190</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89,499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73,326</w:t>
            </w:r>
          </w:p>
        </w:tc>
      </w:tr>
      <w:tr>
        <w:trPr>
          <w:trHeight w:val="27"/>
        </w:trPr>
        <w:tc>
          <w:tcPr>
            <w:tcW w:w="8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Tree.com, Inc. ("Tree.com" or the "Company") is the parent of LendingTree, LLC, which owns several brands and businesses that provide information, tools, advice, products and services for critical transactions in consumers' lives. Its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InsuranceTree</w:t>
      </w:r>
      <w:r>
        <w:rPr>
          <w:rFonts w:ascii="Arial" w:cs="Arial" w:eastAsia="Arial" w:hAnsi="Arial"/>
          <w:sz w:val="12"/>
          <w:szCs w:val="12"/>
          <w:color w:val="auto"/>
        </w:rPr>
        <w:t>®</w:t>
      </w:r>
      <w:r>
        <w:rPr>
          <w:rFonts w:ascii="Arial" w:cs="Arial" w:eastAsia="Arial" w:hAnsi="Arial"/>
          <w:sz w:val="18"/>
          <w:szCs w:val="18"/>
          <w:color w:val="auto"/>
        </w:rPr>
        <w:t>. Together, these brands serve as an ally for consumers who are looking to comparison-shop for loans, education programs, home services providers and other services from multiple businesses and professionals that will compete for their business.</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Tree.com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businesses of RealEstate.com and RealEstate.com, REALTORS</w:t>
      </w:r>
      <w:r>
        <w:rPr>
          <w:rFonts w:ascii="Arial" w:cs="Arial" w:eastAsia="Arial" w:hAnsi="Arial"/>
          <w:sz w:val="12"/>
          <w:szCs w:val="12"/>
          <w:color w:val="auto"/>
        </w:rPr>
        <w:t>®</w:t>
      </w:r>
      <w:r>
        <w:rPr>
          <w:rFonts w:ascii="Arial" w:cs="Arial" w:eastAsia="Arial" w:hAnsi="Arial"/>
          <w:sz w:val="18"/>
          <w:szCs w:val="18"/>
          <w:color w:val="auto"/>
        </w:rPr>
        <w:t xml:space="preserve">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12"/>
          <w:szCs w:val="12"/>
          <w:color w:val="auto"/>
        </w:rPr>
        <w:t>®</w:t>
      </w:r>
      <w:r>
        <w:rPr>
          <w:rFonts w:ascii="Arial" w:cs="Arial" w:eastAsia="Arial" w:hAnsi="Arial"/>
          <w:sz w:val="18"/>
          <w:szCs w:val="18"/>
          <w:color w:val="auto"/>
        </w:rPr>
        <w:t>. The Company exited all markets in which it previously operated by March 31, 2011. In September 2011, the remaining assets of RealEstate.com were sold, which consisted primarily of internet domain names and trademarks, for $8.3 million and recognized a gain on sale of $7.8 million.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12, 2011, the Company entered into an asset purchase agreement with Discover Bank ("Discover"), a wholly-owned subsidiary of Discover Financial Services, as amended on February 7, 2012, for the sale of substantially all of the operating assets of its LendingTree Loans business. The sale was completed on June 6, 2012.</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and recognized as a gain from sale of discontinued operations in the second quarter of 2013.</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purchase price paid, as of March 31, 2014, $18.1 million is being held in escrow pending resolution of certain actual and/or contingent liabilities that remain with the Company following the sale. The escrowed amount is recorded as restricted cash at March 31, 2014.</w:t>
      </w:r>
    </w:p>
    <w:p>
      <w:pPr>
        <w:spacing w:after="0" w:line="3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Separate from the asset purchase agreement, Tree.com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network lender on the Company's mortgage exchange following completion of the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accompanying unaudited interim consolidated financial statements as of March 31, 2014 and for the three months ended March 31, 2014 and 2013, respectively, have been prepared in accordance with accounting principles generally accepted in the United States of America ("GAAP") for interim financial information and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months ended March 31, 2014 are not necessarily indicative of the results to be expected for the year ending December 31, 2014, or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period. The accompanying consolidated balance sheet as of December 31, 2013 was derived from audited financial statements included in our annual report on Form 10-K for the year ended December 31, 2013 (the "2013 Form 10-K"). These consolidated financial statements do not include all of the information and footnotes required by GAAP for annual financial statements. Accordingly, they should be read in conjunction with the audited financial statements and notes thereto included in the 2013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Tree.com's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Financial instruments, which potentially subject us to concentration of credit risk at March 31, 2014,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network.</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lender network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are no recently issued accounting pronouncements that were adopted during the quarter ended March 31, 2014 or that are expected to impact the Company's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surety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sale of LendingTree Loans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18,118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18,117</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for earnout related to an acquisition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1,956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 for loan loss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24,062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26,017</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2014, the Company reached and executed a settlement with the disputing party on the earnout related to an acquisition, upon which $2.0 million of cash previously held in escrow was released, of which $1.0 million was paid out to the disputing party. This settlement had no impact on the results of operations for the three months ended March 31, 2014.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542</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10,684</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3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(25,194)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w:t>
            </w:r>
          </w:p>
        </w:tc>
        <w:tc>
          <w:tcPr>
            <w:tcW w:w="3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(1,516)</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3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(33,115)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514</w:t>
            </w:r>
          </w:p>
        </w:tc>
        <w:tc>
          <w:tcPr>
            <w:tcW w:w="0" w:type="dxa"/>
            <w:vAlign w:val="bottom"/>
          </w:tcPr>
          <w:p>
            <w:pPr>
              <w:spacing w:after="0"/>
              <w:rPr>
                <w:sz w:val="1"/>
                <w:szCs w:val="1"/>
                <w:color w:val="auto"/>
              </w:rPr>
            </w:pPr>
          </w:p>
        </w:tc>
      </w:tr>
      <w:tr>
        <w:trPr>
          <w:trHeight w:val="459"/>
        </w:trPr>
        <w:tc>
          <w:tcPr>
            <w:tcW w:w="388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rPr>
              <w:t>9</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(25,194)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(6,166)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(1,515)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(33,087)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542</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2014,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Amortization Expense</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Year ending December 31, 2015</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5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2016</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5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216</w:t>
            </w:r>
          </w:p>
        </w:tc>
      </w:tr>
      <w:tr>
        <w:trPr>
          <w:trHeight w:val="27"/>
        </w:trPr>
        <w:tc>
          <w:tcPr>
            <w:tcW w:w="5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27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514</w:t>
            </w:r>
          </w:p>
        </w:tc>
      </w:tr>
      <w:tr>
        <w:trPr>
          <w:trHeight w:val="702"/>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5—PROPERTY AND EQUIPMENT</w:t>
            </w:r>
          </w:p>
        </w:tc>
        <w:tc>
          <w:tcPr>
            <w:tcW w:w="2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8"/>
        </w:trPr>
        <w:tc>
          <w:tcPr>
            <w:tcW w:w="5580" w:type="dxa"/>
            <w:vAlign w:val="bottom"/>
          </w:tcPr>
          <w:p>
            <w:pPr>
              <w:ind w:left="340"/>
              <w:spacing w:after="0"/>
              <w:rPr>
                <w:sz w:val="20"/>
                <w:szCs w:val="20"/>
                <w:color w:val="auto"/>
              </w:rPr>
            </w:pPr>
            <w:r>
              <w:rPr>
                <w:rFonts w:ascii="Arial" w:cs="Arial" w:eastAsia="Arial" w:hAnsi="Arial"/>
                <w:sz w:val="18"/>
                <w:szCs w:val="18"/>
                <w:color w:val="auto"/>
                <w:w w:val="90"/>
              </w:rPr>
              <w:t xml:space="preserve">The balance of property and equipment, net is as follows </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5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47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55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3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19,550</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2,096</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2,096</w:t>
            </w:r>
          </w:p>
        </w:tc>
      </w:tr>
      <w:tr>
        <w:trPr>
          <w:trHeight w:val="27"/>
        </w:trPr>
        <w:tc>
          <w:tcPr>
            <w:tcW w:w="5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Projects in progress</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1,740</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2,145</w:t>
            </w:r>
          </w:p>
        </w:tc>
      </w:tr>
      <w:tr>
        <w:trPr>
          <w:trHeight w:val="27"/>
        </w:trPr>
        <w:tc>
          <w:tcPr>
            <w:tcW w:w="5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24,415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23,352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(18,763)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(18,008)</w:t>
            </w:r>
          </w:p>
        </w:tc>
      </w:tr>
      <w:tr>
        <w:trPr>
          <w:trHeight w:val="27"/>
        </w:trPr>
        <w:tc>
          <w:tcPr>
            <w:tcW w:w="5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3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5,652</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5,344</w:t>
            </w:r>
          </w:p>
        </w:tc>
      </w:tr>
      <w:tr>
        <w:trPr>
          <w:trHeight w:val="675"/>
        </w:trPr>
        <w:tc>
          <w:tcPr>
            <w:tcW w:w="558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w w:val="99"/>
              </w:rPr>
              <w:t>10</w:t>
            </w: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2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12,560</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8,837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8,281</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1,806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restructuring costs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2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4,433</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4,279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3,936</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31,200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23,265</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additional $0.1 million and $0.2 million of accrued restructuring liability is classified in other long term liabilities on the consolidated balance sheets at March 31, 2014 and December 31, 2013,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basic and diluted earnings per share were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gridSpan w:val="2"/>
          </w:tcPr>
          <w:p>
            <w:pPr>
              <w:ind w:left="8940"/>
              <w:spacing w:after="0"/>
              <w:rPr>
                <w:sz w:val="20"/>
                <w:szCs w:val="20"/>
                <w:color w:val="auto"/>
              </w:rPr>
            </w:pPr>
            <w:r>
              <w:rPr>
                <w:rFonts w:ascii="Arial" w:cs="Arial" w:eastAsia="Arial" w:hAnsi="Arial"/>
                <w:sz w:val="14"/>
                <w:szCs w:val="14"/>
                <w:b w:val="1"/>
                <w:bCs w:val="1"/>
                <w:color w:val="auto"/>
                <w:w w:val="89"/>
              </w:rPr>
              <w:t>2014</w:t>
            </w:r>
          </w:p>
        </w:tc>
        <w:tc>
          <w:tcPr>
            <w:tcW w:w="880" w:type="dxa"/>
            <w:vAlign w:val="bottom"/>
          </w:tcPr>
          <w:p>
            <w:pPr>
              <w:spacing w:after="0"/>
              <w:rPr>
                <w:sz w:val="16"/>
                <w:szCs w:val="16"/>
                <w:color w:val="auto"/>
              </w:rPr>
            </w:pPr>
          </w:p>
        </w:tc>
        <w:tc>
          <w:tcPr>
            <w:tcW w:w="13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3"/>
              </w:rPr>
              <w:t>11,142</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10,967</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Effect of stock options</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9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8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3"/>
              </w:rPr>
              <w:t>11,142</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10,967</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2014 and 2013,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earnings per share amounts for these periods. For the three months ended March 31, 2014 and 2013, approximately 0.7 million and 0.7 million shares, respectively, related to potentially dilutive securities were excluded from the calculation of diluted earnings per share, because their inclusion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11, 2010, the board of directors authorized the repurchase of up to $10 million of Tree.com's common stock. During the three months ended March 31, 2014, the Company did not purchase any shares of its common stock pursuant to this stock repurchase program. At March 31, 2014, approximately $0.8 million remains authorized for share repurchase.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7, 2014, the board of directors authorized the repurchase of up to an additional $10 million of Tree.com's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Non-cash compensation expense related to equity awards is included in the following line items in the accompanying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1,061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 expense</w:t>
            </w:r>
          </w:p>
        </w:tc>
        <w:tc>
          <w:tcPr>
            <w:tcW w:w="1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1,616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1,433</w:t>
            </w:r>
          </w:p>
        </w:tc>
        <w:tc>
          <w:tcPr>
            <w:tcW w:w="0" w:type="dxa"/>
            <w:vAlign w:val="bottom"/>
          </w:tcPr>
          <w:p>
            <w:pPr>
              <w:spacing w:after="0"/>
              <w:rPr>
                <w:sz w:val="1"/>
                <w:szCs w:val="1"/>
                <w:color w:val="auto"/>
              </w:rPr>
            </w:pPr>
          </w:p>
        </w:tc>
      </w:tr>
      <w:tr>
        <w:trPr>
          <w:trHeight w:val="432"/>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Stock Options</w:t>
            </w:r>
          </w:p>
        </w:tc>
        <w:tc>
          <w:tcPr>
            <w:tcW w:w="1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vMerge w:val="restart"/>
          </w:tcPr>
          <w:p>
            <w:pPr>
              <w:jc w:val="center"/>
              <w:ind w:left="420"/>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1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jc w:val="center"/>
              <w:ind w:left="420"/>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1120" w:type="dxa"/>
            <w:vAlign w:val="bottom"/>
          </w:tcPr>
          <w:p>
            <w:pPr>
              <w:jc w:val="center"/>
              <w:ind w:lef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left="440"/>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4"/>
                <w:szCs w:val="14"/>
                <w:b w:val="1"/>
                <w:bCs w:val="1"/>
                <w:i w:val="1"/>
                <w:iCs w:val="1"/>
                <w:color w:val="auto"/>
                <w:w w:val="89"/>
              </w:rPr>
              <w:t>(per option)</w:t>
            </w: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340" w:type="dxa"/>
            <w:vAlign w:val="bottom"/>
          </w:tcPr>
          <w:p>
            <w:pPr>
              <w:spacing w:after="0"/>
              <w:rPr>
                <w:sz w:val="16"/>
                <w:szCs w:val="16"/>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2014</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1,038,999</w:t>
            </w:r>
          </w:p>
        </w:tc>
        <w:tc>
          <w:tcPr>
            <w:tcW w:w="11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1"/>
              </w:rPr>
              <w:t>8.98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42,757</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33.59</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0.47</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2014</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1,079,054</w:t>
            </w:r>
          </w:p>
        </w:tc>
        <w:tc>
          <w:tcPr>
            <w:tcW w:w="1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9.95</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22,865</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2014</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935,005</w:t>
            </w:r>
          </w:p>
        </w:tc>
        <w:tc>
          <w:tcPr>
            <w:tcW w:w="11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1"/>
              </w:rPr>
              <w:t>9.23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20,394</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$31.04 on the last trading day of the quarter ended March 31, 2014 and the exercise price, multiplied by the number of in-the-money options) that would have been received by the option holders had all option holders exercised their options on March 31, 2014. The intrinsic value changes based on the fair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of 2014 the Company granted stock options with a weighted average grant date fair value per share of $17.13 that vest over a period of three years from their grant date. For purposes of determining stock-based compensation expense, the grant date fair value per share of the stock options was estimated using the Black-Scholes option pricing model, which requires the use of various key assumptions, including the following:</w:t>
      </w:r>
    </w:p>
    <w:p>
      <w:pPr>
        <w:spacing w:after="0" w:line="103"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 years</w:t>
            </w:r>
          </w:p>
        </w:tc>
      </w:tr>
      <w:tr>
        <w:trPr>
          <w:trHeight w:val="270"/>
        </w:trPr>
        <w:tc>
          <w:tcPr>
            <w:tcW w:w="5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8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76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8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1.85%</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weighted-average time of vesting and the end of the contractual term. This method was utilized for the stock options due to the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stock options granted in 2014, no dividends are expected to be paid over the contractual term of the stock options, resulting in a zero expected dividend rate.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 for the four years preceding the grant date, supplemented with the historical volatility of its peer group for the two years preceding the Company's historical volatility over the expected term. A blended rate was used because the Company became a public company in 2008 and, therefore, does not have a historical volatility equal to the expected term of these awards.</w:t>
      </w:r>
    </w:p>
    <w:p>
      <w:pPr>
        <w:spacing w:after="0" w:line="13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information about stock options outstanding and exercisable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2"/>
                <w:szCs w:val="12"/>
                <w:color w:val="auto"/>
              </w:rPr>
            </w:pPr>
          </w:p>
        </w:tc>
        <w:tc>
          <w:tcPr>
            <w:tcW w:w="10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0"/>
        </w:trPr>
        <w:tc>
          <w:tcPr>
            <w:tcW w:w="4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(per option)</w:t>
            </w:r>
          </w:p>
        </w:tc>
        <w:tc>
          <w:tcPr>
            <w:tcW w:w="1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b w:val="1"/>
                <w:bCs w:val="1"/>
                <w:i w:val="1"/>
                <w:iCs w:val="1"/>
                <w:color w:val="auto"/>
                <w:w w:val="89"/>
              </w:rPr>
              <w:t>(per option)</w:t>
            </w:r>
          </w:p>
        </w:tc>
        <w:tc>
          <w:tcPr>
            <w:tcW w:w="0" w:type="dxa"/>
            <w:vAlign w:val="bottom"/>
          </w:tcPr>
          <w:p>
            <w:pPr>
              <w:spacing w:after="0"/>
              <w:rPr>
                <w:sz w:val="1"/>
                <w:szCs w:val="1"/>
                <w:color w:val="auto"/>
              </w:rPr>
            </w:pPr>
          </w:p>
        </w:tc>
      </w:tr>
      <w:tr>
        <w:trPr>
          <w:trHeight w:val="80"/>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$0.01 to $4.99</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$5.00 to $7.45</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304,032</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202,740</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$7.46 to $9.99</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601,783</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601,783</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$10.00 to $14.99</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3,679</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3,679</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$15.00 to $19.99</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80,125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80,125</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$20.00 to $33.59</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89,420</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46,663</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Options at March 31, 2014</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1,079,054</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935,005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and restricted stock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RSUs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Market Condition</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Units</w:t>
            </w: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Number of Units</w:t>
            </w: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2"/>
              </w:rPr>
              <w:t>(per unit)</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599,122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102,440</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(141,116)</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(10,371)</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550,075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17.89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33.59</w:t>
            </w:r>
          </w:p>
        </w:tc>
        <w:tc>
          <w:tcPr>
            <w:tcW w:w="0" w:type="dxa"/>
            <w:vAlign w:val="bottom"/>
          </w:tcPr>
          <w:p>
            <w:pPr>
              <w:spacing w:after="0"/>
              <w:rPr>
                <w:sz w:val="1"/>
                <w:szCs w:val="1"/>
                <w:color w:val="auto"/>
              </w:rPr>
            </w:pPr>
          </w:p>
        </w:tc>
      </w:tr>
      <w:tr>
        <w:trPr>
          <w:trHeight w:val="720"/>
        </w:trPr>
        <w:tc>
          <w:tcPr>
            <w:tcW w:w="60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vMerge w:val="restart"/>
          </w:tcPr>
          <w:p>
            <w:pPr>
              <w:jc w:val="right"/>
              <w:ind w:right="719"/>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Borders>
              <w:top w:val="single" w:sz="8" w:color="auto"/>
            </w:tcBorders>
            <w:vMerge w:val="restart"/>
          </w:tcPr>
          <w:p>
            <w:pPr>
              <w:spacing w:after="0"/>
              <w:rPr>
                <w:sz w:val="24"/>
                <w:szCs w:val="24"/>
                <w:color w:val="auto"/>
              </w:rPr>
            </w:pPr>
          </w:p>
        </w:tc>
        <w:tc>
          <w:tcPr>
            <w:tcW w:w="2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Market Condition</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8"/>
              </w:rPr>
              <w:t>(per share)</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119,500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(20,833)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(62,500)</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2014</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98,667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6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5"/>
                <w:szCs w:val="15"/>
                <w:color w:val="auto"/>
              </w:rPr>
            </w:pPr>
          </w:p>
        </w:tc>
      </w:tr>
      <w:tr>
        <w:trPr>
          <w:trHeight w:val="258"/>
        </w:trPr>
        <w:tc>
          <w:tcPr>
            <w:tcW w:w="8200" w:type="dxa"/>
            <w:vAlign w:val="bottom"/>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r>
      <w:tr>
        <w:trPr>
          <w:trHeight w:val="190"/>
        </w:trPr>
        <w:tc>
          <w:tcPr>
            <w:tcW w:w="8200" w:type="dxa"/>
            <w:vAlign w:val="bottom"/>
          </w:tcPr>
          <w:p>
            <w:pPr>
              <w:spacing w:after="0"/>
              <w:rPr>
                <w:sz w:val="16"/>
                <w:szCs w:val="16"/>
                <w:color w:val="auto"/>
              </w:rPr>
            </w:pPr>
          </w:p>
        </w:tc>
        <w:tc>
          <w:tcPr>
            <w:tcW w:w="2720" w:type="dxa"/>
            <w:vAlign w:val="bottom"/>
            <w:gridSpan w:val="3"/>
          </w:tcPr>
          <w:p>
            <w:pPr>
              <w:jc w:val="center"/>
              <w:ind w:left="442"/>
              <w:spacing w:after="0"/>
              <w:rPr>
                <w:sz w:val="20"/>
                <w:szCs w:val="20"/>
                <w:color w:val="auto"/>
              </w:rPr>
            </w:pPr>
            <w:r>
              <w:rPr>
                <w:rFonts w:ascii="Arial" w:cs="Arial" w:eastAsia="Arial" w:hAnsi="Arial"/>
                <w:sz w:val="14"/>
                <w:szCs w:val="14"/>
                <w:b w:val="1"/>
                <w:bCs w:val="1"/>
                <w:i w:val="1"/>
                <w:iCs w:val="1"/>
                <w:color w:val="auto"/>
                <w:w w:val="86"/>
              </w:rPr>
              <w:t>(in thousands, except percentages)</w:t>
            </w:r>
          </w:p>
        </w:tc>
        <w:tc>
          <w:tcPr>
            <w:tcW w:w="500" w:type="dxa"/>
            <w:vAlign w:val="bottom"/>
          </w:tcPr>
          <w:p>
            <w:pPr>
              <w:spacing w:after="0"/>
              <w:rPr>
                <w:sz w:val="16"/>
                <w:szCs w:val="16"/>
                <w:color w:val="auto"/>
              </w:rPr>
            </w:pPr>
          </w:p>
        </w:tc>
      </w:tr>
      <w:tr>
        <w:trPr>
          <w:trHeight w:val="66"/>
        </w:trPr>
        <w:tc>
          <w:tcPr>
            <w:tcW w:w="8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i w:val="1"/>
                <w:iCs w:val="1"/>
                <w:color w:val="auto"/>
              </w:rPr>
              <w:t>7.9%</w:t>
            </w:r>
          </w:p>
        </w:tc>
      </w:tr>
      <w:tr>
        <w:trPr>
          <w:trHeight w:val="27"/>
        </w:trPr>
        <w:tc>
          <w:tcPr>
            <w:tcW w:w="8200" w:type="dxa"/>
            <w:vAlign w:val="bottom"/>
            <w:tcBorders>
              <w:bottom w:val="single" w:sz="8" w:color="999999"/>
            </w:tcBorders>
          </w:tcPr>
          <w:p>
            <w:pPr>
              <w:spacing w:after="0"/>
              <w:rPr>
                <w:sz w:val="2"/>
                <w:szCs w:val="2"/>
                <w:color w:val="auto"/>
              </w:rPr>
            </w:pPr>
          </w:p>
        </w:tc>
        <w:tc>
          <w:tcPr>
            <w:tcW w:w="106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2014, the effective tax rate varied from the statutory rate primarily due to the existence of a valuation allowance that has been provided to offset the Company's net deferred tax asset, after excluding deferred tax liabilities related to indefinite lived intangible assets that are not going to provide a source of taxable income in the foreseeable future.</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2013, the effective income tax rate varied from the statutory rate due primarily to the impact of the valuation allowance, indefinite-lived intangible assets and 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the Company's valuation allowance assessment for the three months ended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10—DISCRETIONARY CASH BONUS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February 2013, the Company incurred a compensation charge of $0.9 million related to a discretionary cash bonus payment to employee stock option 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Tree.com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adverse impact on the business. With respect to the matters disclosed in this footnote,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both March 31, 2014 and December 31, 2013, the Company had a litigation settlement accrual for its continuing operations of $0.5 million. The litigation settlement accrual relates to litigation matters that were either settled or a firm offer for settlement was extended, thereby establishing an accrual amount that is both probable and reasonably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LendingTree v. Zillow, Inc., et al. Civil Action No. 3:10-cv-439</w:t>
      </w:r>
      <w:r>
        <w:rPr>
          <w:rFonts w:ascii="Arial" w:cs="Arial" w:eastAsia="Arial" w:hAnsi="Arial"/>
          <w:sz w:val="18"/>
          <w:szCs w:val="18"/>
          <w:color w:val="auto"/>
        </w:rPr>
        <w:t>. On September 8, 2010, the Company filed an action for patent infringement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 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the Company, including the assertion by certain of the defendants of counterclaims alleging illegal monopolization via our maintenance of the asserted patents. In July 2011, the Company reached a settlement agreement with Leadpoint, Inc., pursuant to which all claims against Leadpoint, Inc. and all counter-</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This matter went to trial beginning in February 2014, and on March 12, 2014, the jury returned a verdict. The jury found that the defendants Zillow, Inc., Adchemy, Inc., and NexTag, Inc. did not infringe the two patents referenced above and determined that those patents are invalid due to inventorship defects. The jury found in the Company's favor on the defendants' counterclaims alleging inequitable conduct and antitrust violations. Judgment was entered on March 31, 2014. Certain matters remain pending with the court, including the Company's motions for a new trial and to correct the inventorship defect and restore the validity of the patents and the defendants' motions for sanctions and awards of attorneys' fees. The Company believes it has strong grounds for appeal and filed a notice of appeal on April 22, 2014. The range of possible loss on the motions for sanctions and awards of attorneys' fees is estimated to be between $0 to $9.7 million. The Company believes the defendants' motions for sanctions and attorneys' fees lack merit and intends to defend these motions vigorously.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Internet Patents Corporation f/k/a InsWeb v. Tree.com, Inc., No. C-12-6505 (U.S. Dist. Ct., N.D. Cal.). </w:t>
      </w:r>
      <w:r>
        <w:rPr>
          <w:rFonts w:ascii="Arial" w:cs="Arial" w:eastAsia="Arial" w:hAnsi="Arial"/>
          <w:sz w:val="16"/>
          <w:szCs w:val="16"/>
          <w:color w:val="auto"/>
        </w:rPr>
        <w:t>In December 2012, the plaintiff filed a patent</w:t>
      </w:r>
      <w:r>
        <w:rPr>
          <w:rFonts w:ascii="Arial" w:cs="Arial" w:eastAsia="Arial" w:hAnsi="Arial"/>
          <w:sz w:val="16"/>
          <w:szCs w:val="16"/>
          <w:i w:val="1"/>
          <w:iCs w:val="1"/>
          <w:color w:val="auto"/>
        </w:rPr>
        <w:t xml:space="preserve"> </w:t>
      </w:r>
      <w:r>
        <w:rPr>
          <w:rFonts w:ascii="Arial" w:cs="Arial" w:eastAsia="Arial" w:hAnsi="Arial"/>
          <w:sz w:val="16"/>
          <w:szCs w:val="16"/>
          <w:color w:val="auto"/>
        </w:rPr>
        <w:t>infringement 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infringes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In December 2013, the Company's case was consolidated with three other pending appeals involving the asserted patents. The plaintiff filed its opening appellate brief in January 2014, and the Company filed a joint appellate response brief in April 2014. The Company believes the plaintiff's allegations lack merit and intends to defend against this action vigorously.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Suite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The Money Suite Company v. LendingTree, LLC, No. 1:13-ev-986 (U.S. Dist. Ct, D Del.). </w:t>
      </w:r>
      <w:r>
        <w:rPr>
          <w:rFonts w:ascii="Arial" w:cs="Arial" w:eastAsia="Arial" w:hAnsi="Arial"/>
          <w:sz w:val="18"/>
          <w:szCs w:val="18"/>
          <w:color w:val="auto"/>
        </w:rPr>
        <w:t>In June 2013, the plaintiff filed a patent infringement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LLC ("LendingTree") seeking a judgment that it infringed a patent held by plaintiff. The plaintiff alleges that LendingTree infringes U.S. Patent No. 6,684,189 for "an apparatus and method using front end network gateways and search criteria for efficient quoting at a remote location". The plaintiff seeks damages (including pre- and post- judgment interest thereon), costs and attorneys' fees. In December 2013, the court stayed this case pending review of the patent by the United States Patent and Trademark Office. The Company believes the plaintiff's allegations lack merit and intends to defend against this action vigorously.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Boschma</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Boschma v. Home Loan Center, Inc., No. SACV7-613 (U.S. Dist. Ct., C.D. Cal.). </w:t>
      </w:r>
      <w:r>
        <w:rPr>
          <w:rFonts w:ascii="Arial" w:cs="Arial" w:eastAsia="Arial" w:hAnsi="Arial"/>
          <w:sz w:val="17"/>
          <w:szCs w:val="17"/>
          <w:color w:val="auto"/>
        </w:rPr>
        <w:t>On May 25, 2007, the plaintiffs filed this putative class action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Home Loan Center, Inc. ("HLC") in the U.S. District Court for the Central District of California. The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the plaintiffs asserted violations of the federal Truth in Lending Act, violations of the Unfair Competition Law, breach of contract, and breach of the covenant of good faith and fair dealing. The plaintiffs purport to represent a class of all individuals who between June 1, 2003 and May 31, 2007 obtained an option ARM loan through HLC on their primary residence located in California, and seek rescission, damages, attorneys' fees and injunctive relief. The plaintiffs have not yet filed a motion for class certification, but have filed a total of eight complaints in connection with this lawsuit. Each of the first seven complaints has been dismissed by the federal and state courts. The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The plaintiffs appealed the dismissal and on August 10, 2011, the appellate court reversed the trial court's dismissal and directed the trial court to overrule the demurrer. The case was remanded to superior court. During 2013, the parties agreed to a $450,000 settlement, which was approved in 2013. A nominal payment into the settlement fund was made in late 2013. The Company expects administration of the settlement to be completed by the third quarter of 2014. A provision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the remaining $435,000 is included in current liabilities of discontinued operations at March 31, 2014. The impact of the settlement was not material.</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On November 7,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this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On February 26,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have reached a tentative settlement agreement with respect to the remaining Individual Claims. The trial for the Class Claims has not yet been scheduled by the court. The Company believes that the plaintiffs' allegations related to the Class Claims lack merit and intends to defend against this action vigorously.</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range of possible loss is estimated to be between $0.6 million and $1.95 million, of which some or all may be covered by insurance. A reserve of $0.6 million and a corresponding insurance recoverable of $0.5 million have been established for this matter in the consolidated balance sheet as of March 31,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11, 2011, the Massachusetts Division of Banks (the "Division") delivered a Report of Examination/Inspection to LendingTree, which identified various alleged violations of Massachusetts and federal laws, including the alleged insufficient delivery by LendingTree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would enter into the Consent Agreement and Order, they would agree not to pursue any analogous allegations that they otherwise might assert. As of May 7, 2014, none of the Joining Regulators have asserted any such allegations.</w:t>
      </w:r>
    </w:p>
    <w:p>
      <w:pPr>
        <w:spacing w:after="0" w:line="70"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to adopt various new procedures and practices. The Company has commenced negotiations toward an acceptable Consent Agreement and Order. It does not believe its mortgage exchange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consolidated balance sheet as of March 31,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12—SEGMENT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one reportable segment, its lending operating segment. Its additional operating segments—auto, education and home services—are included in the "Other" category in the reconciliation of segment information below.</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expenses presented below for the lending segment and the operating segments shown in the Other category include allocations of certain corporate expenses that are identifiable and directly benefit those segments. The unallocated expenses included in the "Corporate" category are those corporate overhead expenses that are not directly attributable to an operating segment and include: finance, legal, executive technology support and human resources.</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Adjusted EBITDA, a non-GAAP measure, is the primary metric by which the chief operating decision maker evaluates the performance of the Company's businesses, on which its internal budgets are based and by which management is compensated. Adjusted EBITDA is defined as operating income or loss (which excludes interest expense and taxes) adjusted to exclude amortization of intangibles and depreciation, and excluding (1) non-cash compensation expense, (2) non-cash intangible asset impairment charges, (3) gain/loss on disposal of assets, (4) restructuring and severance expenses,</w:t>
      </w:r>
    </w:p>
    <w:p>
      <w:pPr>
        <w:spacing w:after="0" w:line="2" w:lineRule="exact"/>
        <w:rPr>
          <w:sz w:val="20"/>
          <w:szCs w:val="20"/>
          <w:color w:val="auto"/>
        </w:rPr>
      </w:pPr>
    </w:p>
    <w:p>
      <w:pPr>
        <w:jc w:val="both"/>
        <w:ind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settlements and contingencies and legal fees for certain patent litigation, (6) adjustments for significant acquisitions or dispositions, and (7) one-time items. For the periods presented in this report, there are no adjustments for one-time items, except for a $0.9 million related to a discretionary cash bonus payment to employee stock option holders during the three months ended March 31, 2013.</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other balance sheet information are not used by the chief operating decision maker.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Summarized information by segment and reconciliations to Adjusted EBITDA and income (loss) before income taxes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w w:val="99"/>
              </w:rPr>
              <w:t>Three Months Ended March 31, 2014</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Lending</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Other</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Corporate</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36,928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1,545</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25,619</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1,830</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27,449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1,246</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782</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1,623</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7,707</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7,707</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30,544</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3,377</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11,950</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45,871</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6,384</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(11,950)</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599</w:t>
            </w:r>
          </w:p>
        </w:tc>
        <w:tc>
          <w:tcPr>
            <w:tcW w:w="3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752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7,707</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7,494</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340</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(3,353)</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4,481</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 xml:space="preserve">Three Months Ended March 31, 2013 </w:t>
            </w:r>
            <w:r>
              <w:rPr>
                <w:rFonts w:ascii="Arial" w:cs="Arial" w:eastAsia="Arial" w:hAnsi="Arial"/>
                <w:sz w:val="8"/>
                <w:szCs w:val="8"/>
                <w:b w:val="1"/>
                <w:bCs w:val="1"/>
                <w:color w:val="auto"/>
              </w:rPr>
              <w:t>(a)</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Lending</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28,080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17,255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1,028</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28,326</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7,055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(1,087)</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(6,214)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1,028</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4,086</w:t>
            </w:r>
          </w:p>
        </w:tc>
      </w:tr>
      <w:tr>
        <w:trPr>
          <w:trHeight w:val="324"/>
        </w:trPr>
        <w:tc>
          <w:tcPr>
            <w:tcW w:w="5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r>
      <w:tr>
        <w:trPr>
          <w:trHeight w:val="27"/>
        </w:trPr>
        <w:tc>
          <w:tcPr>
            <w:tcW w:w="5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comparative purposes, revenue from and expenses related to personal loan offerings have been recast from the "Other" category to the lending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restructuring liabilities primarily relate to lease obligations for call center leases exited in 2010, which are expected to be completed by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Restructuring expense and payments against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Continuing</w:t>
            </w:r>
          </w:p>
        </w:tc>
      </w:tr>
      <w:tr>
        <w:trPr>
          <w:trHeight w:val="149"/>
        </w:trPr>
        <w:tc>
          <w:tcPr>
            <w:tcW w:w="9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Lease</w:t>
            </w:r>
          </w:p>
        </w:tc>
      </w:tr>
      <w:tr>
        <w:trPr>
          <w:trHeight w:val="192"/>
        </w:trPr>
        <w:tc>
          <w:tcPr>
            <w:tcW w:w="9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Obligations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462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9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392</w:t>
            </w:r>
          </w:p>
        </w:tc>
      </w:tr>
      <w:tr>
        <w:trPr>
          <w:trHeight w:val="34"/>
        </w:trPr>
        <w:tc>
          <w:tcPr>
            <w:tcW w:w="9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2014, restructuring liabilities of $0.3 million are included in accrued expenses and other current liabilities and $0.1 million are included in other non-current liabilities in the accompanying consolidated balance sheet. At December 31, 2013, restructuring liabilities of $0.3 million are included in accrued expenses and other current liabilities and $0.2 million are included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other non-current liabilities in the accompanying consolidated balance sheet. We do not expect to incur significant additional costs related to the restructuring noted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12"/>
          <w:szCs w:val="12"/>
          <w:color w:val="auto"/>
        </w:rPr>
        <w:t>®</w:t>
      </w:r>
      <w:r>
        <w:rPr>
          <w:rFonts w:ascii="Arial" w:cs="Arial" w:eastAsia="Arial" w:hAnsi="Arial"/>
          <w:sz w:val="18"/>
          <w:szCs w:val="18"/>
          <w:color w:val="auto"/>
        </w:rPr>
        <w:t>. The Company exited all markets by March 31, 2011. In September 2011, the remaining assets of RealEstate.com were sold, which consisted primarily of internet domain names and trademarks. Accordingly, these real estate businesses are presented as discontinued operations in the accompanying consolidated financial statements for all periods presented. No significant future cash flows are anticipated from the disposition of this business.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revenue and net loss for the real estate businesses that are reported as discontinued operations in the accompanying consolidated statements of operations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8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97"/>
        </w:trPr>
        <w:tc>
          <w:tcPr>
            <w:tcW w:w="8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w:t>
            </w:r>
          </w:p>
        </w:tc>
      </w:tr>
      <w:tr>
        <w:trPr>
          <w:trHeight w:val="27"/>
        </w:trPr>
        <w:tc>
          <w:tcPr>
            <w:tcW w:w="8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liabilities of real estate businesses that are reported as discontinued operations in the accompanying consolidated balance sheets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liabilities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r>
      <w:tr>
        <w:trPr>
          <w:trHeight w:val="34"/>
        </w:trPr>
        <w:tc>
          <w:tcPr>
            <w:tcW w:w="8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12, 2011, the Company entered into an asset purchase agreement, later amended on February 7, 2012, that provided for the sale of substantially all of the operating assets of its LendingTree Loans business to Discover. The sale was completed on June 6, 2012. Discover has participated as a network lender since closing of the transaction. 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agreed to indemnify Discover for a breach or inaccuracy of any representation, warranty or covenant made by it in the asset purchase agreement, for any liability of LendingTree Loans that was not assumed, for any claims by its stockholders against Discover and for its failure to comply with any applicable bulk sales law, subject to certain limitations. Discover submitted a claim for indemnification relating to the sale prior to the closing of certain loans that were listed in the asset purchase agreement as to be conveyed to Discover at closing. In May 2013, this indemnification claim and other miscellaneous items were settled by agreeing to credit Discover for $1.3 million in future services. A majority of these credits were applied against services during the year ended December 31, 2013. The remaining credits were exhausted in the first quarter of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for LendingTree Loans that are reported as discontinued operations in the accompanying consolidated statements of operations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8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w:t>
            </w:r>
          </w:p>
        </w:tc>
      </w:tr>
      <w:tr>
        <w:trPr>
          <w:trHeight w:val="324"/>
        </w:trPr>
        <w:tc>
          <w:tcPr>
            <w:tcW w:w="8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(558)</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(2,451)</w:t>
            </w:r>
          </w:p>
        </w:tc>
      </w:tr>
      <w:tr>
        <w:trPr>
          <w:trHeight w:val="34"/>
        </w:trPr>
        <w:tc>
          <w:tcPr>
            <w:tcW w:w="8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assets and liabilities of LendingTree Loans that are reported as discontinued operations in the accompanying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527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(31,890)</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(31,569)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(31,563)</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HLC subsidiary continues to be liable for these indemnification obligations, repurchase obligations and premium repayment obligations following the sale of substantially all of the operating assets of its LendingTree Loans business in the second quarter of 2012. As of March 31, 2014, approximately $21.2 million is being held in escrow pending resolution of certain of these contingent liabilities. The Company has been negotiating with certain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2013, the Company revised its estimation process for evaluating the adequacy of the reserve for loan losses to use a settlement discount framework. This model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 announced bulk settlements for similar loan types and vintages,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$17.0 million to $31.0 million at March 31, 2014. The reserve balance recorded as of March 31, 2014 was $28.5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March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8"/>
              </w:rPr>
              <w:t>Original</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vMerge w:val="restart"/>
          </w:tcPr>
          <w:p>
            <w:pPr>
              <w:jc w:val="center"/>
              <w:ind w:right="295"/>
              <w:spacing w:after="0"/>
              <w:rPr>
                <w:sz w:val="20"/>
                <w:szCs w:val="20"/>
                <w:color w:val="auto"/>
              </w:rPr>
            </w:pPr>
            <w:r>
              <w:rPr>
                <w:rFonts w:ascii="Arial" w:cs="Arial" w:eastAsia="Arial" w:hAnsi="Arial"/>
                <w:sz w:val="14"/>
                <w:szCs w:val="14"/>
                <w:b w:val="1"/>
                <w:bCs w:val="1"/>
                <w:color w:val="auto"/>
                <w:w w:val="94"/>
              </w:rPr>
              <w:t>Original</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4"/>
              </w:rPr>
              <w:t>Principal</w:t>
            </w:r>
          </w:p>
        </w:tc>
        <w:tc>
          <w:tcPr>
            <w:tcW w:w="340" w:type="dxa"/>
            <w:vAlign w:val="bottom"/>
          </w:tcPr>
          <w:p>
            <w:pPr>
              <w:spacing w:after="0"/>
              <w:rPr>
                <w:sz w:val="12"/>
                <w:szCs w:val="12"/>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Balance of</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of Loan Sales</w:t>
            </w:r>
          </w:p>
        </w:tc>
        <w:tc>
          <w:tcPr>
            <w:tcW w:w="1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97"/>
              </w:rPr>
              <w:t>Principal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Loans Sold</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3"/>
              </w:rPr>
              <w:t>Balance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center"/>
              <w:ind w:right="295"/>
              <w:spacing w:after="0"/>
              <w:rPr>
                <w:sz w:val="20"/>
                <w:szCs w:val="20"/>
                <w:color w:val="auto"/>
              </w:rPr>
            </w:pPr>
            <w:r>
              <w:rPr>
                <w:rFonts w:ascii="Arial" w:cs="Arial" w:eastAsia="Arial" w:hAnsi="Arial"/>
                <w:sz w:val="14"/>
                <w:szCs w:val="14"/>
                <w:b w:val="1"/>
                <w:bCs w:val="1"/>
                <w:i w:val="1"/>
                <w:iCs w:val="1"/>
                <w:color w:val="auto"/>
                <w:w w:val="93"/>
              </w:rPr>
              <w:t>(in billions)</w:t>
            </w: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i w:val="1"/>
                <w:iCs w:val="1"/>
                <w:color w:val="auto"/>
                <w:w w:val="91"/>
              </w:rPr>
              <w:t>(in millions)</w:t>
            </w:r>
          </w:p>
        </w:tc>
        <w:tc>
          <w:tcPr>
            <w:tcW w:w="3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i w:val="1"/>
                <w:iCs w:val="1"/>
                <w:color w:val="auto"/>
                <w:w w:val="91"/>
              </w:rPr>
              <w:t>(in millions)</w:t>
            </w: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2013</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9,200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1.9</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2011</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2.7</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12,400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12,800</w:t>
            </w:r>
          </w:p>
        </w:tc>
        <w:tc>
          <w:tcPr>
            <w:tcW w:w="36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2.8</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11,000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2.2</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36,300</w:t>
            </w:r>
          </w:p>
        </w:tc>
        <w:tc>
          <w:tcPr>
            <w:tcW w:w="36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6.1</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55,000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7.9</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2005 and prior years</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86,700</w:t>
            </w:r>
          </w:p>
        </w:tc>
        <w:tc>
          <w:tcPr>
            <w:tcW w:w="36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13.0</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235,900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39.4</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7"/>
        </w:trPr>
        <w:tc>
          <w:tcPr>
            <w:tcW w:w="35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28,543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27,182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9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1,197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28,543</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28,379</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March 31, 2014 and December 31,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1A—Risk Factors.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InsuranceTree</w:t>
      </w:r>
      <w:r>
        <w:rPr>
          <w:rFonts w:ascii="Arial" w:cs="Arial" w:eastAsia="Arial" w:hAnsi="Arial"/>
          <w:sz w:val="12"/>
          <w:szCs w:val="12"/>
          <w:color w:val="auto"/>
        </w:rPr>
        <w:t>®</w:t>
      </w:r>
      <w:r>
        <w:rPr>
          <w:rFonts w:ascii="Arial" w:cs="Arial" w:eastAsia="Arial" w:hAnsi="Arial"/>
          <w:sz w:val="18"/>
          <w:szCs w:val="18"/>
          <w:color w:val="auto"/>
        </w:rPr>
        <w:t>. Together, these brands serve as an ally for consumers who are looking to comparison-shop for loans and other services from multiple businesses and professionals that will compete for their business.</w:t>
      </w:r>
    </w:p>
    <w:p>
      <w:pPr>
        <w:spacing w:after="0" w:line="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businesses of RealEstate.com and RealEstate.com, REALTORS</w:t>
      </w:r>
      <w:r>
        <w:rPr>
          <w:rFonts w:ascii="Arial" w:cs="Arial" w:eastAsia="Arial" w:hAnsi="Arial"/>
          <w:sz w:val="12"/>
          <w:szCs w:val="12"/>
          <w:color w:val="auto"/>
        </w:rPr>
        <w:t>®</w:t>
      </w:r>
      <w:r>
        <w:rPr>
          <w:rFonts w:ascii="Arial" w:cs="Arial" w:eastAsia="Arial" w:hAnsi="Arial"/>
          <w:sz w:val="18"/>
          <w:szCs w:val="18"/>
          <w:color w:val="auto"/>
        </w:rPr>
        <w:t xml:space="preserve"> and LendingTree Loans are presented as discontinued operations in the accompanying consolidated balance sheets and consolidated statements of operations and cash flows for all periods presented. The analysis within Management's Discussion and Analysis of Financial Condition and Results of Operations reflects our continuing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The auto, education and home services operating segments are reported in the "Other" category in our segment reconciling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12 —Segment Information to the consolidated financial statements included elsewhere in this report.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in 2013, mortgage interest rates rose gradually through the first five months of the year. In June 2013, mortgage interest rates increased more significantly, subsequently peaking at 4.49% in September 2013, then dropped more than a quarter-point early in the fourth quarter of 2013 and then increased again to 4.46% by the end of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Mortgage interest rates declined slightly during the first quarter of 2014 to 4.34% in March 2014 and averaged 4.36% during the quarter, as compared to averages of 3.50% and 4.30% during the first and fourth quarters of 2013, respectively. Higher average mortgage interest rates during the first quarter of 2014 resulted in a 57% and 23% decline in the total dollar volume of mortgage originations as compared to the first and fourth quarters of 2013, respectively, according to Mortgage Bankers Association ("MBA") data.</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remaining quarters of 2014, MBA is projecting the dollar volume of aggregate mortgage originations to be above first quarter 2014 levels. Notwithstanding that anticipated improvement from the first quarter 2014, full year 2014 projected aggregate mortgage originations of almost $1.1 trillion are expected to represent a decline of 39% decline from 2013 and the lowest level of originations since 2000, resulting from increasing mortgage interest rates projected to hit 5% and average 4.8% in 2014. The rise in mortgage interest rates will also continue to move the mix of mortgage originations towards purchase, with estimated refinance share of originations of 63% in 2013 declining to 39% in 2014, according to MBA data.</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U.S. Real Estate Market</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U.S real estate market continued its recovery in 2013 as job growth improved and demand drove the market, resulting in nationwide sales of existing homes at their highest level since 2006, according to the National Association of Realtors. However, nationwide sales of existing homes during the first quarter of 2014 have declined approximately 7% as compared to both the first and fourth quarters of 2013, likely associated with rising mortgage interest rates and price growth. The median existing home price was up almost 8% in March 2014 as compared to one year ago. The National Association of Realtors expects some improvement in the months ahead with ongoing job creation and some weather delayed shopping activity, particularly if existing home inventory continues to improve and mortgage interest rates rise only modestly.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2014 and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4"/>
                <w:szCs w:val="14"/>
                <w:b w:val="1"/>
                <w:bCs w:val="1"/>
                <w:color w:val="auto"/>
                <w:w w:val="95"/>
              </w:rPr>
              <w:t>Three Months Ended March 31,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3"/>
                <w:szCs w:val="13"/>
                <w:color w:val="auto"/>
              </w:rPr>
            </w:pPr>
          </w:p>
        </w:tc>
        <w:tc>
          <w:tcPr>
            <w:tcW w:w="1440" w:type="dxa"/>
            <w:vAlign w:val="bottom"/>
          </w:tcPr>
          <w:p>
            <w:pPr>
              <w:jc w:val="right"/>
              <w:ind w:right="899"/>
              <w:spacing w:after="0" w:line="153"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ind w:left="560"/>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00" w:type="dxa"/>
            <w:vAlign w:val="bottom"/>
            <w:gridSpan w:val="2"/>
          </w:tcPr>
          <w:p>
            <w:pPr>
              <w:jc w:val="center"/>
              <w:ind w:right="236"/>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36,928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11,255</w:t>
            </w:r>
          </w:p>
        </w:tc>
        <w:tc>
          <w:tcPr>
            <w:tcW w:w="1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25,673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3,108</w:t>
            </w:r>
          </w:p>
        </w:tc>
        <w:tc>
          <w:tcPr>
            <w:tcW w:w="400" w:type="dxa"/>
            <w:vAlign w:val="bottom"/>
          </w:tcPr>
          <w:p>
            <w:pPr>
              <w:spacing w:after="0"/>
              <w:rPr>
                <w:sz w:val="21"/>
                <w:szCs w:val="21"/>
                <w:color w:val="auto"/>
              </w:rPr>
            </w:pPr>
          </w:p>
        </w:tc>
        <w:tc>
          <w:tcPr>
            <w:tcW w:w="1440" w:type="dxa"/>
            <w:vAlign w:val="bottom"/>
          </w:tcPr>
          <w:p>
            <w:pPr>
              <w:jc w:val="right"/>
              <w:ind w:right="299"/>
              <w:spacing w:after="0"/>
              <w:rPr>
                <w:sz w:val="20"/>
                <w:szCs w:val="20"/>
                <w:color w:val="auto"/>
              </w:rPr>
            </w:pPr>
            <w:r>
              <w:rPr>
                <w:rFonts w:ascii="Arial" w:cs="Arial" w:eastAsia="Arial" w:hAnsi="Arial"/>
                <w:sz w:val="18"/>
                <w:szCs w:val="18"/>
                <w:color w:val="auto"/>
              </w:rPr>
              <w:t>701</w:t>
            </w:r>
          </w:p>
        </w:tc>
        <w:tc>
          <w:tcPr>
            <w:tcW w:w="1460" w:type="dxa"/>
            <w:vAlign w:val="bottom"/>
          </w:tcPr>
          <w:p>
            <w:pPr>
              <w:ind w:left="102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40,036</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11,956</w:t>
            </w:r>
          </w:p>
        </w:tc>
        <w:tc>
          <w:tcPr>
            <w:tcW w:w="1460" w:type="dxa"/>
            <w:vAlign w:val="bottom"/>
            <w:tcBorders>
              <w:top w:val="single" w:sz="8" w:color="auto"/>
            </w:tcBorders>
          </w:tcPr>
          <w:p>
            <w:pPr>
              <w:ind w:left="1020"/>
              <w:spacing w:after="0"/>
              <w:rPr>
                <w:sz w:val="20"/>
                <w:szCs w:val="20"/>
                <w:color w:val="auto"/>
              </w:rPr>
            </w:pPr>
            <w:r>
              <w:rPr>
                <w:rFonts w:ascii="Arial" w:cs="Arial" w:eastAsia="Arial" w:hAnsi="Arial"/>
                <w:sz w:val="18"/>
                <w:szCs w:val="18"/>
                <w:b w:val="1"/>
                <w:bCs w:val="1"/>
                <w:color w:val="auto"/>
              </w:rPr>
              <w:t>43%</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28,080</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Revenue from our lending segment increased in the first quarter of 2014 compared to the first quarter of 2013, due to increases in each of the products within this segment. Within our lending segment, revenue from mortgage products increased by $8.2 million in the first quarter of 2014 compared to the first quarter of 2013, primarily driven by increased revenue from our purchase mortgage product. Revenue from non-mortgage products within our lending segment increased $3.0 million in the first quarter of 2014 compared to the first quarter of 2013. Our non-mortgage products within our lending segment include the following products: reverse mortgage, home equity, personal loans and rate table. Our reverse mortgage and rate table products were introduced in the first quarter of 2013 and our personal loan product was re-launched in the third quarter of 2013.</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consumers matched on our lending exchange increased by 62% in the first quarter of 2014 compared to the first quarter of 2013, although our average revenue earned from network lenders per matched consumer decreased by 11% during this time. The decrease in revenue earned per matched consumer was primarily due to the increased relative contribution of our purchase and non-mortgage lending products, which have lower revenue per matched consumer rates than refinance, which had been a bigger portion of our business previously.</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revenue, which includes our auto, education, home services and other businesses, increased in the first quarter of 2014 compared to the first quarter of 2013. The increase was primarily due to an increase of $1.1 million in our auto business, partially offset by decreases in our education and home services businesses of $0.4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Cost of revenue consists primarily of costs associated with compensation and other employee-related costs (including stock-based compensation) relating to internally-operated call centers, third-party call center fees, credit scoring fees, credit card fees and website network hosting and server fees.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jc w:val="right"/>
              <w:ind w:right="899"/>
              <w:spacing w:after="0" w:line="153"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69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76"/>
              <w:spacing w:after="0"/>
              <w:rPr>
                <w:sz w:val="20"/>
                <w:szCs w:val="20"/>
                <w:color w:val="auto"/>
              </w:rPr>
            </w:pPr>
            <w:r>
              <w:rPr>
                <w:rFonts w:ascii="Arial" w:cs="Arial" w:eastAsia="Arial" w:hAnsi="Arial"/>
                <w:sz w:val="14"/>
                <w:szCs w:val="14"/>
                <w:b w:val="1"/>
                <w:bCs w:val="1"/>
                <w:i w:val="1"/>
                <w:iCs w:val="1"/>
                <w:color w:val="auto"/>
              </w:rPr>
              <w:t>(Dollars in thousands)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1,545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389</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34 %</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21"/>
                <w:szCs w:val="21"/>
                <w:color w:val="auto"/>
              </w:rPr>
            </w:pPr>
          </w:p>
        </w:tc>
        <w:tc>
          <w:tcPr>
            <w:tcW w:w="1440" w:type="dxa"/>
            <w:vAlign w:val="bottom"/>
          </w:tcPr>
          <w:p>
            <w:pPr>
              <w:jc w:val="right"/>
              <w:ind w:right="279"/>
              <w:spacing w:after="0"/>
              <w:rPr>
                <w:sz w:val="20"/>
                <w:szCs w:val="20"/>
                <w:color w:val="auto"/>
              </w:rPr>
            </w:pPr>
            <w:r>
              <w:rPr>
                <w:rFonts w:ascii="Arial" w:cs="Arial" w:eastAsia="Arial" w:hAnsi="Arial"/>
                <w:sz w:val="18"/>
                <w:szCs w:val="18"/>
                <w:color w:val="auto"/>
              </w:rPr>
              <w:t>(53)</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(27)</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 of revenue</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1,665</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b w:val="1"/>
                <w:bCs w:val="1"/>
                <w:color w:val="auto"/>
              </w:rPr>
              <w:t>309</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23 %</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1,356</w:t>
            </w:r>
          </w:p>
        </w:tc>
        <w:tc>
          <w:tcPr>
            <w:tcW w:w="0" w:type="dxa"/>
            <w:vAlign w:val="bottom"/>
          </w:tcPr>
          <w:p>
            <w:pPr>
              <w:spacing w:after="0"/>
              <w:rPr>
                <w:sz w:val="1"/>
                <w:szCs w:val="1"/>
                <w:color w:val="auto"/>
              </w:rPr>
            </w:pPr>
          </w:p>
        </w:tc>
      </w:tr>
      <w:tr>
        <w:trPr>
          <w:trHeight w:val="34"/>
        </w:trPr>
        <w:tc>
          <w:tcPr>
            <w:tcW w:w="4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 cost of revenue increased in the first quarter of 2014 from the first quarter of 2013, primarily due to increases of $0.2 million in credit card fees, and $0.1 million in credit scoring fees.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cost of revenue decreased in the first quarter of 2014 compared to the first quarter of 2013, primarily due to decreases in third-party call center fees.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1460" w:type="dxa"/>
            <w:vAlign w:val="bottom"/>
          </w:tcPr>
          <w:p>
            <w:pPr>
              <w:jc w:val="right"/>
              <w:ind w:right="919"/>
              <w:spacing w:after="0" w:line="153"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25,619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10,459</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69 %</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1,830</w:t>
            </w:r>
          </w:p>
        </w:tc>
        <w:tc>
          <w:tcPr>
            <w:tcW w:w="360" w:type="dxa"/>
            <w:vAlign w:val="bottom"/>
          </w:tcPr>
          <w:p>
            <w:pPr>
              <w:spacing w:after="0"/>
              <w:rPr>
                <w:sz w:val="21"/>
                <w:szCs w:val="21"/>
                <w:color w:val="auto"/>
              </w:rPr>
            </w:pPr>
          </w:p>
        </w:tc>
        <w:tc>
          <w:tcPr>
            <w:tcW w:w="1460" w:type="dxa"/>
            <w:vAlign w:val="bottom"/>
          </w:tcPr>
          <w:p>
            <w:pPr>
              <w:jc w:val="right"/>
              <w:ind w:right="279"/>
              <w:spacing w:after="0"/>
              <w:rPr>
                <w:sz w:val="20"/>
                <w:szCs w:val="20"/>
                <w:color w:val="auto"/>
              </w:rPr>
            </w:pPr>
            <w:r>
              <w:rPr>
                <w:rFonts w:ascii="Arial" w:cs="Arial" w:eastAsia="Arial" w:hAnsi="Arial"/>
                <w:sz w:val="18"/>
                <w:szCs w:val="18"/>
                <w:color w:val="auto"/>
              </w:rPr>
              <w:t>(265)</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selling and marketing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27,449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b w:val="1"/>
                <w:bCs w:val="1"/>
                <w:color w:val="auto"/>
              </w:rPr>
              <w:t>10,194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59 %</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17,255</w:t>
            </w:r>
          </w:p>
        </w:tc>
        <w:tc>
          <w:tcPr>
            <w:tcW w:w="0" w:type="dxa"/>
            <w:vAlign w:val="bottom"/>
          </w:tcPr>
          <w:p>
            <w:pPr>
              <w:spacing w:after="0"/>
              <w:rPr>
                <w:sz w:val="1"/>
                <w:szCs w:val="1"/>
                <w:color w:val="auto"/>
              </w:rPr>
            </w:pPr>
          </w:p>
        </w:tc>
      </w:tr>
      <w:tr>
        <w:trPr>
          <w:trHeight w:val="34"/>
        </w:trPr>
        <w:tc>
          <w:tcPr>
            <w:tcW w:w="4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lending selling and marketing expense in the first quarter of 2014 compared to the first quarter of 2013 is primarily due to an increase of $10.0 million in advertising expense, as discussed below.</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lending advertising expense corresponds to a 62% increase in consumers matched with network lenders in the first quarter of 2014 compared to the first quarter of 2013.</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selling and marketing expense decreased in the first quarter of 2014 from the first quarter of 2013, primarily due to a decrease of in compensation and benefits as a result of a decrease in headcount.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selling and marketing expense as a percentage of revenue increased in the first quarter of 2014 compared to the first quarter of 2013, primarily due to the continuation of the national advertising campaign for our LendingTree brand launched in the second quarter of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3"/>
                <w:szCs w:val="13"/>
                <w:color w:val="auto"/>
              </w:rPr>
            </w:pPr>
          </w:p>
        </w:tc>
        <w:tc>
          <w:tcPr>
            <w:tcW w:w="1480" w:type="dxa"/>
            <w:vAlign w:val="bottom"/>
          </w:tcPr>
          <w:p>
            <w:pPr>
              <w:jc w:val="right"/>
              <w:ind w:right="939"/>
              <w:spacing w:after="0" w:line="153"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20" w:type="dxa"/>
            <w:vAlign w:val="bottom"/>
            <w:gridSpan w:val="2"/>
          </w:tcPr>
          <w:p>
            <w:pPr>
              <w:jc w:val="right"/>
              <w:ind w:right="876"/>
              <w:spacing w:after="0"/>
              <w:rPr>
                <w:sz w:val="20"/>
                <w:szCs w:val="20"/>
                <w:color w:val="auto"/>
              </w:rPr>
            </w:pPr>
            <w:r>
              <w:rPr>
                <w:rFonts w:ascii="Arial" w:cs="Arial" w:eastAsia="Arial" w:hAnsi="Arial"/>
                <w:sz w:val="14"/>
                <w:szCs w:val="14"/>
                <w:b w:val="1"/>
                <w:bCs w:val="1"/>
                <w:i w:val="1"/>
                <w:iCs w:val="1"/>
                <w:color w:val="auto"/>
              </w:rPr>
              <w:t>(Dollars in thousands)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20,752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8,064</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64 %</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Broadcast</w:t>
            </w:r>
          </w:p>
        </w:tc>
        <w:tc>
          <w:tcPr>
            <w:tcW w:w="36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2,628</w:t>
            </w:r>
          </w:p>
        </w:tc>
        <w:tc>
          <w:tcPr>
            <w:tcW w:w="400" w:type="dxa"/>
            <w:vAlign w:val="bottom"/>
          </w:tcPr>
          <w:p>
            <w:pPr>
              <w:spacing w:after="0"/>
              <w:rPr>
                <w:sz w:val="21"/>
                <w:szCs w:val="21"/>
                <w:color w:val="auto"/>
              </w:rPr>
            </w:pPr>
          </w:p>
        </w:tc>
        <w:tc>
          <w:tcPr>
            <w:tcW w:w="1480" w:type="dxa"/>
            <w:vAlign w:val="bottom"/>
          </w:tcPr>
          <w:p>
            <w:pPr>
              <w:jc w:val="right"/>
              <w:ind w:right="359"/>
              <w:spacing w:after="0"/>
              <w:rPr>
                <w:sz w:val="20"/>
                <w:szCs w:val="20"/>
                <w:color w:val="auto"/>
              </w:rPr>
            </w:pPr>
            <w:r>
              <w:rPr>
                <w:rFonts w:ascii="Arial" w:cs="Arial" w:eastAsia="Arial" w:hAnsi="Arial"/>
                <w:sz w:val="18"/>
                <w:szCs w:val="18"/>
                <w:color w:val="auto"/>
              </w:rPr>
              <w:t>2,125</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422 %</w:t>
            </w:r>
          </w:p>
        </w:tc>
        <w:tc>
          <w:tcPr>
            <w:tcW w:w="4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1,413</w:t>
            </w:r>
          </w:p>
        </w:tc>
        <w:tc>
          <w:tcPr>
            <w:tcW w:w="4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(16)</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24,793</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b w:val="1"/>
                <w:bCs w:val="1"/>
                <w:color w:val="auto"/>
              </w:rPr>
              <w:t>10,173</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70 %</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14,620</w:t>
            </w:r>
          </w:p>
        </w:tc>
        <w:tc>
          <w:tcPr>
            <w:tcW w:w="0" w:type="dxa"/>
            <w:vAlign w:val="bottom"/>
          </w:tcPr>
          <w:p>
            <w:pPr>
              <w:spacing w:after="0"/>
              <w:rPr>
                <w:sz w:val="1"/>
                <w:szCs w:val="1"/>
                <w:color w:val="auto"/>
              </w:rPr>
            </w:pP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increased our online advertising expenditures in the first quarter of 2014 compared to the first quarter of 2013 in order to generate additional lending lead volume to meet the increased demand of network lenders on our mortgage exchange. In addition, we further increased our broadcast spend to support our new national advertising campaign for our LendingTree brand, which commenced in the second quarter of 2013.</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919"/>
              <w:spacing w:after="0" w:line="153"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71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2"/>
          </w:tcPr>
          <w:p>
            <w:pPr>
              <w:jc w:val="right"/>
              <w:ind w:right="876"/>
              <w:spacing w:after="0"/>
              <w:rPr>
                <w:sz w:val="20"/>
                <w:szCs w:val="20"/>
                <w:color w:val="auto"/>
              </w:rPr>
            </w:pPr>
            <w:r>
              <w:rPr>
                <w:rFonts w:ascii="Arial" w:cs="Arial" w:eastAsia="Arial" w:hAnsi="Arial"/>
                <w:sz w:val="14"/>
                <w:szCs w:val="14"/>
                <w:b w:val="1"/>
                <w:bCs w:val="1"/>
                <w:i w:val="1"/>
                <w:iCs w:val="1"/>
                <w:color w:val="auto"/>
              </w:rPr>
              <w:t>(Dollars in thousands)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1,246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268</w:t>
            </w:r>
          </w:p>
        </w:tc>
        <w:tc>
          <w:tcPr>
            <w:tcW w:w="1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27 %</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782</w:t>
            </w:r>
          </w:p>
        </w:tc>
        <w:tc>
          <w:tcPr>
            <w:tcW w:w="360" w:type="dxa"/>
            <w:vAlign w:val="bottom"/>
          </w:tcPr>
          <w:p>
            <w:pPr>
              <w:spacing w:after="0"/>
              <w:rPr>
                <w:sz w:val="21"/>
                <w:szCs w:val="21"/>
                <w:color w:val="auto"/>
              </w:rPr>
            </w:pPr>
          </w:p>
        </w:tc>
        <w:tc>
          <w:tcPr>
            <w:tcW w:w="1460" w:type="dxa"/>
            <w:vAlign w:val="bottom"/>
          </w:tcPr>
          <w:p>
            <w:pPr>
              <w:jc w:val="right"/>
              <w:ind w:right="339"/>
              <w:spacing w:after="0"/>
              <w:rPr>
                <w:sz w:val="20"/>
                <w:szCs w:val="20"/>
                <w:color w:val="auto"/>
              </w:rPr>
            </w:pPr>
            <w:r>
              <w:rPr>
                <w:rFonts w:ascii="Arial" w:cs="Arial" w:eastAsia="Arial" w:hAnsi="Arial"/>
                <w:sz w:val="18"/>
                <w:szCs w:val="18"/>
                <w:color w:val="auto"/>
              </w:rPr>
              <w:t>271</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53 %</w:t>
            </w:r>
          </w:p>
        </w:tc>
        <w:tc>
          <w:tcPr>
            <w:tcW w:w="4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4,105</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(962)</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general and administrative expense</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6,133</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(423)</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6,556</w:t>
            </w:r>
          </w:p>
        </w:tc>
        <w:tc>
          <w:tcPr>
            <w:tcW w:w="0" w:type="dxa"/>
            <w:vAlign w:val="bottom"/>
          </w:tcPr>
          <w:p>
            <w:pPr>
              <w:spacing w:after="0"/>
              <w:rPr>
                <w:sz w:val="1"/>
                <w:szCs w:val="1"/>
                <w:color w:val="auto"/>
              </w:rPr>
            </w:pPr>
          </w:p>
        </w:tc>
      </w:tr>
      <w:tr>
        <w:trPr>
          <w:trHeight w:val="34"/>
        </w:trPr>
        <w:tc>
          <w:tcPr>
            <w:tcW w:w="4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97"/>
        <w:spacing w:after="0" w:line="276" w:lineRule="auto"/>
        <w:rPr>
          <w:sz w:val="20"/>
          <w:szCs w:val="20"/>
          <w:color w:val="auto"/>
        </w:rPr>
      </w:pPr>
      <w:r>
        <w:rPr>
          <w:rFonts w:ascii="Arial" w:cs="Arial" w:eastAsia="Arial" w:hAnsi="Arial"/>
          <w:sz w:val="17"/>
          <w:szCs w:val="17"/>
          <w:color w:val="auto"/>
        </w:rPr>
        <w:t>General and administrative expense in both lending and the other businesses increased in the first quarter of 2014 from the first quarter of 2013, primarily due to increases in compensation and benefits of $0.2 million and $0.3 million, respectively. During the first quarter of 2013, a portion of the incentive compensation for individuals in the lending and other businesses was allocated to corporate. The incentive compensation plan was modified for 2014 and during the first quarter of 2014, the lending and other businesses reflect the full incentive compensation for individuals in these businesses. Additionally, non-cash incentive compensation increased in the first quarter of 2014 from the first quarter of 2013.</w:t>
      </w:r>
    </w:p>
    <w:p>
      <w:pPr>
        <w:spacing w:after="0" w:line="6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Corporate general and administrative expense decreased during the same period, primarily due to decreased compensation and benefits of $1.3 million, partially offset by an increase in professional fees of $0.2 million. The decrease in compensation and benefits in the first quarter of 2014 from the first quarter of 2013 is primarily due to a compensation charge of $0.9 million related to a discretionary cash bonus payment to employee stock option holders in the first quarter of 2013, in addition to the reduction in incentive compensation classified in corporate due to the allocation discussed above.</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 in the first quarter of 2014 was spread over proportionately greater revenue during the period, resulting in an improvement in general and administrative expense as a percentage of revenue.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4"/>
                <w:szCs w:val="14"/>
                <w:b w:val="1"/>
                <w:bCs w:val="1"/>
                <w:color w:val="auto"/>
                <w:w w:val="94"/>
              </w:rPr>
              <w:t>Three Months Ended March 31,</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jc w:val="right"/>
              <w:ind w:right="879"/>
              <w:spacing w:after="0" w:line="153"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ind w:left="560"/>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2"/>
          </w:tcPr>
          <w:p>
            <w:pPr>
              <w:jc w:val="center"/>
              <w:ind w:right="236"/>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1,623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673</w:t>
            </w:r>
          </w:p>
        </w:tc>
        <w:tc>
          <w:tcPr>
            <w:tcW w:w="14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21"/>
                <w:szCs w:val="21"/>
                <w:color w:val="auto"/>
              </w:rPr>
            </w:pPr>
          </w:p>
        </w:tc>
        <w:tc>
          <w:tcPr>
            <w:tcW w:w="1420" w:type="dxa"/>
            <w:vAlign w:val="bottom"/>
          </w:tcPr>
          <w:p>
            <w:pPr>
              <w:jc w:val="right"/>
              <w:ind w:right="299"/>
              <w:spacing w:after="0"/>
              <w:rPr>
                <w:sz w:val="20"/>
                <w:szCs w:val="20"/>
                <w:color w:val="auto"/>
              </w:rPr>
            </w:pPr>
            <w:r>
              <w:rPr>
                <w:rFonts w:ascii="Arial" w:cs="Arial" w:eastAsia="Arial" w:hAnsi="Arial"/>
                <w:sz w:val="18"/>
                <w:szCs w:val="18"/>
                <w:color w:val="auto"/>
              </w:rPr>
              <w:t>54</w:t>
            </w:r>
          </w:p>
        </w:tc>
        <w:tc>
          <w:tcPr>
            <w:tcW w:w="1460" w:type="dxa"/>
            <w:vAlign w:val="bottom"/>
          </w:tcPr>
          <w:p>
            <w:pPr>
              <w:ind w:left="100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product development</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1,932</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727</w:t>
            </w:r>
          </w:p>
        </w:tc>
        <w:tc>
          <w:tcPr>
            <w:tcW w:w="1460" w:type="dxa"/>
            <w:vAlign w:val="bottom"/>
            <w:tcBorders>
              <w:top w:val="single" w:sz="8" w:color="auto"/>
            </w:tcBorders>
          </w:tcPr>
          <w:p>
            <w:pPr>
              <w:ind w:left="1000"/>
              <w:spacing w:after="0"/>
              <w:rPr>
                <w:sz w:val="20"/>
                <w:szCs w:val="20"/>
                <w:color w:val="auto"/>
              </w:rPr>
            </w:pPr>
            <w:r>
              <w:rPr>
                <w:rFonts w:ascii="Arial" w:cs="Arial" w:eastAsia="Arial" w:hAnsi="Arial"/>
                <w:sz w:val="18"/>
                <w:szCs w:val="18"/>
                <w:b w:val="1"/>
                <w:bCs w:val="1"/>
                <w:color w:val="auto"/>
              </w:rPr>
              <w:t>60%</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1,205</w:t>
            </w:r>
          </w:p>
        </w:tc>
        <w:tc>
          <w:tcPr>
            <w:tcW w:w="0" w:type="dxa"/>
            <w:vAlign w:val="bottom"/>
          </w:tcPr>
          <w:p>
            <w:pPr>
              <w:spacing w:after="0"/>
              <w:rPr>
                <w:sz w:val="1"/>
                <w:szCs w:val="1"/>
                <w:color w:val="auto"/>
              </w:rPr>
            </w:pPr>
          </w:p>
        </w:tc>
      </w:tr>
      <w:tr>
        <w:trPr>
          <w:trHeight w:val="34"/>
        </w:trPr>
        <w:tc>
          <w:tcPr>
            <w:tcW w:w="4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w:t>
            </w: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development expense increased in the first quarter of 2014 as compared to the first quarter of 2013, primarily due to increases in compensation and other employee-related costs. We increased headcount in the first quarter of 2014 compared to the first quarter of 2013 in order to support planned product launches for 2014.</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decreased to $0.8 million in the first quarter of 2014 compared to $0.9 million in the first quarter of 2013 primarily due to certain fixed assets that fully depreciated in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litigations we are pursuing. During the first quarter of 2014 and 2013, we recorded $7.7 million and $1.0 million, respectively, primarily due to legal fees incurred in connection with various patent litigations we are currently pursuing</w:t>
      </w:r>
      <w:r>
        <w:rPr>
          <w:rFonts w:ascii="Arial" w:cs="Arial" w:eastAsia="Arial" w:hAnsi="Arial"/>
          <w:sz w:val="18"/>
          <w:szCs w:val="18"/>
          <w:b w:val="1"/>
          <w:bCs w:val="1"/>
          <w:color w:val="auto"/>
        </w:rPr>
        <w:t>.</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first quarter of 2014, we participated in a jury trial for the Zillow litigation described in Note 11—Contingencies to the consolidated financial statements, included elsewhere in this report. The legal expenses associated with this jury trial increased our litigation settlements and contingencies expense for the first quarter of 2014. We will continue to incur litigation expenses on this matter for post-trial matters, including a notice of appeal we filed and costs relating to various pending post-trial motions. While we expect legal expenses related to this matter to decline significantly in future periods, we cannot predict the additional impact that this litigation may have on full year 2014 litigation settlements and contingencies.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1460" w:type="dxa"/>
            <w:vAlign w:val="bottom"/>
          </w:tcPr>
          <w:p>
            <w:pPr>
              <w:jc w:val="right"/>
              <w:ind w:right="919"/>
              <w:spacing w:after="0" w:line="153"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6,384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(671)</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(269)</w:t>
            </w:r>
          </w:p>
        </w:tc>
        <w:tc>
          <w:tcPr>
            <w:tcW w:w="360" w:type="dxa"/>
            <w:vAlign w:val="bottom"/>
          </w:tcPr>
          <w:p>
            <w:pPr>
              <w:spacing w:after="0"/>
              <w:rPr>
                <w:sz w:val="21"/>
                <w:szCs w:val="21"/>
                <w:color w:val="auto"/>
              </w:rPr>
            </w:pPr>
          </w:p>
        </w:tc>
        <w:tc>
          <w:tcPr>
            <w:tcW w:w="1460" w:type="dxa"/>
            <w:vAlign w:val="bottom"/>
          </w:tcPr>
          <w:p>
            <w:pPr>
              <w:jc w:val="right"/>
              <w:ind w:right="339"/>
              <w:spacing w:after="0"/>
              <w:rPr>
                <w:sz w:val="20"/>
                <w:szCs w:val="20"/>
                <w:color w:val="auto"/>
              </w:rPr>
            </w:pPr>
            <w:r>
              <w:rPr>
                <w:rFonts w:ascii="Arial" w:cs="Arial" w:eastAsia="Arial" w:hAnsi="Arial"/>
                <w:sz w:val="18"/>
                <w:szCs w:val="18"/>
                <w:color w:val="auto"/>
              </w:rPr>
              <w:t>818</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(11,950)</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(5,736)</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92 %</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(5,835)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(5,589)</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2,272 %</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34"/>
        </w:trPr>
        <w:tc>
          <w:tcPr>
            <w:tcW w:w="4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in the first quarter of 2014 compared to the first quarter of 2013 despite an increase in revenue of $12.0 million, primarily due to increases in selling and marketing expense of $10.2 million, litigation settlements and contingencies of $6.7 million and product development expense of $0.7 million.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below. The following table is a reconciliation of Adjusted EBITDA to net income (loss) for continuing operations by segment.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4"/>
              </w:rPr>
              <w:t>Three Months Ended March 31, 2014</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Lending</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Corporate</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center"/>
              <w:ind w:left="754"/>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7,494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4,481</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(7,707)</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6,384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(269)</w:t>
            </w:r>
          </w:p>
        </w:tc>
        <w:tc>
          <w:tcPr>
            <w:tcW w:w="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(11,949)</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(5,834)</w:t>
            </w:r>
          </w:p>
        </w:tc>
      </w:tr>
      <w:tr>
        <w:trPr>
          <w:trHeight w:val="615"/>
        </w:trPr>
        <w:tc>
          <w:tcPr>
            <w:tcW w:w="514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4"/>
              </w:rPr>
              <w:t>Three Months Ended March 31, 2013</w:t>
            </w:r>
          </w:p>
        </w:tc>
        <w:tc>
          <w:tcPr>
            <w:tcW w:w="6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Lending</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Corporate</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center"/>
              <w:ind w:left="754"/>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7,842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(485)</w:t>
            </w:r>
          </w:p>
        </w:tc>
        <w:tc>
          <w:tcPr>
            <w:tcW w:w="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(3,271)</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4,086</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(920)</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7,055</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(1,087)</w:t>
            </w:r>
          </w:p>
        </w:tc>
        <w:tc>
          <w:tcPr>
            <w:tcW w:w="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(6,241)</w:t>
            </w:r>
          </w:p>
        </w:tc>
        <w:tc>
          <w:tcPr>
            <w:tcW w:w="6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r>
      <w:tr>
        <w:trPr>
          <w:trHeight w:val="34"/>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32"/>
        </w:trPr>
        <w:tc>
          <w:tcPr>
            <w:tcW w:w="5140" w:type="dxa"/>
            <w:vAlign w:val="bottom"/>
          </w:tcPr>
          <w:p>
            <w:pPr>
              <w:ind w:left="340"/>
              <w:spacing w:after="0"/>
              <w:rPr>
                <w:sz w:val="20"/>
                <w:szCs w:val="20"/>
                <w:color w:val="auto"/>
              </w:rPr>
            </w:pPr>
            <w:r>
              <w:rPr>
                <w:rFonts w:ascii="Arial" w:cs="Arial" w:eastAsia="Arial" w:hAnsi="Arial"/>
                <w:sz w:val="18"/>
                <w:szCs w:val="18"/>
                <w:b w:val="1"/>
                <w:bCs w:val="1"/>
                <w:color w:val="auto"/>
              </w:rPr>
              <w:t>Income tax provision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8"/>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24"/>
                <w:szCs w:val="24"/>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2013</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percentages)</w:t>
            </w: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7.9%</w:t>
            </w:r>
          </w:p>
        </w:tc>
      </w:tr>
      <w:tr>
        <w:trPr>
          <w:trHeight w:val="27"/>
        </w:trPr>
        <w:tc>
          <w:tcPr>
            <w:tcW w:w="5140" w:type="dxa"/>
            <w:vAlign w:val="bottom"/>
            <w:tcBorders>
              <w:bottom w:val="single" w:sz="8" w:color="999999"/>
            </w:tcBorders>
          </w:tcPr>
          <w:p>
            <w:pPr>
              <w:spacing w:after="0"/>
              <w:rPr>
                <w:sz w:val="2"/>
                <w:szCs w:val="2"/>
                <w:color w:val="auto"/>
              </w:rPr>
            </w:pPr>
          </w:p>
        </w:tc>
        <w:tc>
          <w:tcPr>
            <w:tcW w:w="300" w:type="dxa"/>
            <w:vAlign w:val="bottom"/>
            <w:tcBorders>
              <w:bottom w:val="single" w:sz="8" w:color="999999"/>
            </w:tcBorders>
          </w:tcPr>
          <w:p>
            <w:pPr>
              <w:spacing w:after="0"/>
              <w:rPr>
                <w:sz w:val="2"/>
                <w:szCs w:val="2"/>
                <w:color w:val="auto"/>
              </w:rPr>
            </w:pPr>
          </w:p>
        </w:tc>
        <w:tc>
          <w:tcPr>
            <w:tcW w:w="124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180" w:type="dxa"/>
            <w:vAlign w:val="bottom"/>
            <w:tcBorders>
              <w:bottom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2014, the effective tax rate varied from the statutory rate primarily due to the existence of a valuation allowance that has been provided to offset our net deferred tax asset, after excluding deferred tax liabilities related to indefinite lived intangible assets that are not going to provide a source of taxable income in the foreseeable future.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2013, the effective income tax rate varied from the statutory rate due primarily to the impact of the valuation allowance, indefinite-lived intangible assets and state taxes.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three months ended March 31, 2014.</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first quarters of 2014 and 2013, losses from discontinued operations of $0.6 million and $2.4 million, respectively, were primarily attributable to operating losses associated with the LendingTree Loans business, the sale of which was completed on June 6, 2012. The loss in the first quarter of 2014 primarily relates to legal fees associated with ongoing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and beyond.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2014, we had $89.5 million of cash and cash equivalents and $24.1 million of restricted cash and cash equivalents, compared to $91.7 million of cash and cash equivalents and $26.0 million of restricted cash and cash equivalents as of December 31,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8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2"/>
          </w:tcPr>
          <w:p>
            <w:pPr>
              <w:jc w:val="center"/>
              <w:ind w:left="3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Pr>
          <w:p>
            <w:pPr>
              <w:spacing w:after="0"/>
              <w:rPr>
                <w:sz w:val="21"/>
                <w:szCs w:val="21"/>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885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(2,958)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0"/>
        </w:trPr>
        <w:tc>
          <w:tcPr>
            <w:tcW w:w="832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64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attributable to continuing operations in the first three months of 2014 was $0.2 million and consisted primarily of losses from continuing operations of $5.8 million, offset by positive adjustments for non-cash items of $2.6 million and cash provided by working capital of $3.5 million. Adjustments for non-cash items primarily consisted of $1.6 million in non-cash compensation expense and $0.8 million of depreciation. Accounts receivable increased $1.0 million due to increases in revenue. Accounts payable, accrued expenses and other current liabilities increased $4.5 million, primarily due to legal fees associated with the jury trial for the Zillow patent litigation. We expect a significant use of cash during the second quarter of 2014 as legal fees from the jury trial are paid.</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attributable to continuing operations in the first three months of 2013 was $5.4 million and consisted of losses from continuing operations of $0.3 million, positive adjustments for non-cash items of $2.4 million and cash used for working capital of $7.6 million. Adjustments for non-cash items primarily consisted of $1.4 million of non-cash compensation expense and $0.9 million of depreciation. Accounts receivable increased by $2.1 million, primarily due to increases in revenue. Accounts payable and other current liabilities decreased by $2.5 million, as we paid previously incurred expenses from improved cash flow.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investing activities attributable to continuing operations in the first three months of 2014 of $0.9 million consisted primarily of a decrease in restricted cash of $2.0 million, which was partially offset by capital expenditures of $1.1 million. During the first quarter of 2014, the Company reached and executed a settlement with the disputing party on the earnout related to an acquisition, upon which $2.0 million of cash previously held in escrow was released.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2013 of $0.2 million resulted primarily from capital expenditures of $0.6 million, offset by a decrease in restricted cash of $0.4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three months of 2014 of $3.0 million consisted primarily of $2.9 million in employee withholding taxes paid by us upon employees' surrender of shares to satisfy withholding obligations on equity awards.</w:t>
      </w:r>
    </w:p>
    <w:p>
      <w:pPr>
        <w:spacing w:after="0" w:line="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cash used in financing activities in the first three months of 2013 of $0.7 million was primarily due to the vesting and issuance of stock to employees (less withholding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do not have any other off-balance sheet arrangements other than our operating lease obligations and funding commitments pursuant to our surety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below our contractual obligations and commercial commitments as of December 31, 2013. There have been no material changes to our contractual obligations since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Payments Due By Period as of December 31, 2013</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3"/>
                <w:szCs w:val="13"/>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3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1-3 Years</w:t>
            </w:r>
          </w:p>
        </w:tc>
        <w:tc>
          <w:tcPr>
            <w:tcW w:w="13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11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Loan loss reserve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1,003</w:t>
            </w: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31,355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30,352</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1,003</w:t>
            </w:r>
          </w:p>
        </w:tc>
        <w:tc>
          <w:tcPr>
            <w:tcW w:w="1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9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HLC subsidiary continues to be liable for the indemnification obligations, repurchase obligations and premium repayment obligations following the sale of substantially all of the operating assets of our LendingTree Loans business in the second quarter of 2012. An estimate of these obligations is reflected within current liabilities of discontinued operations on the December 31, 2013 consolidated balance sheet. We have been negotiating with certain secondary market purchasers to settle any existing and future contingent liabilities. Due to uncertainties in the timing of these negotiations, which could occur at any time, the balance of the loan loss reserve has been reflected as due in less than one year.</w:t>
      </w:r>
    </w:p>
    <w:p>
      <w:pPr>
        <w:spacing w:after="0" w:line="10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equipment and services used in both our continuing and discontinued operations. These obligations have not been reduced by the $0.4 million of minimum sublease rental income to be received in the future under non-cancelable subleases.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are no recently issued accounting pronouncements that were adopted during the quarter ended March 31, 2014 or that are expected to impact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Definition of Adjusted EBITDA</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intangible asset impairment charges, (3) gain/loss on disposal of assets,</w:t>
      </w:r>
    </w:p>
    <w:p>
      <w:pPr>
        <w:jc w:val="both"/>
        <w:ind w:firstLine="8"/>
        <w:spacing w:after="0" w:line="252" w:lineRule="auto"/>
        <w:tabs>
          <w:tab w:leader="none" w:pos="2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One-Time Items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$0.9 million related to a discretionary cash bonus payment to employee stock option holders in the first quarter of 2013.</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Expenses that are Excluded from Adjusted EBITDA</w:t>
      </w:r>
    </w:p>
    <w:p>
      <w:pPr>
        <w:sectPr>
          <w:pgSz w:w="11900" w:h="16838" w:orient="portrait"/>
          <w:cols w:equalWidth="0" w:num="1">
            <w:col w:w="11420"/>
          </w:cols>
          <w:pgMar w:left="240" w:top="125" w:right="239" w:bottom="23" w:gutter="0" w:footer="0" w:header="0"/>
        </w:sectPr>
      </w:pPr>
    </w:p>
    <w:bookmarkStart w:id="29" w:name="page30"/>
    <w:bookmarkEnd w:id="29"/>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and marketable securities or our results of operations or cash flows.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7"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2014,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first fiscal quarter that has materially affected, or is reasonably likely to materially affect, our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of our Annual Report on Form 10-K for the year ended December 31, 2013 (the "2013 10-K"), and updated that information in Note 11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included in Part I, Item 1A—Risk Factors of the 2013 Form 10-K.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adequately protect our intellectual property rights or may be accused of infringing intellectual property rights of third parties.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been granted patents and we have patent applications pending with the United States Patent and Trademark Office and various foreign patent authorities for various proprietary technologies and other inventions. The status of any patent involves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complex legal and factual questions, and the breadth of claims allowed is uncertain. Accordingly, any patent application filed may not result in a patent being issued, and any issued patents may not be adjudicated valid by a court or afford adequate protection against competitors with similar technology. In March 2014, a federal jury found our two issued patents invalid due to inventorship defects. In addition, third parties may create new products or methods that achieve similar results without infringing upon patents that we own.</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Likewise, the issuance of a patent to us does not mean that our processes or inventions will be found not to infringe upon patents or other rights previously issued to third parties.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to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 During the first quarter of 2014, we participated in a jury trial for the litigation described in Note 11— Contingencies to the consolidated financial statements included elsewhere in this report. The legal expenses associated with this jury trial were material, and negatively affected our results of operations for 2013 and the first quarter of 2014. We have filed a notice of appeal, and certain matters remain pending with the court, including the Company's motions for a new trial and to correct inventorship and the defendants' motions for sanctions and awards of attorneys' fees. Accordingly, we will continue to incur expenses on this matter, and these expenses together with the possibility of an adverse result on any of these post-trial matters may have a material adverse effect on our future financial condition and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11, 2010, the board of directors approved a stock repurchase program which allowed for the repurchase of up to $10 million of our common stock. At March 31, 2014, approximately $0.8 million remained authorized for share repurchase under this program. On May 7, 2014, the board of directors authorized an additional $10 million to the stock repurchase program. Under this program, we can repurchase stock in the open market or through privately-negotiated transactions. We began this program in February 2010 and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We did not repurchase any equity securities during the quarter ended March 31, 2014.</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Tree.com Third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March 31, 2014, all of the shares purchased were related to these obligations under the Tree.com Third Amended and Restated 2008 Stock and Award Incentive Plan. The withholding of those shares does not affect the dollar amount or number of shares that may be purchased under the stock repurchase program described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6"/>
                <w:szCs w:val="16"/>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Paid per Share</w:t>
            </w:r>
          </w:p>
        </w:tc>
        <w:tc>
          <w:tcPr>
            <w:tcW w:w="170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Programs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center"/>
              <w:ind w:right="181"/>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(a)</w:t>
            </w:r>
          </w:p>
        </w:tc>
        <w:tc>
          <w:tcPr>
            <w:tcW w:w="0" w:type="dxa"/>
            <w:vAlign w:val="bottom"/>
          </w:tcPr>
          <w:p>
            <w:pPr>
              <w:spacing w:after="0"/>
              <w:rPr>
                <w:sz w:val="1"/>
                <w:szCs w:val="1"/>
                <w:color w:val="auto"/>
              </w:rPr>
            </w:pPr>
          </w:p>
        </w:tc>
      </w:tr>
      <w:tr>
        <w:trPr>
          <w:trHeight w:val="190"/>
        </w:trPr>
        <w:tc>
          <w:tcPr>
            <w:tcW w:w="2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ind w:right="18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2014</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February 2014</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84,131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4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2014</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7"/>
        </w:trPr>
        <w:tc>
          <w:tcPr>
            <w:tcW w:w="2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88,156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32.98</w:t>
            </w:r>
          </w:p>
        </w:tc>
        <w:tc>
          <w:tcPr>
            <w:tcW w:w="1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34"/>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$0.8 million reflected excludes the additional $10 million authorized by the board of directors on May 7, 2014 to the stock repurchase program.</w:t>
      </w: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Exhibit</w:t>
            </w:r>
          </w:p>
        </w:tc>
        <w:tc>
          <w:tcPr>
            <w:tcW w:w="914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16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Employment Agreement dated January 9, 2014 between Tree.com, Inc. and Douglas R. Lebda</w:t>
            </w:r>
          </w:p>
        </w:tc>
        <w:tc>
          <w:tcPr>
            <w:tcW w:w="1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9140" w:type="dxa"/>
            <w:vAlign w:val="bottom"/>
          </w:tcPr>
          <w:p>
            <w:pPr>
              <w:ind w:left="140"/>
              <w:spacing w:after="0"/>
              <w:rPr>
                <w:sz w:val="20"/>
                <w:szCs w:val="20"/>
                <w:color w:val="auto"/>
              </w:rPr>
            </w:pPr>
            <w:r>
              <w:rPr>
                <w:rFonts w:ascii="Arial" w:cs="Arial" w:eastAsia="Arial" w:hAnsi="Arial"/>
                <w:sz w:val="18"/>
                <w:szCs w:val="18"/>
                <w:color w:val="auto"/>
              </w:rPr>
              <w:t>Employment Agreement dated January 9, 2014 between Tree.com, Inc. and Gabriel Dalporto</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Form of Notice of Restricted Stock Unit Award</w:t>
            </w:r>
          </w:p>
        </w:tc>
        <w:tc>
          <w:tcPr>
            <w:tcW w:w="1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9140" w:type="dxa"/>
            <w:vAlign w:val="bottom"/>
          </w:tcPr>
          <w:p>
            <w:pPr>
              <w:ind w:left="140"/>
              <w:spacing w:after="0"/>
              <w:rPr>
                <w:sz w:val="20"/>
                <w:szCs w:val="20"/>
                <w:color w:val="auto"/>
              </w:rPr>
            </w:pPr>
            <w:r>
              <w:rPr>
                <w:rFonts w:ascii="Arial" w:cs="Arial" w:eastAsia="Arial" w:hAnsi="Arial"/>
                <w:sz w:val="18"/>
                <w:szCs w:val="18"/>
                <w:color w:val="auto"/>
              </w:rPr>
              <w:t>Form of Notice of Restricted Stock Award</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Form of Notice of Stock Option Award</w:t>
            </w:r>
          </w:p>
        </w:tc>
        <w:tc>
          <w:tcPr>
            <w:tcW w:w="1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9140" w:type="dxa"/>
            <w:vAlign w:val="bottom"/>
          </w:tcPr>
          <w:p>
            <w:pPr>
              <w:ind w:left="140"/>
              <w:spacing w:after="0"/>
              <w:rPr>
                <w:sz w:val="20"/>
                <w:szCs w:val="20"/>
                <w:color w:val="auto"/>
              </w:rPr>
            </w:pPr>
            <w:r>
              <w:rPr>
                <w:rFonts w:ascii="Arial" w:cs="Arial" w:eastAsia="Arial" w:hAnsi="Arial"/>
                <w:sz w:val="18"/>
                <w:szCs w:val="18"/>
                <w:color w:val="auto"/>
                <w:w w:val="94"/>
              </w:rPr>
              <w:t>Certification of the Chief Executive Officer pursuant to Rule 13a-14(a) or Rule 15d-14(a) of the Securities Exchange Act</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Certification of the Chief Financial Officer pursuant to Rule 13a-14(a) or Rule 15d-14(a) of the Securities Exchange Act</w:t>
            </w: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100" w:type="dxa"/>
            <w:vAlign w:val="bottom"/>
            <w:tcBorders>
              <w:bottom w:val="single" w:sz="8" w:color="CCEEFF"/>
            </w:tcBorders>
            <w:shd w:val="clear" w:color="auto" w:fill="CCEEFF"/>
          </w:tcPr>
          <w:p>
            <w:pPr>
              <w:spacing w:after="0"/>
              <w:rPr>
                <w:sz w:val="20"/>
                <w:szCs w:val="20"/>
                <w:color w:val="auto"/>
              </w:rPr>
            </w:pPr>
          </w:p>
        </w:tc>
      </w:tr>
      <w:tr>
        <w:trPr>
          <w:trHeight w:val="229"/>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9140" w:type="dxa"/>
            <w:vAlign w:val="bottom"/>
          </w:tcPr>
          <w:p>
            <w:pPr>
              <w:ind w:left="14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101.INS</w:t>
            </w:r>
          </w:p>
        </w:tc>
        <w:tc>
          <w:tcPr>
            <w:tcW w:w="914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101.SCH</w:t>
            </w: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1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101.CAL</w:t>
            </w:r>
          </w:p>
        </w:tc>
        <w:tc>
          <w:tcPr>
            <w:tcW w:w="91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101.DEF</w:t>
            </w:r>
          </w:p>
        </w:tc>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1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101.LAB</w:t>
            </w:r>
          </w:p>
        </w:tc>
        <w:tc>
          <w:tcPr>
            <w:tcW w:w="914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0"/>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101.PRE</w:t>
            </w:r>
          </w:p>
        </w:tc>
        <w:tc>
          <w:tcPr>
            <w:tcW w:w="91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110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86" w:lineRule="auto"/>
        <w:tabs>
          <w:tab w:leader="none" w:pos="1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3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TREE.COM,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THIS EMPLOYMENT AGREEMENT ("Agreement"), dated as of January 9, 2014 (the "Agreement Date"), is entered into by and between Douglas 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Lebda ("Employee") and Tree.com, Inc.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Employee is currently serving as Chairman and Chief Executive Officer of the Company;</w:t>
      </w:r>
    </w:p>
    <w:p>
      <w:pPr>
        <w:spacing w:after="0" w:line="18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WHEREAS, Employee and the Company were parties to an Amended and Restated Employment Agreement, dated October 26, 2010 (the "Prior Agreement") which expired on January 6, 2013; 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WHEREAS, Employee and the Company now wish to enter into this Agreement on the terms and conditions set forth below.</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Employee and the Company have agreed and do hereby agree as follows:</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1A.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Employee as Chairman and Chief Executive Officer as of the Agreement Date and Employee accepts and agrees to such employment. During Employee's employment with the Company, Employee shall perform all services and acts necessary or advisable to fulfill the duties and responsibilities as are commensurate and consistent with Employee's position and shall render such services on the terms set forth herein. During Employee's employment with the Company, Employee shall report to the Board of Directors of the Company. Employee agrees to devote all of Employee's working time, attention and efforts to the Company and to perform the duties of Employee's position in accordance with the Company's policies as in effect from time to time.</w:t>
      </w:r>
    </w:p>
    <w:p>
      <w:pPr>
        <w:spacing w:after="0" w:line="1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Notwithstanding anything to the contrary above, Employee may serve as a corporate board member for up to two (2) organizations as Employee may reasonably determine from time to time, provided said service does not (a) interfere with Employee's ability to perform his duties for the Company as contemplated hereunder, and (b) compete with, or present an actual or apparent conflict of interest for, the Company, which shall be determined by the Board of Directors of the Company, in its sole, good faith judgment. The Company acknowledges that as of the Agreement Date, Employee is serving as a corporate board member for Recyclebank, Inc.</w:t>
      </w:r>
    </w:p>
    <w:p>
      <w:pPr>
        <w:spacing w:after="0" w:line="1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2A. </w:t>
      </w:r>
      <w:r>
        <w:rPr>
          <w:rFonts w:ascii="Arial" w:cs="Arial" w:eastAsia="Arial" w:hAnsi="Arial"/>
          <w:sz w:val="16"/>
          <w:szCs w:val="16"/>
          <w:u w:val="single" w:color="auto"/>
          <w:color w:val="auto"/>
        </w:rPr>
        <w:t>TERM OF AGREEMENT</w:t>
      </w:r>
      <w:r>
        <w:rPr>
          <w:rFonts w:ascii="Arial" w:cs="Arial" w:eastAsia="Arial" w:hAnsi="Arial"/>
          <w:sz w:val="16"/>
          <w:szCs w:val="16"/>
          <w:color w:val="auto"/>
        </w:rPr>
        <w:t>. The term ("Term") of this Agreement shall commence on the Agreement Date and shall continue through the third anniversary of the Agreement Date, unless sooner terminated in accordance with the provisions of Section 1 of the Standard Terms and Conditions attached hereto; provided that certain terms and conditions herein may specify a greater period of effectiveness. Employee and the Company will enter into good faith negotiations to extend the Term no later than six months prior to the end of the Term, provided, that Employee has provided written notice to the Company between eight and six months prior to the end of the Term which sets forth his interest in entering into such negotiations. For purposes of clarity, if the Agreement is not renewed in accordance with this Section 2A, the Agreement shall automatically expire at the end of the Term. Such expiration shall not entitle Employee to any compensation or benefits except as earned by Employee through the date of expiration of the Term.</w:t>
      </w:r>
    </w:p>
    <w:p>
      <w:pPr>
        <w:spacing w:after="0" w:line="1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85" w:lineRule="exact"/>
        <w:rPr>
          <w:sz w:val="20"/>
          <w:szCs w:val="20"/>
          <w:color w:val="auto"/>
        </w:rPr>
      </w:pPr>
    </w:p>
    <w:p>
      <w:pPr>
        <w:ind w:right="60" w:firstLine="8"/>
        <w:spacing w:after="0" w:line="276" w:lineRule="auto"/>
        <w:tabs>
          <w:tab w:leader="none" w:pos="69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the Company shall pay Employee an annual base salary of $600,000 (the "Base Salary") payable in equal biweekly installments or in such other installments as may be in accordance with the Company's standard payroll practices as in effect from time to time. The Base Salary shall be reviewed by the Company as the Company determines to be appropriate or, if requested by Employee in writing, no less frequently than annually in a manner consistent with similarly situated executives of the Company and may be increased but not decreased. For all purposes under this Agreement, the term "Base Salary" shall refer to the Base Salary as in effect from time to time.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14</w:t>
      </w:r>
    </w:p>
    <w:p>
      <w:pPr>
        <w:sectPr>
          <w:pgSz w:w="11900" w:h="16838" w:orient="portrait"/>
          <w:cols w:equalWidth="0" w:num="1">
            <w:col w:w="11420"/>
          </w:cols>
          <w:pgMar w:left="240" w:top="382" w:right="239" w:bottom="1440" w:gutter="0" w:footer="0" w:header="0"/>
        </w:sectPr>
      </w:pPr>
    </w:p>
    <w:bookmarkStart w:id="35" w:name="page36"/>
    <w:bookmarkEnd w:id="35"/>
    <w:p>
      <w:pPr>
        <w:jc w:val="both"/>
        <w:ind w:firstLine="8"/>
        <w:spacing w:after="0" w:line="255" w:lineRule="auto"/>
        <w:tabs>
          <w:tab w:leader="none" w:pos="74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Employee shall be eligible to receive a target annual bonus of up to 125% of his Base Salary with respect to each fiscal year of the Company (each a "Performance Year") during the Term, beginning with the Performance Year that began on January 1, 2013. The terms and conditions of the annual bonus, including the applicable performance criteria for a Performance Year, and the amount of the annual bonus payable to Employee for a Performance Year, if any, shall be determined by the Company's Compensation Committee in its sole discretion. Except as expressly provided in this Agreement, the annual bonus will be paid in accordance with Company's standard policies and procedures for the payment of annual bonuses to its other similarly situated employees.</w:t>
      </w:r>
    </w:p>
    <w:p>
      <w:pPr>
        <w:spacing w:after="0" w:line="152" w:lineRule="exact"/>
        <w:rPr>
          <w:rFonts w:ascii="Arial" w:cs="Arial" w:eastAsia="Arial" w:hAnsi="Arial"/>
          <w:sz w:val="18"/>
          <w:szCs w:val="18"/>
          <w:color w:val="auto"/>
        </w:rPr>
      </w:pPr>
    </w:p>
    <w:p>
      <w:pPr>
        <w:ind w:right="180" w:firstLine="8"/>
        <w:spacing w:after="0" w:line="286" w:lineRule="auto"/>
        <w:tabs>
          <w:tab w:leader="none" w:pos="69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the Term, Employee shall be eligible to participate in any welfare, health, life insurance, pension benefit and incentive plans, programs, policies and practices as may be adopted from time to time by the Company on the same basis as that provided to similarly situated employees of the Company generally. Without limiting the generality of the foregoing, Employee shall be eligible for the following benefits:</w:t>
      </w:r>
    </w:p>
    <w:p>
      <w:pPr>
        <w:spacing w:after="0" w:line="121" w:lineRule="exact"/>
        <w:rPr>
          <w:rFonts w:ascii="Arial" w:cs="Arial" w:eastAsia="Arial" w:hAnsi="Arial"/>
          <w:sz w:val="17"/>
          <w:szCs w:val="17"/>
          <w:color w:val="auto"/>
        </w:rPr>
      </w:pPr>
    </w:p>
    <w:p>
      <w:pPr>
        <w:ind w:left="660" w:right="480" w:hanging="4"/>
        <w:spacing w:after="0" w:line="266" w:lineRule="auto"/>
        <w:tabs>
          <w:tab w:leader="none" w:pos="137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Reimbursement for Business Expenses</w:t>
      </w:r>
      <w:r>
        <w:rPr>
          <w:rFonts w:ascii="Arial" w:cs="Arial" w:eastAsia="Arial" w:hAnsi="Arial"/>
          <w:sz w:val="18"/>
          <w:szCs w:val="18"/>
          <w:color w:val="auto"/>
        </w:rPr>
        <w:t>. During the Term, the Company shall reimburse Employee for all reasonable and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Employee in performing Employee's duties for the Company, on the same basis as similarly situated employees of the Company generally and in accordance with the Company's policies as in effect from time to time.</w:t>
      </w:r>
    </w:p>
    <w:p>
      <w:pPr>
        <w:spacing w:after="0" w:line="136" w:lineRule="exact"/>
        <w:rPr>
          <w:sz w:val="20"/>
          <w:szCs w:val="20"/>
          <w:color w:val="auto"/>
        </w:rPr>
      </w:pPr>
    </w:p>
    <w:p>
      <w:pPr>
        <w:ind w:left="660" w:right="80" w:firstLine="41"/>
        <w:spacing w:after="0" w:line="282"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During the Term, Employee shall be eligible for paid vacation in accordance with the plans, policies, programs and practices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applicable to similarly situated employees of the Company generally.</w:t>
      </w:r>
    </w:p>
    <w:p>
      <w:pPr>
        <w:spacing w:after="0" w:line="1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4A.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under this Agreement shall be in writing and shall be given by first-class mail, certified or registered with return receipt requested or hand delivery acknowledged in writing by the recipient personally, and shall be deemed to have been duly given three days after mailing or immediately upon duly acknowledged hand delivery, as applicable, to the respective persons named below:</w:t>
      </w:r>
    </w:p>
    <w:p>
      <w:pPr>
        <w:spacing w:after="0" w:line="1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If to the Company:</w:t>
      </w:r>
      <w:r>
        <w:rPr>
          <w:sz w:val="20"/>
          <w:szCs w:val="20"/>
          <w:color w:val="auto"/>
        </w:rPr>
        <w:tab/>
      </w:r>
      <w:r>
        <w:rPr>
          <w:rFonts w:ascii="Arial" w:cs="Arial" w:eastAsia="Arial" w:hAnsi="Arial"/>
          <w:sz w:val="16"/>
          <w:szCs w:val="16"/>
          <w:color w:val="auto"/>
        </w:rPr>
        <w:t>Tree.com, Inc.</w:t>
      </w:r>
    </w:p>
    <w:p>
      <w:pPr>
        <w:spacing w:after="0" w:line="2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FFFFFF"/>
        </w:rPr>
        <w:t>If to the Company:</w:t>
      </w:r>
      <w:r>
        <w:rPr>
          <w:sz w:val="20"/>
          <w:szCs w:val="20"/>
          <w:color w:val="auto"/>
        </w:rPr>
        <w:tab/>
      </w:r>
      <w:r>
        <w:rPr>
          <w:rFonts w:ascii="Arial" w:cs="Arial" w:eastAsia="Arial" w:hAnsi="Arial"/>
          <w:sz w:val="16"/>
          <w:szCs w:val="16"/>
          <w:color w:val="auto"/>
        </w:rPr>
        <w:t>11115 Rushmore Drive</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FFFFFF"/>
        </w:rPr>
        <w:t>If to the Company:</w:t>
      </w:r>
      <w:r>
        <w:rPr>
          <w:sz w:val="20"/>
          <w:szCs w:val="20"/>
          <w:color w:val="auto"/>
        </w:rPr>
        <w:tab/>
      </w:r>
      <w:r>
        <w:rPr>
          <w:rFonts w:ascii="Arial" w:cs="Arial" w:eastAsia="Arial" w:hAnsi="Arial"/>
          <w:sz w:val="16"/>
          <w:szCs w:val="16"/>
          <w:color w:val="auto"/>
        </w:rPr>
        <w:t>Charlotte, NC 28277</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FFFFFF"/>
        </w:rPr>
        <w:t>If to the Company:</w:t>
      </w:r>
      <w:r>
        <w:rPr>
          <w:sz w:val="20"/>
          <w:szCs w:val="20"/>
          <w:color w:val="auto"/>
        </w:rPr>
        <w:tab/>
      </w:r>
      <w:r>
        <w:rPr>
          <w:rFonts w:ascii="Arial" w:cs="Arial" w:eastAsia="Arial" w:hAnsi="Arial"/>
          <w:sz w:val="16"/>
          <w:szCs w:val="16"/>
          <w:color w:val="auto"/>
        </w:rPr>
        <w:t>Attention: Senior Vice President of Human Resources &amp; Administration</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If to the Employee:</w:t>
      </w:r>
      <w:r>
        <w:rPr>
          <w:sz w:val="20"/>
          <w:szCs w:val="20"/>
          <w:color w:val="auto"/>
        </w:rPr>
        <w:tab/>
      </w:r>
      <w:r>
        <w:rPr>
          <w:rFonts w:ascii="Arial" w:cs="Arial" w:eastAsia="Arial" w:hAnsi="Arial"/>
          <w:sz w:val="16"/>
          <w:szCs w:val="16"/>
          <w:color w:val="auto"/>
        </w:rPr>
        <w:t>At the most recent address on file at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such party's address for notices by notice duly given pursuant hereto.</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5A.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and the legal relations thus created between the parties hereto shall be governed by and construed under and in accordance with the laws of the State of North Carolina without reference to the principles of conflicts of laws. Any and all disputes between the parties which may arise pursuant to this Agreement will be heard and determined solely before an appropriate federal court in the State of North Carolina, or, if not maintainable therein, then in an appropriate North Carolina state court. The parties acknowledge that such courts have jurisdiction to interpret and enforce the provisions of this Agreement, and the parties consent to, and waive any and all objections that they may have as to, personal jurisdiction and/or venue in such courts.</w:t>
      </w:r>
    </w:p>
    <w:p>
      <w:pPr>
        <w:spacing w:after="0" w:line="15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 xml:space="preserve">6A.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instrument. Employee expressly understands and acknowledges that the Standard Terms and Conditions attached hereto are incorporated herein by reference, deemed a part of this Agreement and are binding and enforceable provisions of this Agreement. References to "this Agreement" or the use of the term "hereof' shall refer to this Agreement and the Standard Terms and Conditions attached hereto, taken as a whole.</w:t>
      </w:r>
    </w:p>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7A. </w:t>
      </w:r>
      <w:r>
        <w:rPr>
          <w:rFonts w:ascii="Arial" w:cs="Arial" w:eastAsia="Arial" w:hAnsi="Arial"/>
          <w:sz w:val="18"/>
          <w:szCs w:val="18"/>
          <w:u w:val="single" w:color="auto"/>
          <w:color w:val="auto"/>
        </w:rPr>
        <w:t>EFFECT ON PRIOR AGREEMENT</w:t>
      </w:r>
      <w:r>
        <w:rPr>
          <w:rFonts w:ascii="Arial" w:cs="Arial" w:eastAsia="Arial" w:hAnsi="Arial"/>
          <w:sz w:val="18"/>
          <w:szCs w:val="18"/>
          <w:color w:val="auto"/>
        </w:rPr>
        <w:t>. This Agreement constitutes the entire agreement between the parties and supersedes any prior agreement between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14</w:t>
      </w:r>
    </w:p>
    <w:p>
      <w:pPr>
        <w:sectPr>
          <w:pgSz w:w="11900" w:h="16838" w:orient="portrait"/>
          <w:cols w:equalWidth="0" w:num="1">
            <w:col w:w="11420"/>
          </w:cols>
          <w:pgMar w:left="240" w:top="611"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and delivered by its duly authorized officer and Employee has executed and delivered this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TREE.COM</w:t>
      </w:r>
    </w:p>
    <w:p>
      <w:pPr>
        <w:spacing w:after="0" w:line="38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E. Claudette Hampton</w:t>
            </w:r>
          </w:p>
        </w:tc>
      </w:tr>
      <w:tr>
        <w:trPr>
          <w:trHeight w:val="27"/>
        </w:trPr>
        <w:tc>
          <w:tcPr>
            <w:tcW w:w="74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40"/>
              <w:spacing w:after="0"/>
              <w:rPr>
                <w:sz w:val="20"/>
                <w:szCs w:val="20"/>
                <w:color w:val="auto"/>
              </w:rPr>
            </w:pPr>
            <w:r>
              <w:rPr>
                <w:rFonts w:ascii="Arial" w:cs="Arial" w:eastAsia="Arial" w:hAnsi="Arial"/>
                <w:sz w:val="18"/>
                <w:szCs w:val="18"/>
                <w:color w:val="auto"/>
              </w:rPr>
              <w:t>E. Claudette Hampton</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40"/>
              <w:spacing w:after="0"/>
              <w:rPr>
                <w:sz w:val="20"/>
                <w:szCs w:val="20"/>
                <w:color w:val="auto"/>
              </w:rPr>
            </w:pPr>
            <w:r>
              <w:rPr>
                <w:rFonts w:ascii="Arial" w:cs="Arial" w:eastAsia="Arial" w:hAnsi="Arial"/>
                <w:sz w:val="18"/>
                <w:szCs w:val="18"/>
                <w:color w:val="auto"/>
                <w:w w:val="97"/>
              </w:rPr>
              <w:t>Senior Vice President, Human Resources &amp; Administration</w:t>
            </w:r>
          </w:p>
        </w:tc>
      </w:tr>
      <w:tr>
        <w:trPr>
          <w:trHeight w:val="878"/>
        </w:trPr>
        <w:tc>
          <w:tcPr>
            <w:tcW w:w="5360" w:type="dxa"/>
            <w:vAlign w:val="bottom"/>
            <w:gridSpan w:val="2"/>
          </w:tcPr>
          <w:p>
            <w:pPr>
              <w:spacing w:after="0"/>
              <w:rPr>
                <w:sz w:val="20"/>
                <w:szCs w:val="20"/>
                <w:color w:val="auto"/>
              </w:rPr>
            </w:pPr>
            <w:r>
              <w:rPr>
                <w:rFonts w:ascii="Arial" w:cs="Arial" w:eastAsia="Arial" w:hAnsi="Arial"/>
                <w:sz w:val="18"/>
                <w:szCs w:val="18"/>
                <w:color w:val="auto"/>
              </w:rPr>
              <w:t>EMPLOYEE</w:t>
            </w: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Douglas R. Lebda</w:t>
            </w:r>
          </w:p>
        </w:tc>
      </w:tr>
      <w:tr>
        <w:trPr>
          <w:trHeight w:val="27"/>
        </w:trPr>
        <w:tc>
          <w:tcPr>
            <w:tcW w:w="74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40"/>
              <w:spacing w:after="0"/>
              <w:rPr>
                <w:sz w:val="20"/>
                <w:szCs w:val="20"/>
                <w:color w:val="auto"/>
              </w:rPr>
            </w:pPr>
            <w:r>
              <w:rPr>
                <w:rFonts w:ascii="Arial" w:cs="Arial" w:eastAsia="Arial" w:hAnsi="Arial"/>
                <w:sz w:val="18"/>
                <w:szCs w:val="18"/>
                <w:color w:val="auto"/>
              </w:rPr>
              <w:t>Douglas R. Lebda</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40"/>
              <w:spacing w:after="0"/>
              <w:rPr>
                <w:sz w:val="20"/>
                <w:szCs w:val="20"/>
                <w:color w:val="auto"/>
              </w:rPr>
            </w:pPr>
            <w:r>
              <w:rPr>
                <w:rFonts w:ascii="Arial" w:cs="Arial" w:eastAsia="Arial" w:hAnsi="Arial"/>
                <w:sz w:val="18"/>
                <w:szCs w:val="18"/>
                <w:color w:val="auto"/>
              </w:rPr>
              <w:t>Chairman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3 of 14</w:t>
      </w:r>
    </w:p>
    <w:p>
      <w:pPr>
        <w:sectPr>
          <w:pgSz w:w="11900" w:h="16838" w:orient="portrait"/>
          <w:cols w:equalWidth="0" w:num="1">
            <w:col w:w="11240"/>
          </w:cols>
          <w:pgMar w:left="240" w:top="368"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STANDARD TERMS AND CONDITIONS</w:t>
      </w:r>
    </w:p>
    <w:p>
      <w:pPr>
        <w:spacing w:after="0" w:line="200" w:lineRule="exact"/>
        <w:rPr>
          <w:sz w:val="20"/>
          <w:szCs w:val="20"/>
          <w:color w:val="auto"/>
        </w:rPr>
      </w:pPr>
    </w:p>
    <w:p>
      <w:pPr>
        <w:spacing w:after="0" w:line="38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EMPLOYEE'S EMPLOYMENT.</w:t>
      </w:r>
    </w:p>
    <w:p>
      <w:pPr>
        <w:spacing w:after="0" w:line="184" w:lineRule="exact"/>
        <w:rPr>
          <w:rFonts w:ascii="Arial" w:cs="Arial" w:eastAsia="Arial" w:hAnsi="Arial"/>
          <w:sz w:val="18"/>
          <w:szCs w:val="18"/>
          <w:color w:val="auto"/>
        </w:rPr>
      </w:pPr>
    </w:p>
    <w:p>
      <w:pPr>
        <w:ind w:left="660" w:right="80" w:hanging="4"/>
        <w:spacing w:after="0" w:line="259" w:lineRule="auto"/>
        <w:tabs>
          <w:tab w:leader="none" w:pos="135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Upon termination of Employee's employment prior to the expiration of the Term by reason of Employee's death, the Company shall pay Employee's designated beneficiary or beneficiaries, within 30 days of Employee's death in a lump sum in cash, (i) Employee's Base Salary from the date of Employee's death through the end of the month in which Employee's death occurs and (ii) any Accrued Obligations (as defined in Section 1(f) below).</w:t>
      </w:r>
    </w:p>
    <w:p>
      <w:pPr>
        <w:spacing w:after="0" w:line="146" w:lineRule="exact"/>
        <w:rPr>
          <w:rFonts w:ascii="Arial" w:cs="Arial" w:eastAsia="Arial" w:hAnsi="Arial"/>
          <w:sz w:val="18"/>
          <w:szCs w:val="18"/>
          <w:color w:val="auto"/>
        </w:rPr>
      </w:pPr>
    </w:p>
    <w:p>
      <w:pPr>
        <w:ind w:left="660" w:right="260" w:hanging="4"/>
        <w:spacing w:after="0" w:line="286" w:lineRule="auto"/>
        <w:tabs>
          <w:tab w:leader="none" w:pos="136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Upon termination of Employee's employment prior to expiration of the Term by reason of Employee's Disability, the Company shall pay Employee, within 30 days of such termination in a lump sum in cash, (i) Employee's Base Salary from the date of Employee's termination of employment due to Disability through the end of the month in which such termination occurs, offset by any amounts payable to Employee under any disability insurance plan or policy provided by the Company and (ii) any Accrued Obligations (as defined in</w:t>
      </w:r>
    </w:p>
    <w:p>
      <w:pPr>
        <w:spacing w:after="0" w:line="1" w:lineRule="exact"/>
        <w:rPr>
          <w:rFonts w:ascii="Arial" w:cs="Arial" w:eastAsia="Arial" w:hAnsi="Arial"/>
          <w:sz w:val="16"/>
          <w:szCs w:val="16"/>
          <w:color w:val="auto"/>
        </w:rPr>
      </w:pPr>
    </w:p>
    <w:p>
      <w:pPr>
        <w:ind w:left="660" w:right="40"/>
        <w:spacing w:after="0" w:line="254" w:lineRule="auto"/>
        <w:rPr>
          <w:rFonts w:ascii="Arial" w:cs="Arial" w:eastAsia="Arial" w:hAnsi="Arial"/>
          <w:sz w:val="16"/>
          <w:szCs w:val="16"/>
          <w:color w:val="auto"/>
        </w:rPr>
      </w:pPr>
      <w:r>
        <w:rPr>
          <w:rFonts w:ascii="Arial" w:cs="Arial" w:eastAsia="Arial" w:hAnsi="Arial"/>
          <w:sz w:val="18"/>
          <w:szCs w:val="18"/>
          <w:color w:val="auto"/>
        </w:rPr>
        <w:t>Section 1(f) below). "Disability" shall mean a condition, resulting from bodily injury or disease, that renders, and for a six consecutive month period has rendered, Employee unable to perform substantially the duties pertaining to his employment with the Company. A return to work of less than 14 consecutive days will not be considered an interruption in Employee's six consecutive months of disability. Disability will be determined by the Company on the basis of medical evidence satisfactory to the Company.</w:t>
      </w:r>
    </w:p>
    <w:p>
      <w:pPr>
        <w:spacing w:after="0" w:line="149" w:lineRule="exact"/>
        <w:rPr>
          <w:rFonts w:ascii="Arial" w:cs="Arial" w:eastAsia="Arial" w:hAnsi="Arial"/>
          <w:sz w:val="16"/>
          <w:szCs w:val="16"/>
          <w:color w:val="auto"/>
        </w:rPr>
      </w:pPr>
    </w:p>
    <w:p>
      <w:pPr>
        <w:ind w:left="660" w:right="20" w:hanging="4"/>
        <w:spacing w:after="0" w:line="283" w:lineRule="auto"/>
        <w:tabs>
          <w:tab w:leader="none" w:pos="135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TERMINATION FOR CAUSE: RESIGNATION BY EMPLOYEE WITHOUT GOOD REASON</w:t>
      </w:r>
      <w:r>
        <w:rPr>
          <w:rFonts w:ascii="Arial" w:cs="Arial" w:eastAsia="Arial" w:hAnsi="Arial"/>
          <w:sz w:val="16"/>
          <w:szCs w:val="16"/>
          <w:color w:val="auto"/>
        </w:rPr>
        <w:t xml:space="preserve">. The Company may terminate Employee's employment under this Agreement with or without Cause at any time. Upon termination of Employee's employment prior to expiration of the Term by the Company for Cause or upon Employee's resignation without Good Reason, this Agreement shall terminate without further obligation by the Company, except for the payment of any Accrued Obligations (as defined in Section 1(f) below) within thirty (30) days of such termination. As used herein, "Cause" shall mean: (i) the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or conviction for, a felony offense;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 that after indictment, the Company may suspend Employee from the rendition of services, but without limiting or modifying in any other way the Company's obligations to Employee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Employee's employment shall be immediately reinstated if the indictment is dismissed or otherwise dropped and there is not otherwise grounds to terminate Employee's employment for Cause; (ii) a material breach by Employee of a fiduciary duty owed to the Company; (iii) a material breach by Employee of any of the covenants made by Employee in Section 2 hereof; or (iv) the willful or gross neglect by Employee of the material duties required by this Agreement. Before a cessation of Employee's employment shall be deemed to be a termination of Employee's employment for Cause, (A) the Company shall provide written notice to Employee that identifies the conduct described in clauses (ii), (iii) or (iv) above, as applicable, and (B) in the event that the event or condition is curable, Employee shall have failed to remedy such event or condition within 30 days after Employee shall have received the written notice from the Company described above. As used herein, "Good Reason" shall mean the occurrence of any of the following without Employee's written consent,</w:t>
      </w:r>
    </w:p>
    <w:p>
      <w:pPr>
        <w:spacing w:after="0" w:line="2" w:lineRule="exact"/>
        <w:rPr>
          <w:rFonts w:ascii="Arial" w:cs="Arial" w:eastAsia="Arial" w:hAnsi="Arial"/>
          <w:sz w:val="16"/>
          <w:szCs w:val="16"/>
          <w:color w:val="auto"/>
        </w:rPr>
      </w:pPr>
    </w:p>
    <w:p>
      <w:pPr>
        <w:ind w:left="660" w:hanging="4"/>
        <w:spacing w:after="0" w:line="269" w:lineRule="auto"/>
        <w:tabs>
          <w:tab w:leader="none" w:pos="87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material adverse change in Employee's, title, duties, operational authorities or reporting responsibilities as they relate to Employee's position as Chairman and Chief Executive Officer of the Company from those in effect immediately following the Agreement Date, excluding for this purpose any such change that is an isolated and inadvertent action not taken in bad faith and that is remedied by the Company promptly after receipt of notice thereof given by the Employee, (ii) a material reduction in Employee's annual base salary, (iii) a relocation of Employee's principal place of business more than 25 miles from the Charlotte, North Carolina metropolitan area, or (iv) a material breach by the Company of this Agreement, excluding for this purpose any such action that is an isolated and inadvertent action not taken in bad faith and that is remedied by the Company promptly after receipt of notice thereof given by the Employee.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14</w:t>
      </w:r>
    </w:p>
    <w:p>
      <w:pPr>
        <w:sectPr>
          <w:pgSz w:w="11900" w:h="16838" w:orient="portrait"/>
          <w:cols w:equalWidth="0" w:num="1">
            <w:col w:w="11400"/>
          </w:cols>
          <w:pgMar w:left="240" w:top="364" w:right="259" w:bottom="1440" w:gutter="0" w:footer="0" w:header="0"/>
        </w:sectPr>
      </w:pPr>
    </w:p>
    <w:bookmarkStart w:id="38" w:name="page39"/>
    <w:bookmarkEnd w:id="38"/>
    <w:p>
      <w:pPr>
        <w:ind w:left="4" w:hanging="4"/>
        <w:spacing w:after="0" w:line="253" w:lineRule="auto"/>
        <w:tabs>
          <w:tab w:leader="none" w:pos="70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OTHER THAN FOR DEATH, DISABILITY OR CAUSE; RESIGNATION BY EMPLOYEE FOR GOOD REASON</w:t>
      </w:r>
      <w:r>
        <w:rPr>
          <w:rFonts w:ascii="Arial" w:cs="Arial" w:eastAsia="Arial" w:hAnsi="Arial"/>
          <w:sz w:val="18"/>
          <w:szCs w:val="18"/>
          <w:color w:val="auto"/>
        </w:rPr>
        <w:t>. Upon termination of Employee's employment with the Company prior to expiration of the Term (i) by the Company without Cause (other than for death or Disability) or (ii) upon Employee's resignation for Good Reason (either such termination, a "Qualifying Termination"), Employee shall receive the payments and benefits described in clauses (A) through (C) below, but only if Employee executes and does not revoke a general release of the Company and its affiliates substantially in the form attached hereto as Exhibit A (the "Release") and Employee complies with Sections 2(a) through 2(e). If Employee does not execute the Release within forty-five (45) days following the Qualifying Termination, or if Employee revokes the Release (the end of the permitted revocation period following execution without revocation being exercised, the "Release Effective Date"), Employee's entitlement to the payments and benefits described in clauses (A) through (C) below shall immediately become null and void.</w:t>
      </w:r>
    </w:p>
    <w:p>
      <w:pPr>
        <w:spacing w:after="0" w:line="157" w:lineRule="exact"/>
        <w:rPr>
          <w:sz w:val="20"/>
          <w:szCs w:val="20"/>
          <w:color w:val="auto"/>
        </w:rPr>
      </w:pPr>
    </w:p>
    <w:p>
      <w:pPr>
        <w:ind w:left="284" w:hanging="284"/>
        <w:spacing w:after="0"/>
        <w:tabs>
          <w:tab w:leader="none" w:pos="2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amount (the "Severance Amount") equal to the greater of:</w:t>
      </w:r>
    </w:p>
    <w:p>
      <w:pPr>
        <w:spacing w:after="0" w:line="184" w:lineRule="exact"/>
        <w:rPr>
          <w:rFonts w:ascii="Arial" w:cs="Arial" w:eastAsia="Arial" w:hAnsi="Arial"/>
          <w:sz w:val="18"/>
          <w:szCs w:val="18"/>
          <w:color w:val="auto"/>
        </w:rPr>
      </w:pPr>
    </w:p>
    <w:p>
      <w:pPr>
        <w:ind w:left="644" w:right="100" w:firstLine="5"/>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amount of Base Salary (calculated using Employee's then-current Base Salary) that Employee would have received had his employment continued over the period commencing on the date of the Qualifying Termination and ending on the second anniversary of the date of the Qualifying Termination, or</w:t>
      </w:r>
    </w:p>
    <w:p>
      <w:pPr>
        <w:spacing w:after="0" w:line="140" w:lineRule="exact"/>
        <w:rPr>
          <w:rFonts w:ascii="Arial" w:cs="Arial" w:eastAsia="Arial" w:hAnsi="Arial"/>
          <w:sz w:val="18"/>
          <w:szCs w:val="18"/>
          <w:color w:val="auto"/>
        </w:rPr>
      </w:pPr>
    </w:p>
    <w:p>
      <w:pPr>
        <w:ind w:left="644" w:right="220" w:firstLine="5"/>
        <w:spacing w:after="0" w:line="277" w:lineRule="auto"/>
        <w:tabs>
          <w:tab w:leader="none" w:pos="909" w:val="left"/>
        </w:tabs>
        <w:numPr>
          <w:ilvl w:val="1"/>
          <w:numId w:val="20"/>
        </w:numPr>
        <w:rPr>
          <w:rFonts w:ascii="Arial" w:cs="Arial" w:eastAsia="Arial" w:hAnsi="Arial"/>
          <w:sz w:val="18"/>
          <w:szCs w:val="18"/>
          <w:color w:val="auto"/>
        </w:rPr>
      </w:pPr>
      <w:r>
        <w:rPr>
          <w:rFonts w:ascii="Arial" w:cs="Arial" w:eastAsia="Arial" w:hAnsi="Arial"/>
          <w:sz w:val="18"/>
          <w:szCs w:val="18"/>
          <w:color w:val="auto"/>
        </w:rPr>
        <w:t>one times Employee's then-current Base Salary plus Employee's target annual bonus for the bonus program in effect for Employee for the year in which Employee's employment terminates.</w:t>
      </w:r>
    </w:p>
    <w:p>
      <w:pPr>
        <w:spacing w:after="0" w:line="143" w:lineRule="exact"/>
        <w:rPr>
          <w:sz w:val="20"/>
          <w:szCs w:val="20"/>
          <w:color w:val="auto"/>
        </w:rPr>
      </w:pPr>
    </w:p>
    <w:p>
      <w:pPr>
        <w:ind w:left="644" w:right="80"/>
        <w:spacing w:after="0" w:line="244" w:lineRule="auto"/>
        <w:rPr>
          <w:sz w:val="20"/>
          <w:szCs w:val="20"/>
          <w:color w:val="auto"/>
        </w:rPr>
      </w:pPr>
      <w:r>
        <w:rPr>
          <w:rFonts w:ascii="Arial" w:cs="Arial" w:eastAsia="Arial" w:hAnsi="Arial"/>
          <w:sz w:val="17"/>
          <w:szCs w:val="17"/>
          <w:color w:val="auto"/>
        </w:rPr>
        <w:t>The Severance Amount shall be paid in substantially equal payments over two years in accordance with the Company's normal payroll practices in effect at the time of Employee's termination of employment beginning on the regularly scheduled payroll date immediately following the Release Effective Date;. provided, however, that if the Severance Amount is determined to be "nonqualified deferred compensation" that is subject to Section 409A (as defined below), then the first installment shall be made on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of the Qualifying Termination and shall include the amount of all payments that would have been made after the Release Effective Date but before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such Qualifying Termination, and the remaining Severance Amount shall be payable in installments as specified above on the Company's regularly scheduled payroll dates following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such Qualifying Termination;</w:t>
      </w:r>
    </w:p>
    <w:p>
      <w:pPr>
        <w:spacing w:after="0" w:line="163" w:lineRule="exact"/>
        <w:rPr>
          <w:sz w:val="20"/>
          <w:szCs w:val="20"/>
          <w:color w:val="auto"/>
        </w:rPr>
      </w:pPr>
    </w:p>
    <w:p>
      <w:pPr>
        <w:ind w:left="284" w:hanging="284"/>
        <w:spacing w:after="0"/>
        <w:tabs>
          <w:tab w:leader="none" w:pos="2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lump sum cash payment equal to any Accrued Obligations payable within thirty (30) days of the Qualifying Termination; and</w:t>
      </w:r>
    </w:p>
    <w:p>
      <w:pPr>
        <w:spacing w:after="0" w:line="184" w:lineRule="exact"/>
        <w:rPr>
          <w:rFonts w:ascii="Arial" w:cs="Arial" w:eastAsia="Arial" w:hAnsi="Arial"/>
          <w:sz w:val="18"/>
          <w:szCs w:val="18"/>
          <w:color w:val="auto"/>
        </w:rPr>
      </w:pPr>
    </w:p>
    <w:p>
      <w:pPr>
        <w:ind w:left="4" w:right="20" w:hanging="4"/>
        <w:spacing w:after="0" w:line="297" w:lineRule="auto"/>
        <w:tabs>
          <w:tab w:leader="none" w:pos="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the extent previously granted, the Employee shall be fully vested in all outstanding equity awards that he holds on the termination date, and any Company stock option awards shall remain exercisable for a period of twenty-four months from the date of such termination; provided that no option will be exercisable beyond the outside date for exercise specified therein or beyond termination of such option for a reason other than Employee's termination of service. Employee understands that any incentive stock options he holds will no longer be deemed incentive stock options under the U.S. Internal Revenue Code of 1986, as amended (the "Code"), if exercised more than three months after termination of employment.</w:t>
      </w:r>
    </w:p>
    <w:p>
      <w:pPr>
        <w:spacing w:after="0" w:line="118" w:lineRule="exact"/>
        <w:rPr>
          <w:sz w:val="20"/>
          <w:szCs w:val="20"/>
          <w:color w:val="auto"/>
        </w:rPr>
      </w:pPr>
    </w:p>
    <w:p>
      <w:pPr>
        <w:ind w:left="4" w:right="160"/>
        <w:spacing w:after="0" w:line="255" w:lineRule="auto"/>
        <w:rPr>
          <w:sz w:val="20"/>
          <w:szCs w:val="20"/>
          <w:color w:val="auto"/>
        </w:rPr>
      </w:pPr>
      <w:r>
        <w:rPr>
          <w:rFonts w:ascii="Arial" w:cs="Arial" w:eastAsia="Arial" w:hAnsi="Arial"/>
          <w:sz w:val="18"/>
          <w:szCs w:val="18"/>
          <w:color w:val="auto"/>
        </w:rPr>
        <w:t>Notwithstanding the foregoing, in no event shall Employee's resignation be for Good Reason unless (x) an event or circumstance set forth in any of clauses (i) through (iv) of the definition thereof shall have occurred and Employee provides the Company with written notice thereof within forty-five (45) days after Employee has knowledge of the occurrence or existence of such event or circumstance, which notice specifically identifies the event or circumstance that Employee believes constitutes Good Reason, (y) the Company fails to correct the circumstance or event so identified within thirty (30) days after the receipt of such notice, and (z) Employee resigns within ninety (90) days after the date of delivery of the notice referred to in clause (x) above.</w:t>
      </w:r>
    </w:p>
    <w:p>
      <w:pPr>
        <w:spacing w:after="0" w:line="396"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Page 5 of 14</w:t>
      </w:r>
    </w:p>
    <w:p>
      <w:pPr>
        <w:sectPr>
          <w:pgSz w:w="11900" w:h="16838" w:orient="portrait"/>
          <w:cols w:equalWidth="0" w:num="1">
            <w:col w:w="10764"/>
          </w:cols>
          <w:pgMar w:left="896" w:top="368" w:right="239" w:bottom="1440" w:gutter="0" w:footer="0" w:header="0"/>
        </w:sectPr>
      </w:pPr>
    </w:p>
    <w:bookmarkStart w:id="39" w:name="page40"/>
    <w:bookmarkEnd w:id="39"/>
    <w:p>
      <w:pPr>
        <w:ind w:left="652" w:right="40" w:hanging="4"/>
        <w:spacing w:after="0" w:line="273" w:lineRule="auto"/>
        <w:tabs>
          <w:tab w:leader="none" w:pos="1347"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MITIGATION; OFFSET</w:t>
      </w:r>
      <w:r>
        <w:rPr>
          <w:rFonts w:ascii="Arial" w:cs="Arial" w:eastAsia="Arial" w:hAnsi="Arial"/>
          <w:sz w:val="17"/>
          <w:szCs w:val="17"/>
          <w:color w:val="auto"/>
        </w:rPr>
        <w:t>. In the event of a termination of Employee's employment prior to the end of the Term, in no event shall Employee be obligated to seek other employment or take any other action by way of mitigation of severance benefits or other compensation or benefits. If Employee obtains other employment during the Term, the amount of any severance payments to be made to Employee under Section 1(d) hereof after the date such employment is secured shall be offset by the amount of compensation earned by Employee from such employment through the end of the Term. For purposes of this Section 1(e), Employee shall have an obligation to inform the Company promptly regarding Employee's employment status following termination and during the period encompassing the Term.</w:t>
      </w:r>
    </w:p>
    <w:p>
      <w:pPr>
        <w:spacing w:after="0" w:line="137" w:lineRule="exact"/>
        <w:rPr>
          <w:rFonts w:ascii="Arial" w:cs="Arial" w:eastAsia="Arial" w:hAnsi="Arial"/>
          <w:sz w:val="17"/>
          <w:szCs w:val="17"/>
          <w:color w:val="auto"/>
        </w:rPr>
      </w:pPr>
    </w:p>
    <w:p>
      <w:pPr>
        <w:ind w:left="652" w:right="140" w:hanging="4"/>
        <w:spacing w:after="0" w:line="293" w:lineRule="auto"/>
        <w:tabs>
          <w:tab w:leader="none" w:pos="137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As used in this Agreement, "Accrued Obligations" shall mean the sum of (i) any portion of Employee's accrued but unpaid Base Salary through the date of death or termination of employment for any reason, as the case may be; (ii) any compensation previously earned but deferred by Employee (together with any interest or earnings thereon) that has not yet been paid, (iii) any reasonable and necessary business expenses incurred by Employee prior to the date of termination of employment but not yet reimbursed and (iv) any benefits earned by Employee but unpaid or unused at the date of termination of employment provided that the payout of these benefits is consistent with the plans, policies, programs and practices of the Company at the date of termination of employment.</w:t>
      </w:r>
    </w:p>
    <w:p>
      <w:pPr>
        <w:spacing w:after="0" w:line="124" w:lineRule="exact"/>
        <w:rPr>
          <w:rFonts w:ascii="Arial" w:cs="Arial" w:eastAsia="Arial" w:hAnsi="Arial"/>
          <w:sz w:val="16"/>
          <w:szCs w:val="16"/>
          <w:color w:val="auto"/>
        </w:rPr>
      </w:pPr>
    </w:p>
    <w:p>
      <w:pPr>
        <w:ind w:left="652" w:hanging="4"/>
        <w:spacing w:after="0" w:line="257" w:lineRule="auto"/>
        <w:tabs>
          <w:tab w:leader="none" w:pos="135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QUALIFYING TERMINATION WITHIN ONE YEAR FOLLOWING CHANGE IN CONTROL</w:t>
      </w:r>
      <w:r>
        <w:rPr>
          <w:rFonts w:ascii="Arial" w:cs="Arial" w:eastAsia="Arial" w:hAnsi="Arial"/>
          <w:sz w:val="18"/>
          <w:szCs w:val="18"/>
          <w:color w:val="auto"/>
        </w:rPr>
        <w:t>. Reference is made to the change in control letter issued by Company to certain executives of Company, as the same may be revised from time to time (the "CIC Letter"). In the event that Employee experiences a Qualifying Termination within the one-year period following a Change in Control (as defined in the CIC Letter), the terms of the CIC Letter, as it may be amended from time to time, shall control and supersede the terms of this Agreement with respect to any benefits or payments which would otherwise be due hereunder.</w:t>
      </w:r>
    </w:p>
    <w:p>
      <w:pPr>
        <w:spacing w:after="0" w:line="161" w:lineRule="exact"/>
        <w:rPr>
          <w:rFonts w:ascii="Arial" w:cs="Arial" w:eastAsia="Arial" w:hAnsi="Arial"/>
          <w:sz w:val="18"/>
          <w:szCs w:val="18"/>
          <w:color w:val="auto"/>
        </w:rPr>
      </w:pPr>
    </w:p>
    <w:p>
      <w:pPr>
        <w:jc w:val="both"/>
        <w:ind w:left="-8" w:right="80" w:firstLine="8"/>
        <w:spacing w:after="0" w:line="279" w:lineRule="auto"/>
        <w:tabs>
          <w:tab w:leader="none" w:pos="71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NON-COMPETE; NON-SOLICITATION; AND PROPRIETARY RIGHTS</w:t>
      </w:r>
      <w:r>
        <w:rPr>
          <w:rFonts w:ascii="Arial" w:cs="Arial" w:eastAsia="Arial" w:hAnsi="Arial"/>
          <w:sz w:val="18"/>
          <w:szCs w:val="18"/>
          <w:color w:val="auto"/>
        </w:rPr>
        <w:t>. Executive covenants as follows, except in the event of a Qualifying Termination within one year following a Change in Control (in which instance, Executive agrees to be bound by the terms of the CIC Letter):</w:t>
      </w:r>
    </w:p>
    <w:p>
      <w:pPr>
        <w:spacing w:after="0" w:line="128" w:lineRule="exact"/>
        <w:rPr>
          <w:rFonts w:ascii="Arial" w:cs="Arial" w:eastAsia="Arial" w:hAnsi="Arial"/>
          <w:sz w:val="18"/>
          <w:szCs w:val="18"/>
          <w:color w:val="auto"/>
        </w:rPr>
      </w:pPr>
    </w:p>
    <w:p>
      <w:pPr>
        <w:ind w:left="652" w:right="20" w:hanging="4"/>
        <w:spacing w:after="0" w:line="286" w:lineRule="auto"/>
        <w:tabs>
          <w:tab w:leader="none" w:pos="1347"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Employee acknowledges that while employed by the Company, Employee will occupy a position of trust and confidence. Employee shall not, except as may be required to perform Employee's duties hereunder or as required by applicable law, disclose to others or use, whether directly or indirectly, any Confidential Information. "Confidential Information" shall mean information about the Company or any of its subsidiaries or affiliates, and their clients and customers that is not disclosed by the Company or any of its subsidiaries or affiliates for financial reporting purposes and that was learned by Employee in the course of employment with the Company or any of its subsidiaries or affiliates, including without limitation any proprietary knowledge, trade secrets, data, formulae, information and client and customer lists and all papers, resumes, and records (including computer records) of the documents containing such Confidential Information. Employee acknowledges that such Confidential Information is specialized, unique in nature and of great value to the Company and its subsidiaries or affiliates, and that such information gives the Company and its subsidiaries or affiliates a competitive advantage. Employee agrees to deliver or return to the Company, at the Company's request at any time or upon termination or expiration of Employee's employment or as soon thereafter as possible, all documents, computer tapes and disks, records, lists, data, drawings, prints, notes and written information (and all copies thereof) furnished by the Company and its subsidiaries or affiliates or prepared by Employee in the course of Employee's employment by the Company and its subsidiaries or affiliates. As used in this Agreement, "affiliates" shall mean any company controlled by, controlling or under common control with the Company.</w:t>
      </w:r>
    </w:p>
    <w:p>
      <w:pPr>
        <w:spacing w:after="0" w:line="134" w:lineRule="exact"/>
        <w:rPr>
          <w:rFonts w:ascii="Arial" w:cs="Arial" w:eastAsia="Arial" w:hAnsi="Arial"/>
          <w:sz w:val="16"/>
          <w:szCs w:val="16"/>
          <w:color w:val="auto"/>
        </w:rPr>
      </w:pPr>
    </w:p>
    <w:p>
      <w:pPr>
        <w:ind w:left="652" w:right="300" w:hanging="4"/>
        <w:spacing w:after="0" w:line="279" w:lineRule="auto"/>
        <w:tabs>
          <w:tab w:leader="none" w:pos="1357"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Term and for a period of 24 months beyond Employee's date of termination of employment for any reason following the date hereof (the "Restricted Period"), Employee shall not, without the prior written consent of the Company, directly or indirectly, engage in or become associated with a Competitive Activity. For purposes of this Section 2(b): (i) a "Competitive Activity" means any business or other endeavor, in any state of the United States or a comparable jurisdiction in</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14</w:t>
      </w:r>
    </w:p>
    <w:p>
      <w:pPr>
        <w:sectPr>
          <w:pgSz w:w="11900" w:h="16838" w:orient="portrait"/>
          <w:cols w:equalWidth="0" w:num="1">
            <w:col w:w="11412"/>
          </w:cols>
          <w:pgMar w:left="248" w:top="368" w:right="239" w:bottom="1440" w:gutter="0" w:footer="0" w:header="0"/>
        </w:sectPr>
      </w:pPr>
    </w:p>
    <w:bookmarkStart w:id="40" w:name="page41"/>
    <w:bookmarkEnd w:id="40"/>
    <w:p>
      <w:pPr>
        <w:ind w:left="4"/>
        <w:spacing w:after="0" w:line="268" w:lineRule="auto"/>
        <w:rPr>
          <w:sz w:val="20"/>
          <w:szCs w:val="20"/>
          <w:color w:val="auto"/>
        </w:rPr>
      </w:pPr>
      <w:r>
        <w:rPr>
          <w:rFonts w:ascii="Arial" w:cs="Arial" w:eastAsia="Arial" w:hAnsi="Arial"/>
          <w:sz w:val="17"/>
          <w:szCs w:val="17"/>
          <w:color w:val="auto"/>
        </w:rPr>
        <w:t>Canada or any other country, involving products or services that are the same or similar to the type of products or services that the Company is engaged in providing both (x) as of the date hereof or at any time during the Term and (y) at any time during the twelve (12) month period preceding Employee's termination of employment, and (ii) Employee shall be considered to have become "associated with a Competitive Activity" if Employee becomes directly or indirectly involved as an owner, principal, employee, officer, director, independent contractor, representative, stockholder, financial backer, agent, partner, member, advisor, lender, or in any other individual or representative capacity with any individual, partnership, corporation or other organization that is engaged in a Competitive Activity. Notwithstanding the foregoing, (i) Employee may make and retain investments during the Restricted Period, for investment purposes only, in less than one percent (1%) of the outstanding capital stock of any publicly-traded corporation engaged in a Competitive Activity if the stock of such corporation is either listed on a national stock exchange or on the NASDAQ National Market System if Employee is not otherwise affiliated with such corporation and (ii) Employee may become employed by a partnership, corporation or other organization that is engaged in a Competitive Activity so long as Employee has no direct or indirect responsibilities or involvement in the Competitive Activity. Notwithstanding the foregoing and exclusively with respect to Employee's termination of employment pursuant to Section 1(g), the Restricted Period shall be reduced from 24 months to 12 months following Employee's date of termination, solely to the extent applicable to Competitive Activity unrelated to online lending.</w:t>
      </w:r>
    </w:p>
    <w:p>
      <w:pPr>
        <w:spacing w:after="0" w:line="147" w:lineRule="exact"/>
        <w:rPr>
          <w:sz w:val="20"/>
          <w:szCs w:val="20"/>
          <w:color w:val="auto"/>
        </w:rPr>
      </w:pPr>
    </w:p>
    <w:p>
      <w:pPr>
        <w:ind w:left="4" w:right="140" w:hanging="4"/>
        <w:spacing w:after="0" w:line="286" w:lineRule="auto"/>
        <w:tabs>
          <w:tab w:leader="none" w:pos="699"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During the Restricted Period, Employee shall not, without the prior written consent of the Company, directly or indirectly, hire or recruit or solicit the employment or services of (whether as an employee, officer, director, agent, consultant or independent contractor), any employee, officer, director, agent, consultant or independent contractor of the Company or any of its subsidiaries or affiliates (except for such employment or hiring by the Company or any of its subsidiaries or affiliates); provided, however that this</w:t>
      </w:r>
    </w:p>
    <w:p>
      <w:pPr>
        <w:spacing w:after="0" w:line="1" w:lineRule="exact"/>
        <w:rPr>
          <w:rFonts w:ascii="Arial" w:cs="Arial" w:eastAsia="Arial" w:hAnsi="Arial"/>
          <w:sz w:val="16"/>
          <w:szCs w:val="16"/>
          <w:color w:val="auto"/>
        </w:rPr>
      </w:pPr>
    </w:p>
    <w:p>
      <w:pPr>
        <w:ind w:left="4"/>
        <w:spacing w:after="0" w:line="254" w:lineRule="auto"/>
        <w:rPr>
          <w:rFonts w:ascii="Arial" w:cs="Arial" w:eastAsia="Arial" w:hAnsi="Arial"/>
          <w:sz w:val="16"/>
          <w:szCs w:val="16"/>
          <w:color w:val="auto"/>
        </w:rPr>
      </w:pPr>
      <w:r>
        <w:rPr>
          <w:rFonts w:ascii="Arial" w:cs="Arial" w:eastAsia="Arial" w:hAnsi="Arial"/>
          <w:sz w:val="18"/>
          <w:szCs w:val="18"/>
          <w:color w:val="auto"/>
        </w:rPr>
        <w:t>Section 2(c) shall not apply to any hiring which results solely from a general solicitation of employment that was not directed to employees of the Company or any of its subsidiaries or affiliates. Notwithstanding the foregoing and exclusively with respect to Employee's termination of employment pursuant to Section 1(g), the Restricted Period shall be reduced from 24 months to 12 months following Employee's date of termination, solely to the extent applicable to Competitive Activity unrelated to online lending.</w:t>
      </w:r>
    </w:p>
    <w:p>
      <w:pPr>
        <w:spacing w:after="0" w:line="149" w:lineRule="exact"/>
        <w:rPr>
          <w:rFonts w:ascii="Arial" w:cs="Arial" w:eastAsia="Arial" w:hAnsi="Arial"/>
          <w:sz w:val="16"/>
          <w:szCs w:val="16"/>
          <w:color w:val="auto"/>
        </w:rPr>
      </w:pPr>
    </w:p>
    <w:p>
      <w:pPr>
        <w:ind w:left="4" w:hanging="4"/>
        <w:spacing w:after="0" w:line="255" w:lineRule="auto"/>
        <w:tabs>
          <w:tab w:leader="none" w:pos="70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NON-SOLICITATION OF BUSINESS PARTNERS</w:t>
      </w:r>
      <w:r>
        <w:rPr>
          <w:rFonts w:ascii="Arial" w:cs="Arial" w:eastAsia="Arial" w:hAnsi="Arial"/>
          <w:sz w:val="18"/>
          <w:szCs w:val="18"/>
          <w:color w:val="auto"/>
        </w:rPr>
        <w:t>. During the Restricted Period, Employee shall not, without the prior written consent of the Company, directly or indirectly, solicit, attempt to do business with, or do business with any business partners or business affiliates of the Company or any of its subsidiaries or those affiliates of the Company that are engaged in a Competitive Activity, or encourage (regardless of who initiates the contact) any such business partners or business affiliates to use the services of any competitor of the Company, its subsidiaries or affiliates. Notwithstanding the foregoing and exclusively with respect to Employee's termination of employment pursuant to Section 1(g), the Restricted Period shall be reduced from 24 months to 12 months following Employee's date of termination, solely to the extent applicable to Competitive Activity unrelated to online lending.</w:t>
      </w:r>
    </w:p>
    <w:p>
      <w:pPr>
        <w:spacing w:after="0" w:line="148" w:lineRule="exact"/>
        <w:rPr>
          <w:rFonts w:ascii="Arial" w:cs="Arial" w:eastAsia="Arial" w:hAnsi="Arial"/>
          <w:sz w:val="18"/>
          <w:szCs w:val="18"/>
          <w:color w:val="auto"/>
        </w:rPr>
      </w:pPr>
    </w:p>
    <w:p>
      <w:pPr>
        <w:ind w:left="4" w:right="20" w:hanging="4"/>
        <w:spacing w:after="0" w:line="270" w:lineRule="auto"/>
        <w:tabs>
          <w:tab w:leader="none" w:pos="69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PROPRIETARY RIGHTS; ASSIGNMENT</w:t>
      </w:r>
      <w:r>
        <w:rPr>
          <w:rFonts w:ascii="Arial" w:cs="Arial" w:eastAsia="Arial" w:hAnsi="Arial"/>
          <w:sz w:val="17"/>
          <w:szCs w:val="17"/>
          <w:color w:val="auto"/>
        </w:rPr>
        <w:t>. All Employee Developments shall be made for hire by Employee for the Company or any of its subsidiaries or affiliates. "Employee Developments" means any idea, discovery, invention, design, method, technique, improvement, enhancement, development, computer program, machine, algorithm or other work or authorship that (i) relates to the business or operations of the Company or any of its subsidiaries or affiliates, or (ii) results from or is suggested by any undertaking assigned to the Employee or work performed by the Employee for or on behalf of the Company or any of its subsidiaries or affiliates, whether created alone or with others, during or after working hours. All Confidential Information and all Employee Developments shall remain the sole property of the Company or any of its subsidiaries or affiliates. The Employee shall acquire no proprietary interest in any Confidential Information or Employee Developments developed or acquired during the Term. To the extent the Employee may, by operation of law or otherwise, acquire any right, title or interest in or to any Confidential Information or Employee Development, the Employee hereby assigns to the Company all such proprietary rights. The Employee shall, both during and after the Term, upon the Company's request,</w:t>
      </w:r>
    </w:p>
    <w:p>
      <w:pPr>
        <w:spacing w:after="0" w:line="380"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Page 7 of 14</w:t>
      </w:r>
    </w:p>
    <w:p>
      <w:pPr>
        <w:sectPr>
          <w:pgSz w:w="11900" w:h="16838" w:orient="portrait"/>
          <w:cols w:equalWidth="0" w:num="1">
            <w:col w:w="10764"/>
          </w:cols>
          <w:pgMar w:left="896" w:top="368" w:right="239" w:bottom="1440" w:gutter="0" w:footer="0" w:header="0"/>
        </w:sectPr>
      </w:pPr>
    </w:p>
    <w:bookmarkStart w:id="41" w:name="page42"/>
    <w:bookmarkEnd w:id="41"/>
    <w:p>
      <w:pPr>
        <w:ind w:left="652" w:right="180"/>
        <w:spacing w:after="0" w:line="264" w:lineRule="auto"/>
        <w:rPr>
          <w:sz w:val="20"/>
          <w:szCs w:val="20"/>
          <w:color w:val="auto"/>
        </w:rPr>
      </w:pPr>
      <w:r>
        <w:rPr>
          <w:rFonts w:ascii="Arial" w:cs="Arial" w:eastAsia="Arial" w:hAnsi="Arial"/>
          <w:sz w:val="18"/>
          <w:szCs w:val="18"/>
          <w:color w:val="auto"/>
        </w:rPr>
        <w:t>promptly execute and deliver to the Company all such assignments,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w:t>
      </w:r>
    </w:p>
    <w:p>
      <w:pPr>
        <w:spacing w:after="0" w:line="141" w:lineRule="exact"/>
        <w:rPr>
          <w:sz w:val="20"/>
          <w:szCs w:val="20"/>
          <w:color w:val="auto"/>
        </w:rPr>
      </w:pPr>
    </w:p>
    <w:p>
      <w:pPr>
        <w:ind w:left="652" w:right="580" w:hanging="4"/>
        <w:spacing w:after="0" w:line="277" w:lineRule="auto"/>
        <w:tabs>
          <w:tab w:leader="none" w:pos="137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During the Term, Employee shall adhere to the policies and standards of professionalism set forth in the Company's policies and procedures as they may exist from time to time.</w:t>
      </w:r>
    </w:p>
    <w:p>
      <w:pPr>
        <w:spacing w:after="0" w:line="129" w:lineRule="exact"/>
        <w:rPr>
          <w:rFonts w:ascii="Arial" w:cs="Arial" w:eastAsia="Arial" w:hAnsi="Arial"/>
          <w:sz w:val="18"/>
          <w:szCs w:val="18"/>
          <w:color w:val="auto"/>
        </w:rPr>
      </w:pPr>
    </w:p>
    <w:p>
      <w:pPr>
        <w:ind w:left="652" w:right="20" w:hanging="4"/>
        <w:spacing w:after="0" w:line="342" w:lineRule="auto"/>
        <w:tabs>
          <w:tab w:leader="none" w:pos="135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REMEDIES FOR BREACH</w:t>
      </w:r>
      <w:r>
        <w:rPr>
          <w:rFonts w:ascii="Arial" w:cs="Arial" w:eastAsia="Arial" w:hAnsi="Arial"/>
          <w:sz w:val="16"/>
          <w:szCs w:val="16"/>
          <w:color w:val="auto"/>
        </w:rPr>
        <w:t>. Employee expressly agrees and understands that Employee will notify the Company in writing of any alleged breach of this Agreement by the Company, and the Company will have 30 days from receipt of Employee's notice to cure any such breach.</w:t>
      </w:r>
    </w:p>
    <w:p>
      <w:pPr>
        <w:spacing w:after="0" w:line="83" w:lineRule="exact"/>
        <w:rPr>
          <w:sz w:val="20"/>
          <w:szCs w:val="20"/>
          <w:color w:val="auto"/>
        </w:rPr>
      </w:pPr>
    </w:p>
    <w:p>
      <w:pPr>
        <w:ind w:left="652" w:right="20"/>
        <w:spacing w:after="0" w:line="255" w:lineRule="auto"/>
        <w:rPr>
          <w:sz w:val="20"/>
          <w:szCs w:val="20"/>
          <w:color w:val="auto"/>
        </w:rPr>
      </w:pPr>
      <w:r>
        <w:rPr>
          <w:rFonts w:ascii="Arial" w:cs="Arial" w:eastAsia="Arial" w:hAnsi="Arial"/>
          <w:sz w:val="18"/>
          <w:szCs w:val="18"/>
          <w:color w:val="auto"/>
        </w:rPr>
        <w:t>Employee expressly agrees and understands that the remedy at law for any breach by Employee of this Section 2 will be inadequate and that damages flowing from such breach are not usually susceptible to being measured in monetary terms. Accordingly, it is acknowledged that upon Employee's violation of any provision of this Section 2, in addition to any remedy that the Company may have at law,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in this Section 2 shall be deemed to limit the Company's remedies at law or in equity for any breach by Employee of any of the provisions of this Section 2, which may be pursued by or available to the Company.</w:t>
      </w:r>
    </w:p>
    <w:p>
      <w:pPr>
        <w:spacing w:after="0" w:line="149" w:lineRule="exact"/>
        <w:rPr>
          <w:sz w:val="20"/>
          <w:szCs w:val="20"/>
          <w:color w:val="auto"/>
        </w:rPr>
      </w:pPr>
    </w:p>
    <w:p>
      <w:pPr>
        <w:ind w:left="652" w:right="140" w:hanging="4"/>
        <w:spacing w:after="0" w:line="272" w:lineRule="auto"/>
        <w:tabs>
          <w:tab w:leader="none" w:pos="1357"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SURVIVAL OF PROVISIONS</w:t>
      </w:r>
      <w:r>
        <w:rPr>
          <w:rFonts w:ascii="Arial" w:cs="Arial" w:eastAsia="Arial" w:hAnsi="Arial"/>
          <w:sz w:val="17"/>
          <w:szCs w:val="17"/>
          <w:color w:val="auto"/>
        </w:rPr>
        <w:t>. The obligations contained in this Section 2 shall, to the extent provided in this Section 2, survive the termination or expiration of Employee's employment with the Company and, as applicable, shall be fully enforceable thereafter in accordance with the terms of this Agreement. If it is determined by a court of competent jurisdiction in any state that any restriction in this Section 2 is excessive in duration or scope or is unreasonable or unenforceable under the laws of that state, it is the intention of the parties that such restriction may be modified or amended by the court to render it enforceable to the maximum extent permitted by the law of that state. If any of the covenants of this Section 2 are determined to be wholly or partially unenforceable in any jurisdiction, such determination shall not be a bar to or in any way diminish the rights of the Company or its affiliates, as applicable, to enforce any such covenant in any other jurisdiction.</w:t>
      </w:r>
    </w:p>
    <w:p>
      <w:pPr>
        <w:spacing w:after="0" w:line="137" w:lineRule="exact"/>
        <w:rPr>
          <w:rFonts w:ascii="Arial" w:cs="Arial" w:eastAsia="Arial" w:hAnsi="Arial"/>
          <w:sz w:val="17"/>
          <w:szCs w:val="17"/>
          <w:color w:val="auto"/>
        </w:rPr>
      </w:pPr>
    </w:p>
    <w:p>
      <w:pPr>
        <w:ind w:left="-8" w:right="80" w:firstLine="8"/>
        <w:spacing w:after="0" w:line="257" w:lineRule="auto"/>
        <w:tabs>
          <w:tab w:leader="none" w:pos="71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WAIVER OF PRIOR AGREEMENTS</w:t>
      </w:r>
      <w:r>
        <w:rPr>
          <w:rFonts w:ascii="Arial" w:cs="Arial" w:eastAsia="Arial" w:hAnsi="Arial"/>
          <w:sz w:val="18"/>
          <w:szCs w:val="18"/>
          <w:color w:val="auto"/>
        </w:rPr>
        <w:t>. This Agreement constitutes the entire agreement between the parties, and Employee acknowledges that he has waived, effective as of the Agreement Date, any and all rights under prior agreements and understandings (whether written or oral) between Employee with respect to the subject matter of this Agreement. Employee acknowledges and agrees that neither the Company nor anyone acting on its behalf has made, and is not making, and in executing this Agreement, the Employee has not relied upon, any representations, promises or inducements except to the extent the same is expressly set forth in this Agreement.</w:t>
      </w:r>
    </w:p>
    <w:p>
      <w:pPr>
        <w:spacing w:after="0" w:line="147" w:lineRule="exact"/>
        <w:rPr>
          <w:rFonts w:ascii="Arial" w:cs="Arial" w:eastAsia="Arial" w:hAnsi="Arial"/>
          <w:sz w:val="18"/>
          <w:szCs w:val="18"/>
          <w:color w:val="auto"/>
        </w:rPr>
      </w:pPr>
    </w:p>
    <w:p>
      <w:pPr>
        <w:ind w:left="-8" w:firstLine="8"/>
        <w:spacing w:after="0" w:line="255" w:lineRule="auto"/>
        <w:tabs>
          <w:tab w:leader="none" w:pos="71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ASSIGNMENT; SUCCESSORS</w:t>
      </w:r>
      <w:r>
        <w:rPr>
          <w:rFonts w:ascii="Arial" w:cs="Arial" w:eastAsia="Arial" w:hAnsi="Arial"/>
          <w:sz w:val="18"/>
          <w:szCs w:val="18"/>
          <w:color w:val="auto"/>
        </w:rPr>
        <w:t>. This Agreement is personal in its nature and none of the parties hereto shall, without the consent of the others, assign or transfer this Agreement or any rights or obligations hereunder; provided that, in the event of a merger, consolidation, transfer, reorganization, or sale of all, substantially all or a substantial portion of the assets of the Company with or to any other individual or entity, this Agreement shall, subject to the provisions hereof, be binding upon and inure to the benefit of such successor and such successor (including the Company upon assignment of this Agreement) shall discharge and perform all the promises, covenants, duties, and obligations of the Company hereunder, and all references herein to the "Company" shall refer to such successor.</w:t>
      </w:r>
    </w:p>
    <w:p>
      <w:pPr>
        <w:spacing w:after="0" w:line="152" w:lineRule="exact"/>
        <w:rPr>
          <w:rFonts w:ascii="Arial" w:cs="Arial" w:eastAsia="Arial" w:hAnsi="Arial"/>
          <w:sz w:val="18"/>
          <w:szCs w:val="18"/>
          <w:color w:val="auto"/>
        </w:rPr>
      </w:pPr>
    </w:p>
    <w:p>
      <w:pPr>
        <w:ind w:left="-8" w:right="460" w:firstLine="8"/>
        <w:spacing w:after="0" w:line="277" w:lineRule="auto"/>
        <w:tabs>
          <w:tab w:leader="none" w:pos="71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make such deductions and withhold such amounts from each payment and benefit made or provided to Employee hereunder, as may be required from time to time by applicable law, governmental regulation or order.</w:t>
      </w:r>
    </w:p>
    <w:p>
      <w:pPr>
        <w:spacing w:after="0" w:line="3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 of 14</w:t>
      </w:r>
    </w:p>
    <w:p>
      <w:pPr>
        <w:sectPr>
          <w:pgSz w:w="11900" w:h="16838" w:orient="portrait"/>
          <w:cols w:equalWidth="0" w:num="1">
            <w:col w:w="11412"/>
          </w:cols>
          <w:pgMar w:left="248" w:top="368" w:right="239" w:bottom="1440" w:gutter="0" w:footer="0" w:header="0"/>
        </w:sectPr>
      </w:pPr>
    </w:p>
    <w:bookmarkStart w:id="42" w:name="page43"/>
    <w:bookmarkEnd w:id="42"/>
    <w:p>
      <w:pPr>
        <w:ind w:right="260" w:firstLine="53"/>
        <w:spacing w:after="0" w:line="264" w:lineRule="auto"/>
        <w:tabs>
          <w:tab w:leader="none" w:pos="76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HEADING REFERENCES</w:t>
      </w:r>
      <w:r>
        <w:rPr>
          <w:rFonts w:ascii="Arial" w:cs="Arial" w:eastAsia="Arial" w:hAnsi="Arial"/>
          <w:sz w:val="18"/>
          <w:szCs w:val="18"/>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spacing w:after="0" w:line="140" w:lineRule="exact"/>
        <w:rPr>
          <w:rFonts w:ascii="Arial" w:cs="Arial" w:eastAsia="Arial" w:hAnsi="Arial"/>
          <w:sz w:val="18"/>
          <w:szCs w:val="18"/>
          <w:color w:val="auto"/>
        </w:rPr>
      </w:pPr>
    </w:p>
    <w:p>
      <w:pPr>
        <w:ind w:right="180" w:firstLine="8"/>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spacing w:after="0" w:line="146" w:lineRule="exact"/>
        <w:rPr>
          <w:rFonts w:ascii="Arial" w:cs="Arial" w:eastAsia="Arial" w:hAnsi="Arial"/>
          <w:sz w:val="18"/>
          <w:szCs w:val="18"/>
          <w:color w:val="auto"/>
        </w:rPr>
      </w:pPr>
    </w:p>
    <w:p>
      <w:pPr>
        <w:ind w:right="240" w:firstLine="8"/>
        <w:spacing w:after="0" w:line="279"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30" w:lineRule="exact"/>
        <w:rPr>
          <w:rFonts w:ascii="Arial" w:cs="Arial" w:eastAsia="Arial" w:hAnsi="Arial"/>
          <w:sz w:val="17"/>
          <w:szCs w:val="17"/>
          <w:color w:val="auto"/>
        </w:rPr>
      </w:pPr>
    </w:p>
    <w:p>
      <w:pPr>
        <w:ind w:right="180" w:firstLine="8"/>
        <w:spacing w:after="0" w:line="25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Company shall indemnify and hold Employee harmless for acts and omissions in Employee's capacity as an officer, director or employee of the Company to the maximum extent permitted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neither the Company, nor any of its subsidiaries or affiliates shall indemnify Employee for any losses incurred by Employee as a result of acts that would constitute Cause under Section 1(c) of this Agreement. This Section 9 shall survive the termination or expiration of Employee's employment with the Company and, as applicable, shall be fully enforceable thereafter in accordance with the terms of this Agreement.</w:t>
      </w:r>
    </w:p>
    <w:p>
      <w:pPr>
        <w:spacing w:after="0" w:line="147" w:lineRule="exact"/>
        <w:rPr>
          <w:rFonts w:ascii="Arial" w:cs="Arial" w:eastAsia="Arial" w:hAnsi="Arial"/>
          <w:sz w:val="18"/>
          <w:szCs w:val="18"/>
          <w:color w:val="auto"/>
        </w:rPr>
      </w:pPr>
    </w:p>
    <w:p>
      <w:pPr>
        <w:jc w:val="both"/>
        <w:ind w:firstLine="8"/>
        <w:spacing w:after="0" w:line="268" w:lineRule="auto"/>
        <w:tabs>
          <w:tab w:leader="none" w:pos="67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SECTION 280G LIMITATION.</w:t>
      </w:r>
      <w:r>
        <w:rPr>
          <w:rFonts w:ascii="Arial" w:cs="Arial" w:eastAsia="Arial" w:hAnsi="Arial"/>
          <w:sz w:val="17"/>
          <w:szCs w:val="17"/>
          <w:color w:val="auto"/>
        </w:rPr>
        <w:t xml:space="preserve"> Notwithstanding anything in this Agreement to the contrary, in the event that any payment or benefit received or to be received by Employee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the Company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paragraph shall be made by independent tax counsel reasonably acceptable to both Employee and the Company, and shall be paid for by the Company ("</w:t>
      </w:r>
      <w:r>
        <w:rPr>
          <w:rFonts w:ascii="Arial" w:cs="Arial" w:eastAsia="Arial" w:hAnsi="Arial"/>
          <w:sz w:val="17"/>
          <w:szCs w:val="17"/>
          <w:u w:val="single" w:color="auto"/>
          <w:color w:val="auto"/>
        </w:rPr>
        <w:t>Tax Counsel"</w:t>
      </w:r>
      <w:r>
        <w:rPr>
          <w:rFonts w:ascii="Arial" w:cs="Arial" w:eastAsia="Arial" w:hAnsi="Arial"/>
          <w:sz w:val="17"/>
          <w:szCs w:val="17"/>
          <w:color w:val="auto"/>
        </w:rPr>
        <w:t>).</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possible that, after the determinations and selections made pursuant to the foregoing paragraph, Employee will receive payments and/or benefits that are, in the aggregate, either more or less than the amount determined under such paragraph (hereafter referred to as an "</w:t>
      </w:r>
      <w:r>
        <w:rPr>
          <w:rFonts w:ascii="Arial" w:cs="Arial" w:eastAsia="Arial" w:hAnsi="Arial"/>
          <w:sz w:val="18"/>
          <w:szCs w:val="18"/>
          <w:u w:val="single" w:color="auto"/>
          <w:color w:val="auto"/>
        </w:rPr>
        <w:t>Excess Payment"</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Underpayment"</w:t>
      </w:r>
      <w:r>
        <w:rPr>
          <w:rFonts w:ascii="Arial" w:cs="Arial" w:eastAsia="Arial" w:hAnsi="Arial"/>
          <w:sz w:val="18"/>
          <w:szCs w:val="18"/>
          <w:color w:val="auto"/>
        </w:rPr>
        <w:t>, as applicable). If Tax Counsel determines that an Excess Payment has been made, then Employee shall promptly repay the Excess Payment to Employer, together with interest on the Excess Payment at the applicable federal rate (as defined in Section 1274(d) of the Code) from the date of Employee's receipt of such Excess Payment until the date of such repayment. If Tax Counsel determines that an Underpayment has occurred, Company shall promptly (but in any event within ten (10) days of such determination) pay to Employee an amount equal to the Underpayment, together with interest on such amount at the applicable federal rate from the date such amount would have been paid to Employee had the provisions of the foregoing paragraph not been applied until the date of payment.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14</w:t>
      </w:r>
    </w:p>
    <w:p>
      <w:pPr>
        <w:sectPr>
          <w:pgSz w:w="11900" w:h="16838" w:orient="portrait"/>
          <w:cols w:equalWidth="0" w:num="1">
            <w:col w:w="11420"/>
          </w:cols>
          <w:pgMar w:left="240" w:top="368" w:right="239" w:bottom="1440" w:gutter="0" w:footer="0" w:header="0"/>
        </w:sectPr>
      </w:pPr>
    </w:p>
    <w:bookmarkStart w:id="43" w:name="page44"/>
    <w:bookmarkEnd w:id="43"/>
    <w:p>
      <w:pPr>
        <w:jc w:val="both"/>
        <w:ind w:firstLine="8"/>
        <w:spacing w:after="0" w:line="284" w:lineRule="auto"/>
        <w:tabs>
          <w:tab w:leader="none" w:pos="45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The parties intend that any amounts payable hereunder shall comply with or be exempt from Section 409A of the Code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409A"</w:t>
      </w:r>
      <w:r>
        <w:rPr>
          <w:rFonts w:ascii="Arial" w:cs="Arial" w:eastAsia="Arial" w:hAnsi="Arial"/>
          <w:sz w:val="16"/>
          <w:szCs w:val="16"/>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Employee and Company agree to negotiate in good faith to make amendments to the Agreement, as the parties mutually agree are necessary or desirable to avoid the imposition of taxes, penalties or interest under Section 409A. Neither Employee nor Company shall have the right to accelerate or defer the delivery of any such payments or benefits except</w:t>
      </w:r>
    </w:p>
    <w:p>
      <w:pPr>
        <w:spacing w:after="0" w:line="4" w:lineRule="exact"/>
        <w:rPr>
          <w:rFonts w:ascii="Arial" w:cs="Arial" w:eastAsia="Arial" w:hAnsi="Arial"/>
          <w:sz w:val="16"/>
          <w:szCs w:val="16"/>
          <w:color w:val="auto"/>
        </w:rPr>
      </w:pPr>
    </w:p>
    <w:p>
      <w:pPr>
        <w:jc w:val="both"/>
        <w:spacing w:after="0" w:line="266" w:lineRule="auto"/>
        <w:rPr>
          <w:rFonts w:ascii="Arial" w:cs="Arial" w:eastAsia="Arial" w:hAnsi="Arial"/>
          <w:sz w:val="16"/>
          <w:szCs w:val="16"/>
          <w:color w:val="auto"/>
        </w:rPr>
      </w:pPr>
      <w:r>
        <w:rPr>
          <w:rFonts w:ascii="Arial" w:cs="Arial" w:eastAsia="Arial" w:hAnsi="Arial"/>
          <w:sz w:val="17"/>
          <w:szCs w:val="17"/>
          <w:color w:val="auto"/>
        </w:rPr>
        <w:t>(i) where payment may be made within a certain period of time, the timing of payment within such period will be in the sole discretion of Company,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Employee is considered a "specified employee" under Section 409A upon his separation from service and if payment of any amounts on account of Employee's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Employee dies during the six-month delay period prior to the payment of benefits, the amounts withheld on account of Section 409A shall be paid to the personal representative of Employee's estate within 60 days after the date of Employee's death. For the avoidance of doubt, it is intended that any expense reimbursement made to Employee hereunder shall be exempt from Section 409A. Notwithstanding the foregoing, if any expense reimbursement made hereunder shall be determined 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Employee's taxable year following the year in which the expense was incurred and (iii) the right to expense reimbursement hereunder shall not be subject to liquidation or exchange for another benefit. While it is intended that all payments and benefits provided to Employee under this Agreement will be exempt from or comply with Section 409A, Company makes no representation or covenant to ensure that such payments and benefits are exempt from or compliant with Section 409A. Company will have no liability to Employee or any other party if a payment or benefit under this Agreement or otherwise is challenged by any taxing authority or is ultimately determined not to be exempt or compliant. Employee further understands and agrees that Employee will be entirely responsible for any and all taxes imposed on Employee as a result of this Agreement.</w:t>
      </w:r>
    </w:p>
    <w:p>
      <w:pPr>
        <w:spacing w:after="0" w:line="150" w:lineRule="exact"/>
        <w:rPr>
          <w:rFonts w:ascii="Arial" w:cs="Arial" w:eastAsia="Arial" w:hAnsi="Arial"/>
          <w:sz w:val="16"/>
          <w:szCs w:val="16"/>
          <w:color w:val="auto"/>
        </w:rPr>
      </w:pPr>
    </w:p>
    <w:p>
      <w:pPr>
        <w:ind w:right="60" w:firstLine="8"/>
        <w:spacing w:after="0" w:line="264" w:lineRule="auto"/>
        <w:tabs>
          <w:tab w:leader="none" w:pos="40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to the contrary, any payments made or granted pursuant to this Agreement shall be subject to any recoupment or clawback policy that may be adopted by the Company from time to time and to any requirement of applicable law, regulation or listing standard that requires the Company to recoup or clawback compensation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14</w:t>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ACKNOWLEDGED AND AGREED:</w:t>
      </w:r>
    </w:p>
    <w:p>
      <w:pPr>
        <w:spacing w:after="0" w:line="200" w:lineRule="exact"/>
        <w:rPr>
          <w:sz w:val="20"/>
          <w:szCs w:val="20"/>
          <w:color w:val="auto"/>
        </w:rPr>
      </w:pPr>
    </w:p>
    <w:p>
      <w:pPr>
        <w:spacing w:after="0" w:line="3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January 9,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TREE.COM</w:t>
      </w:r>
    </w:p>
    <w:p>
      <w:pPr>
        <w:spacing w:after="0" w:line="38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E. Claudette Hampton</w:t>
            </w:r>
          </w:p>
        </w:tc>
      </w:tr>
      <w:tr>
        <w:trPr>
          <w:trHeight w:val="27"/>
        </w:trPr>
        <w:tc>
          <w:tcPr>
            <w:tcW w:w="74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40"/>
              <w:spacing w:after="0"/>
              <w:rPr>
                <w:sz w:val="20"/>
                <w:szCs w:val="20"/>
                <w:color w:val="auto"/>
              </w:rPr>
            </w:pPr>
            <w:r>
              <w:rPr>
                <w:rFonts w:ascii="Arial" w:cs="Arial" w:eastAsia="Arial" w:hAnsi="Arial"/>
                <w:sz w:val="18"/>
                <w:szCs w:val="18"/>
                <w:color w:val="auto"/>
              </w:rPr>
              <w:t>E. Claudette Hampton</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40"/>
              <w:spacing w:after="0"/>
              <w:rPr>
                <w:sz w:val="20"/>
                <w:szCs w:val="20"/>
                <w:color w:val="auto"/>
              </w:rPr>
            </w:pPr>
            <w:r>
              <w:rPr>
                <w:rFonts w:ascii="Arial" w:cs="Arial" w:eastAsia="Arial" w:hAnsi="Arial"/>
                <w:sz w:val="18"/>
                <w:szCs w:val="18"/>
                <w:color w:val="auto"/>
                <w:w w:val="97"/>
              </w:rPr>
              <w:t>Senior Vice President, Human Resources &amp; Administration</w:t>
            </w:r>
          </w:p>
        </w:tc>
      </w:tr>
      <w:tr>
        <w:trPr>
          <w:trHeight w:val="878"/>
        </w:trPr>
        <w:tc>
          <w:tcPr>
            <w:tcW w:w="5360" w:type="dxa"/>
            <w:vAlign w:val="bottom"/>
            <w:gridSpan w:val="2"/>
          </w:tcPr>
          <w:p>
            <w:pPr>
              <w:spacing w:after="0"/>
              <w:rPr>
                <w:sz w:val="20"/>
                <w:szCs w:val="20"/>
                <w:color w:val="auto"/>
              </w:rPr>
            </w:pPr>
            <w:r>
              <w:rPr>
                <w:rFonts w:ascii="Arial" w:cs="Arial" w:eastAsia="Arial" w:hAnsi="Arial"/>
                <w:sz w:val="18"/>
                <w:szCs w:val="18"/>
                <w:color w:val="auto"/>
              </w:rPr>
              <w:t>EMPLOYEE</w:t>
            </w: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Douglas R. Lebda</w:t>
            </w:r>
          </w:p>
        </w:tc>
      </w:tr>
      <w:tr>
        <w:trPr>
          <w:trHeight w:val="27"/>
        </w:trPr>
        <w:tc>
          <w:tcPr>
            <w:tcW w:w="74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40"/>
              <w:spacing w:after="0"/>
              <w:rPr>
                <w:sz w:val="20"/>
                <w:szCs w:val="20"/>
                <w:color w:val="auto"/>
              </w:rPr>
            </w:pPr>
            <w:r>
              <w:rPr>
                <w:rFonts w:ascii="Arial" w:cs="Arial" w:eastAsia="Arial" w:hAnsi="Arial"/>
                <w:sz w:val="18"/>
                <w:szCs w:val="18"/>
                <w:color w:val="auto"/>
              </w:rPr>
              <w:t>Douglas R. Lebda</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40"/>
              <w:spacing w:after="0"/>
              <w:rPr>
                <w:sz w:val="20"/>
                <w:szCs w:val="20"/>
                <w:color w:val="auto"/>
              </w:rPr>
            </w:pPr>
            <w:r>
              <w:rPr>
                <w:rFonts w:ascii="Arial" w:cs="Arial" w:eastAsia="Arial" w:hAnsi="Arial"/>
                <w:sz w:val="18"/>
                <w:szCs w:val="18"/>
                <w:color w:val="auto"/>
              </w:rPr>
              <w:t>Chairman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11 of 14</w:t>
      </w:r>
    </w:p>
    <w:p>
      <w:pPr>
        <w:sectPr>
          <w:pgSz w:w="11900" w:h="16838" w:orient="portrait"/>
          <w:cols w:equalWidth="0" w:num="1">
            <w:col w:w="10480"/>
          </w:cols>
          <w:pgMar w:left="240" w:top="364" w:right="11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FORM OF RELEASE AGREEMENT</w:t>
      </w:r>
    </w:p>
    <w:p>
      <w:pPr>
        <w:spacing w:after="0" w:line="185" w:lineRule="exact"/>
        <w:rPr>
          <w:sz w:val="20"/>
          <w:szCs w:val="20"/>
          <w:color w:val="auto"/>
        </w:rPr>
      </w:pPr>
    </w:p>
    <w:p>
      <w:pPr>
        <w:spacing w:after="0"/>
        <w:tabs>
          <w:tab w:leader="none" w:pos="5020" w:val="left"/>
          <w:tab w:leader="none" w:pos="6320" w:val="left"/>
        </w:tabs>
        <w:rPr>
          <w:sz w:val="20"/>
          <w:szCs w:val="20"/>
          <w:color w:val="auto"/>
        </w:rPr>
      </w:pPr>
      <w:r>
        <w:rPr>
          <w:rFonts w:ascii="Arial" w:cs="Arial" w:eastAsia="Arial" w:hAnsi="Arial"/>
          <w:sz w:val="18"/>
          <w:szCs w:val="18"/>
          <w:color w:val="auto"/>
        </w:rPr>
        <w:t>This Release Agreement ("Release") is entered into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hereinafter "Execution Date", by and between [Employee Full</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Name] (hereinafter "Employee"), and Tree.com, Inc. (hereinafter, the "Company"). The Employee and the Company are sometimes collectively referred to as the "Parties".</w:t>
      </w:r>
    </w:p>
    <w:p>
      <w:pPr>
        <w:spacing w:after="0" w:line="14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1. The Employee's employment with the Company is terminated effective [Month, Day, Year] (hereinafter "Termination Date"). The Parties have agreed to avoid and resolve any alleged existing or potential disagreements between them arising out of or connected with the Employee's employment with the Company including the termination thereof. The Company expressly disclaims any wrongdoing or any liability to the Employee.</w:t>
      </w:r>
    </w:p>
    <w:p>
      <w:pPr>
        <w:spacing w:after="0" w:line="1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2. The Company agrees to provide the Employee the severance benefits provided for in Section [1(d)][1(g)] of his/her Employment Agreement (the "Severance Benefits") with the Company, dated as of [ ], after he/she executes this Release [FOR 40+ and does not revoke it as permitted in Section 8 below, the expiration of such revocation period being the "Effective Date")].</w:t>
      </w:r>
    </w:p>
    <w:p>
      <w:pPr>
        <w:spacing w:after="0" w:line="14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3. Employee represents that he/she has not filed, and will not file, any complaints, lawsuits, administrative complaints or charges relating to her employment with, or resignation from, the Company, excluding any action to enforce the Employment Agreement as it relates to the provision of the Severance Benefits or to Sections 3A(d) or 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nothing contained in this Section 3 shall prohibit you from bringing a claim to challenge the validity of the ADEA Release in Section 8 herein]. Employee agrees to release the Company, its subsidiaries, affiliates, and their respective parents, direct or indirect subsidiaries, divisions, affiliates and related companies or entities, regardless of its or their form of business organization, any predecessors, successors, joint ventures, and parents of any such entity, and any and all of their respective past or present shareholders, partners, directors, officers, employees, consultants, independent contractors, trustees, administrators, insurers, agents, attorneys, representatives and fiduciaries, including without limitation all persons acting by, through, under or in concert with any of them (collectively, the "Released Parties"), from any and all claims, charges, complaints, causes of action or demands of whatever kind or nature that Employee now has or has ever had against the Released Parties, whether known or unknown, arising from or relating to Employee's employment with or discharge from the Company, including but not limited to: wrongful or tortious termination; constructive discharge; implied or express employment contracts and/or estoppel; discrimination and/or retaliation under any federal, state or local statute or regulation, specifically including any claims Employee may have under the Fair Labor Standards Act, the Americans with Disabilities Act, Title VII of the Civil Rights Act of 1964 as amended, and the Family and Medical Leave Act; the discrimination or other employment laws of the State of</w:t>
      </w:r>
    </w:p>
    <w:p>
      <w:pPr>
        <w:spacing w:after="0" w:line="3" w:lineRule="exact"/>
        <w:rPr>
          <w:sz w:val="20"/>
          <w:szCs w:val="20"/>
          <w:color w:val="auto"/>
        </w:rPr>
      </w:pPr>
    </w:p>
    <w:p>
      <w:pPr>
        <w:jc w:val="both"/>
        <w:ind w:right="280" w:firstLine="8"/>
        <w:spacing w:after="0" w:line="302" w:lineRule="auto"/>
        <w:tabs>
          <w:tab w:leader="none" w:pos="5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 any claims brought under any federal or state statute or regulation for non-payment of wages or other compensation, including grants of stock options or any other equity compensation; and libel, slander, or breach of contract other than the breach of this Release. This Release specifically excludes claims, charges, complaints, causes of action or demand that post-date the Termination Date [or the Effective Date, whichever is later].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w:t>
            </w:r>
          </w:p>
        </w:tc>
        <w:tc>
          <w:tcPr>
            <w:tcW w:w="9940" w:type="dxa"/>
            <w:vAlign w:val="bottom"/>
          </w:tcPr>
          <w:p>
            <w:pPr>
              <w:ind w:left="880"/>
              <w:spacing w:after="0"/>
              <w:rPr>
                <w:sz w:val="20"/>
                <w:szCs w:val="20"/>
                <w:color w:val="auto"/>
              </w:rPr>
            </w:pPr>
            <w:r>
              <w:rPr>
                <w:rFonts w:ascii="Arial" w:cs="Arial" w:eastAsia="Arial" w:hAnsi="Arial"/>
                <w:sz w:val="18"/>
                <w:szCs w:val="18"/>
                <w:color w:val="auto"/>
                <w:w w:val="91"/>
              </w:rPr>
              <w:t>Employee agrees to keep the fact that this Release exists and the terms of this Release in strict confidence except to his/her</w:t>
            </w:r>
          </w:p>
        </w:tc>
      </w:tr>
      <w:tr>
        <w:trPr>
          <w:trHeight w:val="230"/>
        </w:trPr>
        <w:tc>
          <w:tcPr>
            <w:tcW w:w="10960" w:type="dxa"/>
            <w:vAlign w:val="bottom"/>
            <w:gridSpan w:val="2"/>
          </w:tcPr>
          <w:p>
            <w:pPr>
              <w:spacing w:after="0"/>
              <w:rPr>
                <w:sz w:val="20"/>
                <w:szCs w:val="20"/>
                <w:color w:val="auto"/>
              </w:rPr>
            </w:pPr>
            <w:r>
              <w:rPr>
                <w:rFonts w:ascii="Arial" w:cs="Arial" w:eastAsia="Arial" w:hAnsi="Arial"/>
                <w:sz w:val="18"/>
                <w:szCs w:val="18"/>
                <w:color w:val="auto"/>
              </w:rPr>
              <w:t>immediate family and his/her financial and legal advisors on a need-to-know basis.</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5.</w:t>
            </w:r>
          </w:p>
        </w:tc>
        <w:tc>
          <w:tcPr>
            <w:tcW w:w="9940" w:type="dxa"/>
            <w:vAlign w:val="bottom"/>
          </w:tcPr>
          <w:p>
            <w:pPr>
              <w:ind w:left="880"/>
              <w:spacing w:after="0"/>
              <w:rPr>
                <w:sz w:val="20"/>
                <w:szCs w:val="20"/>
                <w:color w:val="auto"/>
              </w:rPr>
            </w:pPr>
            <w:r>
              <w:rPr>
                <w:rFonts w:ascii="Arial" w:cs="Arial" w:eastAsia="Arial" w:hAnsi="Arial"/>
                <w:sz w:val="18"/>
                <w:szCs w:val="18"/>
                <w:color w:val="auto"/>
                <w:w w:val="89"/>
              </w:rPr>
              <w:t>Employee warrants that no promise or inducement has been offered for this Release other than as set forth herein and that this</w:t>
            </w:r>
          </w:p>
        </w:tc>
      </w:tr>
    </w:tbl>
    <w:p>
      <w:pPr>
        <w:ind w:right="240"/>
        <w:spacing w:after="0" w:line="261" w:lineRule="auto"/>
        <w:rPr>
          <w:sz w:val="20"/>
          <w:szCs w:val="20"/>
          <w:color w:val="auto"/>
        </w:rPr>
      </w:pPr>
      <w:r>
        <w:rPr>
          <w:rFonts w:ascii="Arial" w:cs="Arial" w:eastAsia="Arial" w:hAnsi="Arial"/>
          <w:sz w:val="18"/>
          <w:szCs w:val="18"/>
          <w:color w:val="auto"/>
        </w:rPr>
        <w:t>Release is executed without reliance upon any other promises or representations, oral or written. Any modification of this Release must be made in writing and be signed by Employee and the Company.</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6. Employee will direct all employment verification inquiries to [HR Rep]. In response to inquiries regarding Employee's employment with the Company, the Company by and through its speaking agent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 of 14</w:t>
      </w:r>
    </w:p>
    <w:p>
      <w:pPr>
        <w:sectPr>
          <w:pgSz w:w="11900" w:h="16838" w:orient="portrait"/>
          <w:cols w:equalWidth="0" w:num="1">
            <w:col w:w="11400"/>
          </w:cols>
          <w:pgMar w:left="240" w:top="364"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 agrees to provide only the following information: Employee's date of hire, the date her employment ended and rates of pay.</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7. If any provision of this Release or compliance by Employee or the Company with any provision of the Release constitutes a violation of any law, or is or becomes unenforceable or void, then such provision, to the extent only that it is in violation of law, unenforceable or void, will be deemed modified to the extent necessary so that it is no longer in violation of law, unenforceable or void, and such provision will be enforced to the fullest extent permitted by law. If such modification is not possible, such provision, to the extent that it is in violation of law, unenforceable or void, will be deemed severable from the remaining provisions of this Release, which provisions will remain binding on both Employee and the Company. This Release is governed by, and construed and interpreted in accordance with the laws of the State of [ ], without regard to principles of conflicts of law. Employee consents to venue and personal jurisdiction in the State of [ ] for disputes arising under this Release. This Release represents the entire understanding with the Parties with respect to subject matter herein, no oral representations have been made or relied upon by the Parties.</w:t>
      </w:r>
    </w:p>
    <w:p>
      <w:pPr>
        <w:spacing w:after="0" w:line="138"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8. [FOR EMPLOYEES OVER 40 ONLY - In further recognition of the above, Employee hereby releases and discharges the Released Parties from any and all claims, actions and causes of action that he/she may have against the Released Parties, as of the date of the execution of this Release, arising under the Age Discrimination in Employment Act of 1967, as amended ("ADEA"), and the applicable rules and regulations promulgated thereunder.</w:t>
      </w:r>
    </w:p>
    <w:p>
      <w:pPr>
        <w:spacing w:after="0" w:line="286" w:lineRule="auto"/>
        <w:rPr>
          <w:sz w:val="20"/>
          <w:szCs w:val="20"/>
          <w:color w:val="auto"/>
        </w:rPr>
      </w:pPr>
      <w:r>
        <w:rPr>
          <w:rFonts w:ascii="Arial" w:cs="Arial" w:eastAsia="Arial" w:hAnsi="Arial"/>
          <w:sz w:val="16"/>
          <w:szCs w:val="16"/>
          <w:color w:val="auto"/>
        </w:rPr>
        <w:t>The Employee acknowledges and understands that ADEA is a federal statute that prohibits discrimination on the basis of age in employment, benefits and benefit plans. Employee specifically agrees and acknowledges that: (A) the release in this Section 8 was granted in exchange for the receipt of consideration that exceeds the amount to which he/she would otherwise be entitled to receive upon termination of his/her employment; (B) his/her waiver of rights under this Release is knowing and voluntary as required under the Older Workers Benefit Protection Act; (B) that he/she has read and understands the terms of this Release; (C) he/she has hereby been advised in writing by the Company to consult with an attorney prior to executing this Release; (D) the Company has given him/her a period of up to twenty-one (21) days within which to consider this Release, which period shall be waived by the Employee's voluntary execution prior to the expiration of the twenty-one day period; and (E) following his/her execution of this Release he/she has seven (7) days in which to revoke his/her release as set forth in this Section 8 only and that, if he/she chooses not to so revoke, the Release in this Section 8 shall then become effective and enforceable and the payment listed above shall then be made to his/her in accordance with the terms of this Release. To cancel this Release, Employee understands that he/she must give a written revocation to the General Counsel of the Company at [ ],either by hand delivery or certified mail within the seven-day period. If he/she rescinds the Release, it will not become effective or enforceable and he/she will not be entitled to any benefits from the Company.]</w:t>
      </w:r>
    </w:p>
    <w:p>
      <w:pPr>
        <w:spacing w:after="0" w:line="122"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EMPLOYEE ACKNOWLEDGES AND AGREES THAT HE/SHE HAS CAREFULLY READ AND VOLUNTARILY</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SIGNED THIS RELEASE, THAT HE/SHE HAS HAD AN OPPORTUNITY TO CONSULT WITH AN ATTORNEY OF HIS/HER CHOICE, AND THAT HE/SHE SIGNS THIS RELEASE WITH THE INTENT OF RELEASING THE COMPANY, ITS AFFILIATES, SUBSIDIARIES AND THEIR RESPECTIVE SHAREHOLDERS, DIRECTORS, OFFICERS, EMPLOYEES AND AGENTS FROM ANY AND ALL CLAIMS.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14</w:t>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5497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[Company Name]</w:t>
            </w:r>
          </w:p>
        </w:tc>
        <w:tc>
          <w:tcPr>
            <w:tcW w:w="4740" w:type="dxa"/>
            <w:vAlign w:val="bottom"/>
            <w:gridSpan w:val="2"/>
          </w:tcPr>
          <w:p>
            <w:pPr>
              <w:ind w:left="880"/>
              <w:spacing w:after="0"/>
              <w:rPr>
                <w:sz w:val="20"/>
                <w:szCs w:val="20"/>
                <w:color w:val="auto"/>
              </w:rPr>
            </w:pPr>
            <w:r>
              <w:rPr>
                <w:rFonts w:ascii="Arial" w:cs="Arial" w:eastAsia="Arial" w:hAnsi="Arial"/>
                <w:sz w:val="18"/>
                <w:szCs w:val="18"/>
                <w:color w:val="auto"/>
              </w:rPr>
              <w:t>[Employee Full Name]</w:t>
            </w:r>
          </w:p>
        </w:tc>
      </w:tr>
      <w:tr>
        <w:trPr>
          <w:trHeight w:val="594"/>
        </w:trPr>
        <w:tc>
          <w:tcPr>
            <w:tcW w:w="3880" w:type="dxa"/>
            <w:vAlign w:val="bottom"/>
            <w:gridSpan w:val="2"/>
          </w:tcPr>
          <w:p>
            <w:pPr>
              <w:spacing w:after="0"/>
              <w:rPr>
                <w:sz w:val="20"/>
                <w:szCs w:val="20"/>
                <w:color w:val="auto"/>
              </w:rPr>
            </w:pPr>
            <w:r>
              <w:rPr>
                <w:rFonts w:ascii="Arial" w:cs="Arial" w:eastAsia="Arial" w:hAnsi="Arial"/>
                <w:sz w:val="18"/>
                <w:szCs w:val="18"/>
                <w:color w:val="auto"/>
              </w:rPr>
              <w:t>Dated:</w:t>
            </w:r>
          </w:p>
        </w:tc>
        <w:tc>
          <w:tcPr>
            <w:tcW w:w="4740" w:type="dxa"/>
            <w:vAlign w:val="bottom"/>
            <w:gridSpan w:val="2"/>
          </w:tcPr>
          <w:p>
            <w:pPr>
              <w:ind w:left="880"/>
              <w:spacing w:after="0"/>
              <w:rPr>
                <w:sz w:val="20"/>
                <w:szCs w:val="20"/>
                <w:color w:val="auto"/>
              </w:rPr>
            </w:pPr>
            <w:r>
              <w:rPr>
                <w:rFonts w:ascii="Arial" w:cs="Arial" w:eastAsia="Arial" w:hAnsi="Arial"/>
                <w:sz w:val="18"/>
                <w:szCs w:val="18"/>
                <w:color w:val="auto"/>
              </w:rPr>
              <w:t>Dated:</w:t>
            </w:r>
          </w:p>
        </w:tc>
      </w:tr>
      <w:tr>
        <w:trPr>
          <w:trHeight w:val="27"/>
        </w:trPr>
        <w:tc>
          <w:tcPr>
            <w:tcW w:w="7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14 of 14</w:t>
      </w:r>
    </w:p>
    <w:p>
      <w:pPr>
        <w:sectPr>
          <w:pgSz w:w="11900" w:h="16838" w:orient="portrait"/>
          <w:cols w:equalWidth="0" w:num="1">
            <w:col w:w="10219"/>
          </w:cols>
          <w:pgMar w:left="240" w:top="368"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53" w:lineRule="auto"/>
        <w:rPr>
          <w:sz w:val="20"/>
          <w:szCs w:val="20"/>
          <w:color w:val="auto"/>
        </w:rPr>
      </w:pPr>
      <w:r>
        <w:rPr>
          <w:rFonts w:ascii="Arial" w:cs="Arial" w:eastAsia="Arial" w:hAnsi="Arial"/>
          <w:sz w:val="20"/>
          <w:szCs w:val="20"/>
          <w:color w:val="auto"/>
        </w:rPr>
        <w:t>This Employment Agreement ("Agreement") is made and entered into this 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January 2014 (the "Effective Date") by and between Tree.com, Inc. ("Employer") and Gabriel Dalporto ("Executive") (each a "Party" and collectively, the "Parties").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has substantial expertise in online marketing; and</w:t>
      </w:r>
    </w:p>
    <w:p>
      <w:pPr>
        <w:spacing w:after="0" w:line="24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WHEREAS, Employer desires to continue to secure Executive's service and expertise in connection with Employer's business beginning on the Effective Date;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NOW, THEREFORE, in consideration of the premises and the mutual agreements contained herein, Employer and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agree as follows:</w:t>
      </w:r>
    </w:p>
    <w:p>
      <w:pPr>
        <w:spacing w:after="0" w:line="229" w:lineRule="exact"/>
        <w:rPr>
          <w:sz w:val="20"/>
          <w:szCs w:val="20"/>
          <w:color w:val="auto"/>
        </w:rPr>
      </w:pPr>
    </w:p>
    <w:p>
      <w:pPr>
        <w:jc w:val="both"/>
        <w:ind w:firstLine="332"/>
        <w:spacing w:after="0" w:line="288" w:lineRule="auto"/>
        <w:tabs>
          <w:tab w:leader="none" w:pos="81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Upon the Effective Date, Employer shall employ and Executive agrees to be employed as Chief Marketing Officer and President, Mortgage. Executive shall do and perform all services and acts necessary or advisable to fulfill the duties and responsibilities as are commensurate and consistent with Executive's position and shall render such services on the terms set forth herein. Further, executive shall perform such different or other duties as may be assigned to Executive by Employer from time to time by Employer's Chief Executive Officer. Executive will devote Executive's full working time and best efforts to the diligent and faithful performance of such duties as may be entrusted to Executive from time to time by Employer, and shall observe and abide by the corporate policies and decisions of Employer in all business matters. Executive's principal place of employment shall be the offices of Employer located in Burlingame, CA; provided, however, that travel to the Employer's other offices or places of business activity may occasionally be required. Executive acknowledges that Employer may, in its sole discretion from time to time, change Executive's responsibilities or his direct/indirect reports without any effect hereunder.</w:t>
      </w:r>
    </w:p>
    <w:p>
      <w:pPr>
        <w:spacing w:after="0" w:line="187" w:lineRule="exact"/>
        <w:rPr>
          <w:rFonts w:ascii="Arial" w:cs="Arial" w:eastAsia="Arial" w:hAnsi="Arial"/>
          <w:sz w:val="19"/>
          <w:szCs w:val="19"/>
          <w:color w:val="auto"/>
        </w:rPr>
      </w:pPr>
    </w:p>
    <w:p>
      <w:pPr>
        <w:ind w:left="820" w:hanging="488"/>
        <w:spacing w:after="0"/>
        <w:tabs>
          <w:tab w:leader="none" w:pos="8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656"/>
        <w:spacing w:after="0" w:line="253" w:lineRule="auto"/>
        <w:tabs>
          <w:tab w:leader="none" w:pos="1446"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Initial Term</w:t>
      </w:r>
      <w:r>
        <w:rPr>
          <w:rFonts w:ascii="Arial" w:cs="Arial" w:eastAsia="Arial" w:hAnsi="Arial"/>
          <w:sz w:val="22"/>
          <w:szCs w:val="22"/>
          <w:color w:val="auto"/>
        </w:rPr>
        <w:t>. Executive's employment shall be governed by the terms of this Agreement for the period beginning on the Effective Date and for one year from such date, unless earlier terminated as provided herein (the "Initial Term"). This Agreement will expire by its terms unless renewed in the manner set forth in Section 2.b below.</w:t>
      </w:r>
    </w:p>
    <w:p>
      <w:pPr>
        <w:spacing w:after="0" w:line="212" w:lineRule="exact"/>
        <w:rPr>
          <w:rFonts w:ascii="Arial" w:cs="Arial" w:eastAsia="Arial" w:hAnsi="Arial"/>
          <w:sz w:val="22"/>
          <w:szCs w:val="22"/>
          <w:color w:val="auto"/>
        </w:rPr>
      </w:pPr>
    </w:p>
    <w:p>
      <w:pPr>
        <w:jc w:val="both"/>
        <w:ind w:firstLine="656"/>
        <w:spacing w:after="0" w:line="292" w:lineRule="auto"/>
        <w:tabs>
          <w:tab w:leader="none" w:pos="1459"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Renewal Terms</w:t>
      </w:r>
      <w:r>
        <w:rPr>
          <w:rFonts w:ascii="Arial" w:cs="Arial" w:eastAsia="Arial" w:hAnsi="Arial"/>
          <w:sz w:val="19"/>
          <w:szCs w:val="19"/>
          <w:color w:val="auto"/>
        </w:rPr>
        <w:t>. Upon the written request of the Executive to extend the Executive's term of employment under this Agreement at least sixty (60) days prior to the expiration of the Agreement, the Employer's Compensation Committee of the Board of Directors (the "Compensation Committee") shall consider extending the term of this Agreement. If Executive's request for an extension is approved by the Compensation Committee, this Agreement shall be extended by one additional year. Each such additional one-year period shall be referred to as a "Renewal Term" and, together with the Initial Term, the "Term". The maximum number of Renewal Terms shall be six; following the sixth Renewal Term, the Agreement shall automatically expire. For purposes of clarity, if the Agreement is not renewed in accordance with this Section 2.b, the Agreement shall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2" w:right="239" w:bottom="1440" w:gutter="0" w:footer="0" w:header="0"/>
        </w:sectPr>
      </w:pPr>
    </w:p>
    <w:bookmarkStart w:id="49" w:name="page50"/>
    <w:bookmarkEnd w:id="49"/>
    <w:p>
      <w:pPr>
        <w:spacing w:after="0" w:line="263" w:lineRule="auto"/>
        <w:rPr>
          <w:sz w:val="20"/>
          <w:szCs w:val="20"/>
          <w:color w:val="auto"/>
        </w:rPr>
      </w:pPr>
      <w:r>
        <w:rPr>
          <w:rFonts w:ascii="Arial" w:cs="Arial" w:eastAsia="Arial" w:hAnsi="Arial"/>
          <w:sz w:val="22"/>
          <w:szCs w:val="22"/>
          <w:color w:val="auto"/>
        </w:rPr>
        <w:t>automatically expire at the end of the then-current term. Such expiration shall not entitle Executive to any compensation or benefits except as earned by Executive through the date of expiration or the then-current term.</w:t>
      </w:r>
    </w:p>
    <w:p>
      <w:pPr>
        <w:spacing w:after="0" w:line="202" w:lineRule="exact"/>
        <w:rPr>
          <w:sz w:val="20"/>
          <w:szCs w:val="20"/>
          <w:color w:val="auto"/>
        </w:rPr>
      </w:pPr>
    </w:p>
    <w:p>
      <w:pPr>
        <w:jc w:val="both"/>
        <w:ind w:firstLine="332"/>
        <w:spacing w:after="0" w:line="271" w:lineRule="auto"/>
        <w:tabs>
          <w:tab w:leader="none" w:pos="81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Employer shall pay and Executive shall accept as full consideration for the services to be rendered hereunder compensation consisting of the items listed below. Employer shall have no obligation to pay any such compensation for any period after the termination of Executive's employment, except as otherwise expressly provided.</w:t>
      </w:r>
    </w:p>
    <w:p>
      <w:pPr>
        <w:spacing w:after="0" w:line="194" w:lineRule="exact"/>
        <w:rPr>
          <w:rFonts w:ascii="Arial" w:cs="Arial" w:eastAsia="Arial" w:hAnsi="Arial"/>
          <w:sz w:val="21"/>
          <w:szCs w:val="21"/>
          <w:color w:val="auto"/>
        </w:rPr>
      </w:pPr>
    </w:p>
    <w:p>
      <w:pPr>
        <w:jc w:val="both"/>
        <w:ind w:firstLine="656"/>
        <w:spacing w:after="0" w:line="271" w:lineRule="auto"/>
        <w:tabs>
          <w:tab w:leader="none" w:pos="1536" w:val="left"/>
        </w:tabs>
        <w:numPr>
          <w:ilvl w:val="1"/>
          <w:numId w:val="33"/>
        </w:numPr>
        <w:rPr>
          <w:rFonts w:ascii="Arial" w:cs="Arial" w:eastAsia="Arial" w:hAnsi="Arial"/>
          <w:sz w:val="21"/>
          <w:szCs w:val="21"/>
          <w:color w:val="auto"/>
        </w:rPr>
      </w:pPr>
      <w:r>
        <w:rPr>
          <w:rFonts w:ascii="Arial" w:cs="Arial" w:eastAsia="Arial" w:hAnsi="Arial"/>
          <w:sz w:val="21"/>
          <w:szCs w:val="21"/>
          <w:color w:val="auto"/>
        </w:rPr>
        <w:t>Base salary, paid pursuant to Employer's normal payroll practices, at an annual rate of $350,000 or such other rate as may be established prospectively by the Compensation Committee from time to time ("Base Salary"). All such Base Salary payments shall be subject to deduction and withholding authorized or required by applicable law.</w:t>
      </w:r>
    </w:p>
    <w:p>
      <w:pPr>
        <w:spacing w:after="0" w:line="194" w:lineRule="exact"/>
        <w:rPr>
          <w:rFonts w:ascii="Arial" w:cs="Arial" w:eastAsia="Arial" w:hAnsi="Arial"/>
          <w:sz w:val="21"/>
          <w:szCs w:val="21"/>
          <w:color w:val="auto"/>
        </w:rPr>
      </w:pPr>
    </w:p>
    <w:p>
      <w:pPr>
        <w:jc w:val="both"/>
        <w:ind w:firstLine="656"/>
        <w:spacing w:after="0" w:line="260" w:lineRule="auto"/>
        <w:tabs>
          <w:tab w:leader="none" w:pos="1549"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During the Term, the Executive shall be eligible to receive a target annual bonus ("Annual Bonus") of up to 60% of his Base Salary with respect to each fiscal year of Employer (each a "Performance Year") during the Term, beginning with the Performance Year that began on January 1, 2013. The terms and conditions of the Annual Bonus, including the applicable performance criteria for a Performance Year, and the amount of the Annual Bonus payable to the Executive for a Performance Year, if any, shall be determined by the Employer's Compensation Committee. Except as expressly provided in this Agreement, the Annual Bonus will be paid in accordance with the Employer's standard policies and procedures for the payment of annual bonuses to its other similarly situated employees.</w:t>
      </w:r>
    </w:p>
    <w:p>
      <w:pPr>
        <w:spacing w:after="0" w:line="208" w:lineRule="exact"/>
        <w:rPr>
          <w:rFonts w:ascii="Arial" w:cs="Arial" w:eastAsia="Arial" w:hAnsi="Arial"/>
          <w:sz w:val="21"/>
          <w:szCs w:val="21"/>
          <w:color w:val="auto"/>
        </w:rPr>
      </w:pPr>
    </w:p>
    <w:p>
      <w:pPr>
        <w:jc w:val="both"/>
        <w:ind w:firstLine="656"/>
        <w:spacing w:after="0" w:line="247" w:lineRule="auto"/>
        <w:tabs>
          <w:tab w:leader="none" w:pos="1536"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Equity Incentives</w:t>
      </w:r>
      <w:r>
        <w:rPr>
          <w:rFonts w:ascii="Arial" w:cs="Arial" w:eastAsia="Arial" w:hAnsi="Arial"/>
          <w:sz w:val="22"/>
          <w:szCs w:val="22"/>
          <w:color w:val="auto"/>
        </w:rPr>
        <w:t>. During the Term, Executive shall be eligible to receive equity incentives, as determined in the discretion of the Compensation Committee, including, but not limited to restricted stock unit awards and/or stock options. Subject to the discretion of the Compensation Committee, equity incentives shall be granted to the Executive at the time the Employer normally grants such incentives generally and otherwise in accordance with applicable policies, practices, terms and conditions (including, but not limited to, vesting requirements), and provided further that Executive is employed by Employer on the date such incentives are awarded.</w:t>
      </w:r>
    </w:p>
    <w:p>
      <w:pPr>
        <w:spacing w:after="0" w:line="220" w:lineRule="exact"/>
        <w:rPr>
          <w:rFonts w:ascii="Arial" w:cs="Arial" w:eastAsia="Arial" w:hAnsi="Arial"/>
          <w:sz w:val="22"/>
          <w:szCs w:val="22"/>
          <w:color w:val="auto"/>
        </w:rPr>
      </w:pPr>
    </w:p>
    <w:p>
      <w:pPr>
        <w:jc w:val="both"/>
        <w:ind w:firstLine="656"/>
        <w:spacing w:after="0" w:line="253" w:lineRule="auto"/>
        <w:tabs>
          <w:tab w:leader="none" w:pos="1549"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Vacation and other Paid Time Off</w:t>
      </w:r>
      <w:r>
        <w:rPr>
          <w:rFonts w:ascii="Arial" w:cs="Arial" w:eastAsia="Arial" w:hAnsi="Arial"/>
          <w:sz w:val="22"/>
          <w:szCs w:val="22"/>
          <w:color w:val="auto"/>
        </w:rPr>
        <w:t>. During the Term, Executive shall be entitled to paid vacation and other paid time off each year, in accordance with applicable plans, policies, programs and practices applicable to similarly situated employees generally.</w:t>
      </w:r>
    </w:p>
    <w:p>
      <w:pPr>
        <w:spacing w:after="0" w:line="212" w:lineRule="exact"/>
        <w:rPr>
          <w:rFonts w:ascii="Arial" w:cs="Arial" w:eastAsia="Arial" w:hAnsi="Arial"/>
          <w:sz w:val="22"/>
          <w:szCs w:val="22"/>
          <w:color w:val="auto"/>
        </w:rPr>
      </w:pPr>
    </w:p>
    <w:p>
      <w:pPr>
        <w:jc w:val="both"/>
        <w:ind w:firstLine="656"/>
        <w:spacing w:after="0" w:line="253" w:lineRule="auto"/>
        <w:tabs>
          <w:tab w:leader="none" w:pos="1536"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Such other benefits, payments, or items of compensation as are provided under the employee benefit plans of the Employer, or as are made available from time to time under compensation policies set by Employer for management employees of Employer having similar salary and level of responsibility.</w:t>
      </w:r>
    </w:p>
    <w:p>
      <w:pPr>
        <w:spacing w:after="0" w:line="212" w:lineRule="exact"/>
        <w:rPr>
          <w:rFonts w:ascii="Arial" w:cs="Arial" w:eastAsia="Arial" w:hAnsi="Arial"/>
          <w:sz w:val="22"/>
          <w:szCs w:val="22"/>
          <w:color w:val="auto"/>
        </w:rPr>
      </w:pPr>
    </w:p>
    <w:p>
      <w:pPr>
        <w:jc w:val="both"/>
        <w:ind w:firstLine="656"/>
        <w:spacing w:after="0" w:line="253" w:lineRule="auto"/>
        <w:tabs>
          <w:tab w:leader="none" w:pos="151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Reimbursement</w:t>
      </w:r>
      <w:r>
        <w:rPr>
          <w:rFonts w:ascii="Arial" w:cs="Arial" w:eastAsia="Arial" w:hAnsi="Arial"/>
          <w:sz w:val="22"/>
          <w:szCs w:val="22"/>
          <w:color w:val="auto"/>
        </w:rPr>
        <w:t>. Employer shall reimburse Executive, in accordance with the general policies and practices of Employer as in effect from time to time, for normal out-of-pocket expenses incurred by Executive in the ordinary course of business, including without limitation,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8" w:right="239" w:bottom="1440" w:gutter="0" w:footer="0" w:header="0"/>
        </w:sectPr>
      </w:pPr>
    </w:p>
    <w:bookmarkStart w:id="50" w:name="page51"/>
    <w:bookmarkEnd w:id="50"/>
    <w:p>
      <w:pPr>
        <w:spacing w:after="0" w:line="263" w:lineRule="auto"/>
        <w:rPr>
          <w:sz w:val="20"/>
          <w:szCs w:val="20"/>
          <w:color w:val="auto"/>
        </w:rPr>
      </w:pPr>
      <w:r>
        <w:rPr>
          <w:rFonts w:ascii="Arial" w:cs="Arial" w:eastAsia="Arial" w:hAnsi="Arial"/>
          <w:sz w:val="22"/>
          <w:szCs w:val="22"/>
          <w:color w:val="auto"/>
        </w:rPr>
        <w:t>Employer's standard mileage allowance for business use of any personal vehicle, business related travel, customer entertainment, and professional organizations.</w:t>
      </w:r>
    </w:p>
    <w:p>
      <w:pPr>
        <w:spacing w:after="0" w:line="202" w:lineRule="exact"/>
        <w:rPr>
          <w:sz w:val="20"/>
          <w:szCs w:val="20"/>
          <w:color w:val="auto"/>
        </w:rPr>
      </w:pPr>
    </w:p>
    <w:p>
      <w:pPr>
        <w:ind w:left="820" w:hanging="488"/>
        <w:spacing w:after="0"/>
        <w:tabs>
          <w:tab w:leader="none" w:pos="8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656"/>
        <w:spacing w:after="0" w:line="259" w:lineRule="auto"/>
        <w:tabs>
          <w:tab w:leader="none" w:pos="1536"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at any time during the Term of this Agreement, Executive incurs a Disability (as defined below), Executive's employment shall be immediately terminated as of the date of Executive's Disability. Upon executive's Disability, Employer shall pay Executive, in a single lump sum cash payment, on the next regularly scheduled payroll date following the date of such termination, an amount equal to the Accrued Obligations (as defined below); provided, however, that any Annual Bonus amounts payable as part of the Accrued Obligations shall be paid on the date that such amounts are paid by Employer to other executives in accordance with the Company's Annual Bonus plan as in effect at the date of such termination. For purposes of this Agreement, Executive shall be considered to have incurred a "Disability" if Executive has incurred a permanent and total disability (and no reasonable accommodation can be made to permit Executive to perform essential functions of his job) as determined under Employer's long-term disability plan applicable to Executive.</w:t>
      </w:r>
    </w:p>
    <w:p>
      <w:pPr>
        <w:spacing w:after="0" w:line="207" w:lineRule="exact"/>
        <w:rPr>
          <w:rFonts w:ascii="Arial" w:cs="Arial" w:eastAsia="Arial" w:hAnsi="Arial"/>
          <w:sz w:val="21"/>
          <w:szCs w:val="21"/>
          <w:color w:val="auto"/>
        </w:rPr>
      </w:pPr>
    </w:p>
    <w:p>
      <w:pPr>
        <w:jc w:val="both"/>
        <w:ind w:firstLine="656"/>
        <w:spacing w:after="0" w:line="288" w:lineRule="auto"/>
        <w:tabs>
          <w:tab w:leader="none" w:pos="1549"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Executive should die during the Term, Executive's employment and Employer's obligations hereunder (other than pro rata payment of Base Salary) shall terminate as of Executive's death. In such event, Employer shall pay Executive's estate, in a single lump sum on the next regularly scheduled payroll date following the date of such termination, the Accrued Obligations; provided, however, that any Annual Bonus amounts payable as part of the Accrued Obligations shall be paid on the date that such amounts are paid by Employer to other similarly situated executives in accordance with the Employer's Annual Bonus plan as in effect at the date of such termination. As used in this Agreement, "Accrued Obligations" shall mean the sum of (i) Executive's earned but unpaid Base Salary, (ii) any portion of Executive's earned but unpaid Annual Bonus relating to a previously completed Performance Year, (iii) any earned but unpaid Annual Bonus relating to the Performance Year in which the Executive is terminated; (iv) any compensation previously earned but deferred by Executive (together with any interest or earnings thereon) that has not yet been paid and that is not otherwise to be paid at a late date pursuant to the executive deferred compensation plan of Employer, if any, and (v) reimbursements that Executive is entitled to receive under paragraph 3(f) of the Agreement.</w:t>
      </w:r>
    </w:p>
    <w:p>
      <w:pPr>
        <w:spacing w:after="0" w:line="181" w:lineRule="exact"/>
        <w:rPr>
          <w:rFonts w:ascii="Arial" w:cs="Arial" w:eastAsia="Arial" w:hAnsi="Arial"/>
          <w:sz w:val="19"/>
          <w:szCs w:val="19"/>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by Employer</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656"/>
        <w:spacing w:after="0" w:line="292" w:lineRule="auto"/>
        <w:tabs>
          <w:tab w:leader="none" w:pos="1536"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Employer may terminate the employment of Executive under this Agreement during its Term for Cause. "Cause" shall include Executive's fraud, dishonesty, theft, embezzlement, misconduct by Executive injurious to the Employer or any of its affiliates, conviction of, or entry of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crime that constitutes a felony or other crime involving moral turpitude, competition with Employer or any of its affiliates, unauthorized use of any trade secrets of Employer or any of its affiliates or Confidential Information (as defined below), a material violation of any policy, code or standard of ethics generally applicable to employees of the Employer, Executive's material breach of fiduciary duties owed to Employer, Executive's excessive and unexcused absenteeism unrelated to a disability, or, following written notice and a reasonable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8" w:right="239" w:bottom="1440" w:gutter="0" w:footer="0" w:header="0"/>
        </w:sectPr>
      </w:pPr>
    </w:p>
    <w:bookmarkStart w:id="51" w:name="page52"/>
    <w:bookmarkEnd w:id="51"/>
    <w:p>
      <w:pPr>
        <w:jc w:val="both"/>
        <w:spacing w:after="0" w:line="302" w:lineRule="auto"/>
        <w:rPr>
          <w:sz w:val="20"/>
          <w:szCs w:val="20"/>
          <w:color w:val="auto"/>
        </w:rPr>
      </w:pPr>
      <w:r>
        <w:rPr>
          <w:rFonts w:ascii="Arial" w:cs="Arial" w:eastAsia="Arial" w:hAnsi="Arial"/>
          <w:sz w:val="19"/>
          <w:szCs w:val="19"/>
          <w:color w:val="auto"/>
        </w:rPr>
        <w:t>opportunity to cure, gross neglect by Executive of the duties assigned to Executive. In such event (i) no further Base Salary shall be paid to Executive after the date of termination, and (ii) Executive shall not be eligible to receive any Annual Bonus relating to the Performance Year in which Executive's employment terminates in accordance with this paragraph. Executive shall retain only such rights to participate in other benefits as are required by the terms of those plans, Employer's polices, or applicable law.</w:t>
      </w:r>
    </w:p>
    <w:p>
      <w:pPr>
        <w:spacing w:after="0" w:line="170" w:lineRule="exact"/>
        <w:rPr>
          <w:sz w:val="20"/>
          <w:szCs w:val="20"/>
          <w:color w:val="auto"/>
        </w:rPr>
      </w:pPr>
    </w:p>
    <w:p>
      <w:pPr>
        <w:jc w:val="both"/>
        <w:ind w:firstLine="656"/>
        <w:spacing w:after="0" w:line="283" w:lineRule="auto"/>
        <w:tabs>
          <w:tab w:leader="none" w:pos="1549"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Termination by Employer other than for Death, Disability or Cause</w:t>
      </w:r>
      <w:r>
        <w:rPr>
          <w:rFonts w:ascii="Arial" w:cs="Arial" w:eastAsia="Arial" w:hAnsi="Arial"/>
          <w:sz w:val="19"/>
          <w:szCs w:val="19"/>
          <w:i w:val="1"/>
          <w:iCs w:val="1"/>
          <w:color w:val="auto"/>
        </w:rPr>
        <w:t>.</w:t>
      </w:r>
      <w:r>
        <w:rPr>
          <w:rFonts w:ascii="Arial" w:cs="Arial" w:eastAsia="Arial" w:hAnsi="Arial"/>
          <w:sz w:val="19"/>
          <w:szCs w:val="19"/>
          <w:color w:val="auto"/>
        </w:rPr>
        <w:t xml:space="preserve"> Upon termination of Executive's employment with Employer prior to the expiration of the Term by Executive for Good Reason or by Employer without Cause (other than for death or Disability) ("Qualifying Termination"), Employer shall pay Executive the amounts described below. Notwithstanding the foregoing, Executive shall receive the payments and benefits described in subparagraphs (ii) - (iv) below if Executive executes and does not revoke a general release of Employer and its affiliates in a form substantially similar to that used for similarly situated executives of the Employer and its affiliates ("Release of Claims") and Executive complies with the restrictive covenants set forth herein. If Executive does not execute the Release of Claims within sixty (60) days following the Qualifying Termination, or if Executive revokes the Release of Claims (the end of the permitted revocation period following execution without revocation being exercised, the "Release of Claims Effective Date"), Executive's entitlement to the payments and benefits described in subparagraphs (ii) - (iv) below shall immediately become null and void. "Good Reason" shall mean the occurrence of any of the following without Executive's written consent: (i) material adverse change in Executive's title or the office to which Executive reports from those in effect immediately following the Effective Date, excluding for this purpose any such change that is an isolated and inadvertent action not taken in bad faith and that is remedied by Employer promptly after receipt of notice thereof given by Executive or that is authorized pursuant to this Agreement and further excluding a change in the office to which Executive reports due to internal restructuring, realignment or the resignation, promotion, demotion or a reorganization of mangers within Employer;</w:t>
      </w:r>
    </w:p>
    <w:p>
      <w:pPr>
        <w:spacing w:after="0" w:line="2" w:lineRule="exact"/>
        <w:rPr>
          <w:rFonts w:ascii="Arial" w:cs="Arial" w:eastAsia="Arial" w:hAnsi="Arial"/>
          <w:sz w:val="19"/>
          <w:szCs w:val="19"/>
          <w:color w:val="auto"/>
        </w:rPr>
      </w:pPr>
    </w:p>
    <w:p>
      <w:pPr>
        <w:jc w:val="both"/>
        <w:ind w:firstLine="8"/>
        <w:spacing w:after="0" w:line="287" w:lineRule="auto"/>
        <w:tabs>
          <w:tab w:leader="none" w:pos="329" w:val="left"/>
        </w:tabs>
        <w:numPr>
          <w:ilvl w:val="0"/>
          <w:numId w:val="36"/>
        </w:numPr>
        <w:rPr>
          <w:rFonts w:ascii="Arial" w:cs="Arial" w:eastAsia="Arial" w:hAnsi="Arial"/>
          <w:sz w:val="19"/>
          <w:szCs w:val="19"/>
          <w:color w:val="auto"/>
        </w:rPr>
      </w:pPr>
      <w:r>
        <w:rPr>
          <w:rFonts w:ascii="Arial" w:cs="Arial" w:eastAsia="Arial" w:hAnsi="Arial"/>
          <w:sz w:val="19"/>
          <w:szCs w:val="19"/>
          <w:color w:val="auto"/>
        </w:rPr>
        <w:t>material reduction in Executive's annual base salary; or (iii) relocation of Executive's principal place of business more than 50 miles from the San Francisco, CA metropolitan area. In order to resign his employment for Good Reason, Executive must notify Employer in writing within fifteen (15) days of the initial existence of any event falling under (i) - (iii) and such notice shall describe in detail the facts and circumstances explaining why Executive believes a Good Reason event has occurred. Employer shall then have sixty (60) days following its receipt of such notice to cure or remedy such alleged Good Reason event such that Good Reason will not be deemed to exist for such event. If the event remains uncured or is not remedied by Employer within such sixty (60) day period and if Executive's employment has not otherwise been terminated, then a Qualifying Termination shall automatically occur on the first business day following the end of such sixty (60) day cure/remedy period.</w:t>
      </w:r>
    </w:p>
    <w:p>
      <w:pPr>
        <w:spacing w:after="0" w:line="187" w:lineRule="exact"/>
        <w:rPr>
          <w:rFonts w:ascii="Arial" w:cs="Arial" w:eastAsia="Arial" w:hAnsi="Arial"/>
          <w:sz w:val="19"/>
          <w:szCs w:val="19"/>
          <w:color w:val="auto"/>
        </w:rPr>
      </w:pPr>
    </w:p>
    <w:p>
      <w:pPr>
        <w:jc w:val="both"/>
        <w:ind w:left="1960" w:hanging="655"/>
        <w:spacing w:after="0" w:line="248" w:lineRule="auto"/>
        <w:tabs>
          <w:tab w:leader="none" w:pos="1960" w:val="left"/>
        </w:tabs>
        <w:numPr>
          <w:ilvl w:val="2"/>
          <w:numId w:val="36"/>
        </w:numPr>
        <w:rPr>
          <w:rFonts w:ascii="Arial" w:cs="Arial" w:eastAsia="Arial" w:hAnsi="Arial"/>
          <w:sz w:val="22"/>
          <w:szCs w:val="22"/>
          <w:color w:val="auto"/>
        </w:rPr>
      </w:pPr>
      <w:r>
        <w:rPr>
          <w:rFonts w:ascii="Arial" w:cs="Arial" w:eastAsia="Arial" w:hAnsi="Arial"/>
          <w:sz w:val="22"/>
          <w:szCs w:val="22"/>
          <w:color w:val="auto"/>
        </w:rPr>
        <w:t>An amount equal to all Accrued Obligations within 30 days following the date of such Qualifying Termination, except for (a) accrued wages which shall be paid on date of the Qualifying Termination and (b) Annual Bonus amounts which shall be paid on the date that such amounts are paid by Employer to other similarly situated executives in accordance with Employer's Annual Bonus plan as in effect at the date of such termination.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8" w:right="239" w:bottom="1440" w:gutter="0" w:footer="0" w:header="0"/>
        </w:sectPr>
      </w:pPr>
    </w:p>
    <w:bookmarkStart w:id="52" w:name="page53"/>
    <w:bookmarkEnd w:id="52"/>
    <w:p>
      <w:pPr>
        <w:jc w:val="both"/>
        <w:ind w:left="760" w:hanging="655"/>
        <w:spacing w:after="0" w:line="238" w:lineRule="auto"/>
        <w:tabs>
          <w:tab w:leader="none" w:pos="7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 amount equal to one (1) year of Executive's then-current Base Salary, payable in installments on Employer's regularly scheduled payroll dates over the one (1) year period following the date of such Qualifying Termination ("Salary Continuation Payments") beginning on the regularly scheduled payroll date immediately following the Release of Claims Effective Date. Notwithstanding the foregoing, if the Salary Continuation Payments are determined to be "nonqualified deferred compensation" that is subject to Section 409A (as defined below), then the first installment shall be made on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of Executive's Qualifying Termination and shall include the amount of all payments that would have been made after the effective date of the Release of Claims but before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such Qualifying Termination, and the remaining Salary Continuation Payments shall be payable in installments on Employer's regularly scheduled paydays following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such Qualifying Termination.</w:t>
      </w:r>
    </w:p>
    <w:p>
      <w:pPr>
        <w:spacing w:after="0" w:line="226" w:lineRule="exact"/>
        <w:rPr>
          <w:rFonts w:ascii="Arial" w:cs="Arial" w:eastAsia="Arial" w:hAnsi="Arial"/>
          <w:sz w:val="21"/>
          <w:szCs w:val="21"/>
          <w:color w:val="auto"/>
        </w:rPr>
      </w:pPr>
    </w:p>
    <w:p>
      <w:pPr>
        <w:jc w:val="both"/>
        <w:ind w:left="760" w:hanging="655"/>
        <w:spacing w:after="0" w:line="253" w:lineRule="auto"/>
        <w:tabs>
          <w:tab w:leader="none" w:pos="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Payment of premiums for continuation of health care coverage under COBRA for a period equal to one (1) year from the loss of coverage at the same level in effect at the time of termination of Executive's employment, provided that Executive elects COBRA continuation coverage.</w:t>
      </w:r>
    </w:p>
    <w:p>
      <w:pPr>
        <w:spacing w:after="0" w:line="212" w:lineRule="exact"/>
        <w:rPr>
          <w:rFonts w:ascii="Arial" w:cs="Arial" w:eastAsia="Arial" w:hAnsi="Arial"/>
          <w:sz w:val="22"/>
          <w:szCs w:val="22"/>
          <w:color w:val="auto"/>
        </w:rPr>
      </w:pPr>
    </w:p>
    <w:p>
      <w:pPr>
        <w:jc w:val="both"/>
        <w:ind w:left="760" w:hanging="655"/>
        <w:spacing w:after="0" w:line="256" w:lineRule="auto"/>
        <w:tabs>
          <w:tab w:leader="none" w:pos="7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If the Qualifying Termination occurs between March 1 and December 31, all Executive's Restricted Stock Units ("RSUs") issued pursuant to Tree.com, Inc.'s 2008 Stock and Annual Incentive Plan (the "Plan") that have future vesting dates between the date of Qualifying Termination and February 28 of the following calendar year shall remain in effect until February 28 of the following year, based on the performance of transition services in accordance with Section 12, and will vest in the amounts set forth therein on the stated vesting dates (or if later, the Release of Claims Effective Date) that occur through February 28 of the following calendar year, and all other RSUs issued to Executive pursuant to the Plan shall terminate as of the date of such Qualifying Termination. If the Qualifying Termination occurs between January 1 - February 28, all Executive's RSUs issued pursuant to the Plan that have future vesting dates between the date of Qualifying Termination and February 28 of the calendar year in which the Qualifying Termination occurs, shall remain in effect until the later of February 28 of such calendar year or the Release of Claims Effective Date, based on the performance of transition services in accordance with Section 12, and will vest in the amounts set forth therein on the stated vesting dates (or if later, the Release of Claims Effective Date) that occur through February 28 of such calendar year, and all other RSUs issued to Executive pursuant to the Plan shall terminate as of the date of such Qualifying Termination. In addition, in the event that a Qualifying Termination occurs between January 1, 2014 - February 28, 2014, Executive's RSUs scheduled to vest on April 18, 2014 shall, based on the performance of transition services in accordance with Section 12, remain in</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618" w:right="239" w:bottom="1440" w:gutter="0" w:footer="0" w:header="0"/>
        </w:sectPr>
      </w:pPr>
    </w:p>
    <w:bookmarkStart w:id="53" w:name="page54"/>
    <w:bookmarkEnd w:id="53"/>
    <w:p>
      <w:pPr>
        <w:jc w:val="both"/>
        <w:ind w:left="1960"/>
        <w:spacing w:after="0" w:line="246" w:lineRule="auto"/>
        <w:rPr>
          <w:sz w:val="20"/>
          <w:szCs w:val="20"/>
          <w:color w:val="auto"/>
        </w:rPr>
      </w:pPr>
      <w:r>
        <w:rPr>
          <w:rFonts w:ascii="Arial" w:cs="Arial" w:eastAsia="Arial" w:hAnsi="Arial"/>
          <w:sz w:val="22"/>
          <w:szCs w:val="22"/>
          <w:color w:val="auto"/>
        </w:rPr>
        <w:t>effect until the later of April 18, 2014 and the Release of Claims Effective Date, and will vest on April 18, 2014 (or, if later, the Release of Claims Effective Date). All RSUs that vest pursuant to this subsection (iv) shall settle in accordance with the terms of such RSUs. All RSUs that are extended pursuant to this subsection (iv) shall terminate upon the last vesting date provided for in this subsection (iv). For the avoidance of doubt, no RSUs shall vest on a date later than the date of the Qualifying Termination unless Executive has executed the Release of Claims within sixty (60) days following the Qualifying Termination and not revoked the same.</w:t>
      </w:r>
    </w:p>
    <w:p>
      <w:pPr>
        <w:spacing w:after="0" w:line="22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the foregoing, if Executive obtains other employment or is otherwise compensated for services during the period in which he is receiving Salary Continuation Payments ("Severance Period"), Employer's obligation to make future payments to Executive under subparagraph (ii) above shall be offset against any compensation earned by Executive as a result of employment with or services provided to a third party. Executive agrees to inform Employer promptly of his employment status and any amounts so earned during the Severance Period. Executive acknowledges and agrees that the payments described in paragraph 5(b) above constitute good and valuable consideration for such Release of Claims.</w:t>
      </w:r>
    </w:p>
    <w:p>
      <w:pPr>
        <w:spacing w:after="0" w:line="177" w:lineRule="exact"/>
        <w:rPr>
          <w:sz w:val="20"/>
          <w:szCs w:val="20"/>
          <w:color w:val="auto"/>
        </w:rPr>
      </w:pPr>
    </w:p>
    <w:p>
      <w:pPr>
        <w:jc w:val="both"/>
        <w:ind w:firstLine="332"/>
        <w:spacing w:after="0" w:line="248" w:lineRule="auto"/>
        <w:tabs>
          <w:tab w:leader="none" w:pos="81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Reference is made to the change in control letter issued by Employer to certain executives of Employer, as the same may be revised from time to time (the "CIC Letter"). In the event that Executive experiences a Qualifying Termination within the one-year period following a Change in Control (as defined in the CIC Letter), the terms of the CIC Letter, as it may be amended from time to time, shall control and supersede the terms of this Agreement with respect to any benefits or payments which would otherwise be due hereunder.</w:t>
      </w:r>
    </w:p>
    <w:p>
      <w:pPr>
        <w:spacing w:after="0" w:line="232" w:lineRule="exact"/>
        <w:rPr>
          <w:rFonts w:ascii="Arial" w:cs="Arial" w:eastAsia="Arial" w:hAnsi="Arial"/>
          <w:sz w:val="22"/>
          <w:szCs w:val="22"/>
          <w:color w:val="auto"/>
        </w:rPr>
      </w:pPr>
    </w:p>
    <w:p>
      <w:pPr>
        <w:jc w:val="both"/>
        <w:ind w:firstLine="332"/>
        <w:spacing w:after="0" w:line="286" w:lineRule="auto"/>
        <w:tabs>
          <w:tab w:leader="none" w:pos="81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and Return of Property</w:t>
      </w:r>
      <w:r>
        <w:rPr>
          <w:rFonts w:ascii="Arial" w:cs="Arial" w:eastAsia="Arial" w:hAnsi="Arial"/>
          <w:sz w:val="19"/>
          <w:szCs w:val="19"/>
          <w:color w:val="auto"/>
        </w:rPr>
        <w:t>. "Confidential Information" means any written, oral, or other information obtained by Executive in confidence from Employer, or any of its affiliates, including without limitation information about their respective operations, financial condition, business commitments or business strategy, as a result of Executive's employment with Employer unless such information is already publicly known through no fault of any person bound by a duty of confidentiality to Employer or any of its affiliates. Executive will not at any time, during or after Executive's employment with Employer, directly or indirectly disclose Confidential Information to any person or entity other than authorized officers, directors and employees of Employer. Executive will not at any time, during or after Executive's employment with Employer, in any manner use Confidential Information on behalf of himself or any other person or entity other than Employer, or accept any position in which Executive would have a duty to any person to use Confidential Information against the interests of Employer or any of its affiliates. Upon termination of Executive's employment for any reason, Executive will promptly return to Employer all property of Employer, including documents and computer files, especially where such property contains or reflects Confidential Information. Nothing in this Agreement shall be interpreted or shall operate to diminish such duties or obligations of Executive to Employer that arise or continue in effect after the termination of Executive's employment hereunder, including without limitation any such duties or obligations to maintain confidentiality or refrain from adverse use of any of Employer's trade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8"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secrets or other Confidential Information that Executive may have acquired in the course of Executive's employment.</w:t>
      </w:r>
    </w:p>
    <w:p>
      <w:pPr>
        <w:spacing w:after="0" w:line="247" w:lineRule="exact"/>
        <w:rPr>
          <w:sz w:val="20"/>
          <w:szCs w:val="20"/>
          <w:color w:val="auto"/>
        </w:rPr>
      </w:pPr>
    </w:p>
    <w:p>
      <w:pPr>
        <w:jc w:val="both"/>
        <w:ind w:firstLine="332"/>
        <w:spacing w:after="0" w:line="286" w:lineRule="auto"/>
        <w:tabs>
          <w:tab w:leader="none" w:pos="81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Disclosure and Ownership of Work Related Intellectual Property</w:t>
      </w:r>
      <w:r>
        <w:rPr>
          <w:rFonts w:ascii="Arial" w:cs="Arial" w:eastAsia="Arial" w:hAnsi="Arial"/>
          <w:sz w:val="19"/>
          <w:szCs w:val="19"/>
          <w:color w:val="auto"/>
        </w:rPr>
        <w:t>. Executive shall disclose fully to Employer any and all intellectual property (including, without limitation, inventions, processes, improvements to inventions and processes, and enhancements to inventions and processes, whether or not patentable, formulae, data and computer programs, related documentation and all other forms of copyrightable subject matter) that Executive conceives, develops or makes during the term of Executive's employment, whether or not within the original Term of this Agreement, and that in whole or in part result from or relate to Executive's work for Employer (collectively, "Work Related Intellectual Property"). Any such disclosure shall be made promptly after each item of Work Related Intellectual Property is conceived, developed or made by Executive, whichever is sooner. Executive acknowledges that all Work Related Intellectual Property that is copyrightable subject matter and which qualifies as "work made for hire" shall be automatically owned by Employer. Further, Executive hereby assigns to Employer any and all rights which Executive has or may have in Work Related Intellectual Property that is copyrightable subject matter and that, for any reason, does not qualify as "work made for hire." If any Work Related Intellectual Property embodies or reflects any preexisting rights of Executive, Executive hereby grants to Employer the irrevocable, perpetual, nonexclusive, worldwide, and royalty-free license to use, reproduce, display, perform, distribute copies of and prepare derivative works based upon such preexisting rights and to authorize others to do any or all of the foregoing.</w:t>
      </w:r>
    </w:p>
    <w:p>
      <w:pPr>
        <w:spacing w:after="0" w:line="200" w:lineRule="exact"/>
        <w:rPr>
          <w:rFonts w:ascii="Arial" w:cs="Arial" w:eastAsia="Arial" w:hAnsi="Arial"/>
          <w:sz w:val="19"/>
          <w:szCs w:val="19"/>
          <w:color w:val="auto"/>
        </w:rPr>
      </w:pPr>
    </w:p>
    <w:p>
      <w:pPr>
        <w:spacing w:after="0" w:line="250" w:lineRule="exact"/>
        <w:rPr>
          <w:rFonts w:ascii="Arial" w:cs="Arial" w:eastAsia="Arial" w:hAnsi="Arial"/>
          <w:sz w:val="19"/>
          <w:szCs w:val="19"/>
          <w:color w:val="auto"/>
        </w:rPr>
      </w:pPr>
    </w:p>
    <w:p>
      <w:pPr>
        <w:ind w:firstLine="332"/>
        <w:spacing w:after="0" w:line="287" w:lineRule="auto"/>
        <w:tabs>
          <w:tab w:leader="none" w:pos="81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Executive covenants as follows, except in the event of a Qualifying Termination within one year following a Change in Control (in which instance, Executive agrees to be bound by the terms of the CIC Letter):</w:t>
      </w:r>
    </w:p>
    <w:p>
      <w:pPr>
        <w:spacing w:after="0" w:line="178" w:lineRule="exact"/>
        <w:rPr>
          <w:rFonts w:ascii="Arial" w:cs="Arial" w:eastAsia="Arial" w:hAnsi="Arial"/>
          <w:sz w:val="21"/>
          <w:szCs w:val="21"/>
          <w:color w:val="auto"/>
        </w:rPr>
      </w:pPr>
    </w:p>
    <w:p>
      <w:pPr>
        <w:jc w:val="both"/>
        <w:ind w:firstLine="656"/>
        <w:spacing w:after="0" w:line="288" w:lineRule="auto"/>
        <w:tabs>
          <w:tab w:leader="none" w:pos="1446"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In consideration of this Agreement, and other good and valuable consideration provided hereunder, the receipt and sufficiency of which are hereby acknowledged by Executive, Executive hereby agrees and covenants that during the Term and for a period of twelve (12) months thereafter (together , the "Restricted Period"), Executive shall not, without the prior written consent of Employer, directly or indirectly, engage in or become associated with a Competitive Activity. "Competitive Activity" means any business or other endeavor, in any state of the United States, involving products or services that are the same or similar to the type of products or services that the Employer is engaged in providing both (x) as of the date hereof or at any time during the Term and (y) at any time during the twelve (12) month period preceding Executive's termination of employment. Executive shall be considered to have become "associated with a Competitive Activity" if Executive becomes directly or indirectly involved as an owner, principal, employee, officer, director, independent contractor, representative, stockholder, financial backer, agent, partner, member, advisor, lender, or in any other individual or representative capacity with any individual, partnership, corporation or other organization that is engaged in a Competitive Activity.</w:t>
      </w:r>
    </w:p>
    <w:p>
      <w:pPr>
        <w:spacing w:after="0" w:line="181" w:lineRule="exact"/>
        <w:rPr>
          <w:rFonts w:ascii="Arial" w:cs="Arial" w:eastAsia="Arial" w:hAnsi="Arial"/>
          <w:sz w:val="19"/>
          <w:szCs w:val="19"/>
          <w:color w:val="auto"/>
        </w:rPr>
      </w:pPr>
    </w:p>
    <w:p>
      <w:pPr>
        <w:jc w:val="both"/>
        <w:ind w:firstLine="656"/>
        <w:spacing w:after="0" w:line="253" w:lineRule="auto"/>
        <w:tabs>
          <w:tab w:leader="none" w:pos="1459"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Notwithstanding the foregoing, Executive may make and retain investments during the Restricted Period, in less than one percent (1%) of the outstanding capital stock of any publicly traded corporation engaged in a Competitive Activity if the stock of such corporation is either listed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18" w:right="23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on a national stock exchange or on the NASDAQ Stock Market if Executive is not otherwise affiliated with such corporation.</w:t>
      </w:r>
    </w:p>
    <w:p>
      <w:pPr>
        <w:spacing w:after="0" w:line="281" w:lineRule="exact"/>
        <w:rPr>
          <w:sz w:val="20"/>
          <w:szCs w:val="20"/>
          <w:color w:val="auto"/>
        </w:rPr>
      </w:pPr>
    </w:p>
    <w:p>
      <w:pPr>
        <w:jc w:val="both"/>
        <w:ind w:firstLine="656"/>
        <w:spacing w:after="0" w:line="286" w:lineRule="auto"/>
        <w:tabs>
          <w:tab w:leader="none" w:pos="1446"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Executive recognizes that he will possess Confidential Information about other employees, consultants and contractors of Employer and its subsidiaries or affiliates relating to their education, experience, skills, abilities, compensation and benefits and interpersonal relationships with suppliers to and customers of Employer and its subsidiaries or affiliates. Executive recognizes that the information he will possess about these other employees, consultants and contractors is not generally known, is of substantial value to Employer and its subsidiaries or affiliates in developing their respective businesses and in securing and retaining customers, and will be acquired by Executive because of Executive's position with Employer. Executive agrees that during the Restricted Period (i) Executive will not, directly or indirectly, solicit or recruit any person then employed by the Employer and/or any of its subsidiaries and/or affiliates with whom Executive has had direct contact during his employment, in all cases for the purpose of being employed by Executive or by any business, individual, partnership, firm, corporation or the entity on whose behalf Executive is acting as an agent, representative or employee; and (ii) Executive will not convey any such Confidential Information or trade secrets about employees of the Employer or any of its subsidiaries or affiliates to any other person except within the scope of Executives duties hereunder. Notwithstanding the foregoing, upon a termination of Executive's employment by Employer for any reason other than for Cause, the restrictions set forth immediately above shall apply for a period of twelve (12) months following such termination in the case of employees with whom Executive had a direct working relationship prior to his employment with Employer, its subsidiaries, and/or affiliates.</w:t>
      </w:r>
    </w:p>
    <w:p>
      <w:pPr>
        <w:spacing w:after="0" w:line="186" w:lineRule="exact"/>
        <w:rPr>
          <w:rFonts w:ascii="Arial" w:cs="Arial" w:eastAsia="Arial" w:hAnsi="Arial"/>
          <w:sz w:val="19"/>
          <w:szCs w:val="19"/>
          <w:color w:val="auto"/>
        </w:rPr>
      </w:pPr>
    </w:p>
    <w:p>
      <w:pPr>
        <w:jc w:val="both"/>
        <w:ind w:firstLine="656"/>
        <w:spacing w:after="0" w:line="265" w:lineRule="auto"/>
        <w:tabs>
          <w:tab w:leader="none" w:pos="1459"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w:t>
      </w:r>
      <w:r>
        <w:rPr>
          <w:rFonts w:ascii="Arial" w:cs="Arial" w:eastAsia="Arial" w:hAnsi="Arial"/>
          <w:sz w:val="21"/>
          <w:szCs w:val="21"/>
          <w:color w:val="auto"/>
        </w:rPr>
        <w:t>. During the Restricted Period, Executive shall not solicit any Customers of Employer or encourage (regardless of who initiates the contact) any such Customers to use the facilities or services of any competitor of Employer. For the purposes of this Agreement, "Customers" means any persons or entities that purchased products or services from Employer within twelve (12) calendar months of the termination of Executive's employment.</w:t>
      </w:r>
    </w:p>
    <w:p>
      <w:pPr>
        <w:spacing w:after="0" w:line="202" w:lineRule="exact"/>
        <w:rPr>
          <w:rFonts w:ascii="Arial" w:cs="Arial" w:eastAsia="Arial" w:hAnsi="Arial"/>
          <w:sz w:val="21"/>
          <w:szCs w:val="21"/>
          <w:color w:val="auto"/>
        </w:rPr>
      </w:pPr>
    </w:p>
    <w:p>
      <w:pPr>
        <w:jc w:val="both"/>
        <w:ind w:firstLine="656"/>
        <w:spacing w:after="0" w:line="271" w:lineRule="auto"/>
        <w:tabs>
          <w:tab w:leader="none" w:pos="1446" w:val="left"/>
        </w:tabs>
        <w:numPr>
          <w:ilvl w:val="1"/>
          <w:numId w:val="40"/>
        </w:numPr>
        <w:rPr>
          <w:rFonts w:ascii="Arial" w:cs="Arial" w:eastAsia="Arial" w:hAnsi="Arial"/>
          <w:sz w:val="21"/>
          <w:szCs w:val="21"/>
          <w:color w:val="auto"/>
        </w:rPr>
      </w:pPr>
      <w:r>
        <w:rPr>
          <w:rFonts w:ascii="Arial" w:cs="Arial" w:eastAsia="Arial" w:hAnsi="Arial"/>
          <w:sz w:val="21"/>
          <w:szCs w:val="21"/>
          <w:color w:val="auto"/>
        </w:rPr>
        <w:t>Executive acknowledges that the restrictions, prohibitions and other provisions herein, including, without limitation, the Restricted Period, are reasonable, fair and equitable in terms of duration and scope, are necessary to protect the legitimate business interests of Employer, and are a material inducement to Employer to enter into this Agreement.</w:t>
      </w:r>
    </w:p>
    <w:p>
      <w:pPr>
        <w:spacing w:after="0" w:line="194" w:lineRule="exact"/>
        <w:rPr>
          <w:rFonts w:ascii="Arial" w:cs="Arial" w:eastAsia="Arial" w:hAnsi="Arial"/>
          <w:sz w:val="21"/>
          <w:szCs w:val="21"/>
          <w:color w:val="auto"/>
        </w:rPr>
      </w:pPr>
    </w:p>
    <w:p>
      <w:pPr>
        <w:jc w:val="both"/>
        <w:ind w:firstLine="332"/>
        <w:spacing w:after="0" w:line="290" w:lineRule="auto"/>
        <w:tabs>
          <w:tab w:leader="none" w:pos="91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Remedies for Breach.</w:t>
      </w:r>
      <w:r>
        <w:rPr>
          <w:rFonts w:ascii="Arial" w:cs="Arial" w:eastAsia="Arial" w:hAnsi="Arial"/>
          <w:sz w:val="19"/>
          <w:szCs w:val="19"/>
          <w:color w:val="auto"/>
        </w:rPr>
        <w:t xml:space="preserve"> Executive acknowledges and agrees that a breach of any of the covenants made by Executive in Sections 7, 8 and 9 above would cause irreparable harm to Employer or any of its affiliates for which there would be no adequate remedy at law. Accordingly, the parties agree that in the event of any breach or attempted breach by Executive of any of the provisions of Sections 7, 8 and/or 9, Employer shall be entitled to institute and prosecute proceedings at law or in equity with respect to such breach, and, if successful, to recover such costs, expenses, and reasonable attorney's fees as may be incurred in connection with such proceedings. The parties further agree that, to the extent Employer institutes and prosecutes proceedings at law or in equity against Executive for an alleged breach, and such action is unsuccessful, Executive is entitled to recover such costs, expenses, and reasonable attorneys' fees as may be incurred in connection with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8" w:right="239" w:bottom="1440" w:gutter="0" w:footer="0" w:header="0"/>
        </w:sectPr>
      </w:pPr>
    </w:p>
    <w:bookmarkStart w:id="56" w:name="page57"/>
    <w:bookmarkEnd w:id="56"/>
    <w:p>
      <w:pPr>
        <w:jc w:val="both"/>
        <w:spacing w:after="0" w:line="302" w:lineRule="auto"/>
        <w:rPr>
          <w:sz w:val="20"/>
          <w:szCs w:val="20"/>
          <w:color w:val="auto"/>
        </w:rPr>
      </w:pPr>
      <w:r>
        <w:rPr>
          <w:rFonts w:ascii="Arial" w:cs="Arial" w:eastAsia="Arial" w:hAnsi="Arial"/>
          <w:sz w:val="19"/>
          <w:szCs w:val="19"/>
          <w:color w:val="auto"/>
        </w:rPr>
        <w:t>such proceedings. If Executive breaches Section 8 above, the duration of the period identified shall be computed from the date Executive resumes compliance with the covenant or from the date Employer is granted injunctive or other equitable relief by a court of competent jurisdiction enforcing the covenant, whichever shall first occur, reduced by the number of days Executive was not in breach of the covenant after termination of employment, or any delay in filing suit, whichever is greater.</w:t>
      </w:r>
    </w:p>
    <w:p>
      <w:pPr>
        <w:spacing w:after="0" w:line="170" w:lineRule="exact"/>
        <w:rPr>
          <w:sz w:val="20"/>
          <w:szCs w:val="20"/>
          <w:color w:val="auto"/>
        </w:rPr>
      </w:pPr>
    </w:p>
    <w:p>
      <w:pPr>
        <w:jc w:val="both"/>
        <w:ind w:firstLine="332"/>
        <w:spacing w:after="0" w:line="263" w:lineRule="auto"/>
        <w:tabs>
          <w:tab w:leader="none" w:pos="91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Survival of Obligations</w:t>
      </w:r>
      <w:r>
        <w:rPr>
          <w:rFonts w:ascii="Arial" w:cs="Arial" w:eastAsia="Arial" w:hAnsi="Arial"/>
          <w:sz w:val="21"/>
          <w:szCs w:val="21"/>
          <w:color w:val="auto"/>
        </w:rPr>
        <w:t>. Executive's obligations under Sections 7, 8 and 9 of this Agreement shall survive the termination of Executive's employment and this Agreement, regardless of the reason for or method of termination. Each of the provisions in these Sections shall be enforceable independently of every other provision, and the existence of any claim or cause of action Executive may have against Employer, whether predicated on this Agreement or otherwise, shall not constitute a defense to the enforcement of these Sections of the Agreement by Employer.</w:t>
      </w:r>
    </w:p>
    <w:p>
      <w:pPr>
        <w:spacing w:after="0" w:line="202" w:lineRule="exact"/>
        <w:rPr>
          <w:rFonts w:ascii="Arial" w:cs="Arial" w:eastAsia="Arial" w:hAnsi="Arial"/>
          <w:sz w:val="21"/>
          <w:szCs w:val="21"/>
          <w:color w:val="auto"/>
        </w:rPr>
      </w:pPr>
    </w:p>
    <w:p>
      <w:pPr>
        <w:jc w:val="both"/>
        <w:ind w:firstLine="332"/>
        <w:spacing w:after="0" w:line="287" w:lineRule="auto"/>
        <w:tabs>
          <w:tab w:leader="none" w:pos="91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Actions After Termination</w:t>
      </w:r>
      <w:r>
        <w:rPr>
          <w:rFonts w:ascii="Arial" w:cs="Arial" w:eastAsia="Arial" w:hAnsi="Arial"/>
          <w:sz w:val="19"/>
          <w:szCs w:val="19"/>
          <w:color w:val="auto"/>
        </w:rPr>
        <w:t>. Executive agrees that for one year following Executive's termination from Employer, regardless of the reason for the termination, Executive will continue to make himself available for reasonable consultation with Employer and Employer's agents and employees regarding Executive's prior work for Employer. In no event shall such services in a given month exceed 20% of the average monthly level of services performed by Executive over the 36-month period immediately preceding the date on which Executive's employment terminated. In addition, Executive shall make himself reasonably available for interviews by Employer's counsel, depositions, and/or appearances before courts or administrative agencies upon Employer's reasonable request. Executive agrees that if Executive is contacted by any government agency with reference to Employer's business, or by any person contemplating or maintaining any claim or legal action against Employer, or by any agent or attorney of such person, Executive will, to the extent permitted by law, promptly notify Employer of the substance of Executive's communications with such person. Employer agrees to reimburse any reasonable expenses (and, after any Severance Period, reasonable compensation for lost income) incurred by Executive in connection with this Section 12, provided that such expenses shall have been preapproved in writing by Employer.</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firstLine="332"/>
        <w:spacing w:after="0" w:line="288" w:lineRule="auto"/>
        <w:tabs>
          <w:tab w:leader="none" w:pos="91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Section 280G Limitation</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anything in this Agreement to the contrary, in the event that any payment or benefit received or to be received by Executive (all such payments and benefits being hereinafter referred to as the "</w:t>
      </w:r>
      <w:r>
        <w:rPr>
          <w:rFonts w:ascii="Arial" w:cs="Arial" w:eastAsia="Arial" w:hAnsi="Arial"/>
          <w:sz w:val="19"/>
          <w:szCs w:val="19"/>
          <w:u w:val="single" w:color="auto"/>
          <w:color w:val="auto"/>
        </w:rPr>
        <w:t>Total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would not be deductible (in whole or part) by the Employer or any affiliates making such payment or providing such benefit as a result of Section 280G of the U.S.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xml:space="preserve">)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shall first be reduced (if necessary, to zero), and all other Total Payments shall thereafter be reduced (if necessary, to zero) with, in each case, cash payments being reduced before non-cash payments (and, within each category, payments to be paid last being reduced first);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reduction shall only be made if the amount of such Total Payments, as so reduced (and after subtracting the net amount of federal, state and local income taxes on such reduced Total Payments) is greater than or equal to the amount of such Total Payments without such reduction (but after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8" w:right="2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2"/>
          <w:szCs w:val="22"/>
          <w:color w:val="auto"/>
        </w:rPr>
        <w:t>subtracting the net amount of federal, state and local income taxes on such Total Payments and the amount of the excise tax imposed under Section 4999 of the Code on such unreduced Total Payments). Any determination required to be made under this paragraph shall be made by independent tax counsel reasonably acceptable to both Executive and the Employer, and shall be paid for by the Employer ("</w:t>
      </w:r>
      <w:r>
        <w:rPr>
          <w:rFonts w:ascii="Arial" w:cs="Arial" w:eastAsia="Arial" w:hAnsi="Arial"/>
          <w:sz w:val="22"/>
          <w:szCs w:val="22"/>
          <w:u w:val="single" w:color="auto"/>
          <w:color w:val="auto"/>
        </w:rPr>
        <w:t>Tax Counsel"</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It is possible that, after the determinations and selections made pursuant to the foregoing paragraph, Executive will receive payments and/or benefits that are, in the aggregate, either more or less than the amount determined under such paragraph (hereafter referred to as an "</w:t>
      </w:r>
      <w:r>
        <w:rPr>
          <w:rFonts w:ascii="Arial" w:cs="Arial" w:eastAsia="Arial" w:hAnsi="Arial"/>
          <w:sz w:val="19"/>
          <w:szCs w:val="19"/>
          <w:u w:val="single" w:color="auto"/>
          <w:color w:val="auto"/>
        </w:rPr>
        <w:t>Excess Payment"</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Underpayment"</w:t>
      </w:r>
      <w:r>
        <w:rPr>
          <w:rFonts w:ascii="Arial" w:cs="Arial" w:eastAsia="Arial" w:hAnsi="Arial"/>
          <w:sz w:val="19"/>
          <w:szCs w:val="19"/>
          <w:color w:val="auto"/>
        </w:rPr>
        <w:t>, as applicable). If Tax Counsel determines that an Excess Payment has been made, then Executive shall promptly repay the Excess Payment to Employer, together with interest on the Excess Payment at the applicable federal rate (as defined in section 1274(d) of the Code) from the date of Executive's receipt of such Excess Payment until the date of such repayment. If Tax Counsel determines that an Underpayment has occurred, Employer shall promptly (but in any event within ten (10) days of such determination) pay to Executive an amount equal to the Underpayment, together with interest on such amount at the applicable federal rate from the date such amount would have been paid to Executive had the provisions of the foregoing paragraph not been applied until the date of payment.</w:t>
      </w:r>
    </w:p>
    <w:p>
      <w:pPr>
        <w:spacing w:after="0" w:line="185" w:lineRule="exact"/>
        <w:rPr>
          <w:sz w:val="20"/>
          <w:szCs w:val="20"/>
          <w:color w:val="auto"/>
        </w:rPr>
      </w:pPr>
    </w:p>
    <w:p>
      <w:pPr>
        <w:jc w:val="both"/>
        <w:ind w:firstLine="332"/>
        <w:spacing w:after="0" w:line="285" w:lineRule="auto"/>
        <w:tabs>
          <w:tab w:leader="none" w:pos="91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The parties intend that any amounts payable hereunder shall comply with or be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shall be deemed to be a separate payment. Executive and Employer agree to negotiate in good faith to make amendments to the Agreement, as the parties mutually agree are necessary or desirable to avoid the imposition of taxes, penalties or interest under Section 409A. Neither Executive nor Employer shall have the right to accelerate or defer the delivery of any such payments or benefits except (i) where payment may be made within a certain period of time, the timing of payment within such period will be in the sole discretion of Employer,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shall mean "separation from service" within the meaning of Section 409A. Notwithstanding anything in this Agreement to the contrary, if Executive is considered a "specified employee" under Section 409A upon his separation from service and if payment of any amounts on account of Executive's separation from service under this Agreement is required to be delayed for a period of six months after separation from service in order to avoid taxation under Section 409A, payment of such amounts shall be delayed as required by Section 409A, and the accumulated amounts shall be paid in a lump sum payment within five business days after the end of the six-month delay period. If Executive dies during the six-month delay period prior to the payment of benefits, the amounts withheld on account of Section 409A shall be paid to the personal representative of Executive's estate within 60 days after the date of Executive's death. For the avoidance of doubt, it is intended that any expense reimbursement made to Executive hereunder shall be exempt from Section 409A. Notwithstanding the foregoing, if any expense reimbursement made hereunder shall be determined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8" w:right="239" w:bottom="1440" w:gutter="0" w:footer="0" w:header="0"/>
        </w:sectPr>
      </w:pPr>
    </w:p>
    <w:bookmarkStart w:id="58" w:name="page59"/>
    <w:bookmarkEnd w:id="58"/>
    <w:p>
      <w:pPr>
        <w:jc w:val="both"/>
        <w:spacing w:after="0" w:line="258" w:lineRule="auto"/>
        <w:rPr>
          <w:sz w:val="20"/>
          <w:szCs w:val="20"/>
          <w:color w:val="auto"/>
        </w:rPr>
      </w:pPr>
      <w:r>
        <w:rPr>
          <w:rFonts w:ascii="Arial" w:cs="Arial" w:eastAsia="Arial" w:hAnsi="Arial"/>
          <w:sz w:val="21"/>
          <w:szCs w:val="21"/>
          <w:color w:val="auto"/>
        </w:rPr>
        <w:t>to be "deferred compensation" within the meaning of Section 409A, then (i) the amount of the expense reimbursement during one taxable year shall not affect the amount of the expense reimbursement during any other taxable year, (ii) the expense reimbursement shall be made on or before the last day of Executive's taxable year following the year in which the expense was incurred and (iii) the right to expense reimbursement hereunder shall not be subject to liquidation or exchange for another benefit. While it is intended that all payments and benefits provided to Executive under this Agreement will be exempt from or comply with Section 409A, Employer makes no representation or covenant to ensure that such payments and benefits are exempt from or compliant with Section 409A. Employer will have no liability to Executive or any other party if a payment or benefit under this Agreement or otherwise is challenged by any taxing authority or is ultimately determined not to be exempt or compliant. Executive further understands and agrees that Executive will be entirely responsible for any and all taxes imposed on Executive as a result of this Agreement.</w:t>
      </w:r>
    </w:p>
    <w:p>
      <w:pPr>
        <w:spacing w:after="0" w:line="213" w:lineRule="exact"/>
        <w:rPr>
          <w:sz w:val="20"/>
          <w:szCs w:val="20"/>
          <w:color w:val="auto"/>
        </w:rPr>
      </w:pPr>
    </w:p>
    <w:p>
      <w:pPr>
        <w:jc w:val="both"/>
        <w:ind w:firstLine="332"/>
        <w:spacing w:after="0" w:line="247" w:lineRule="auto"/>
        <w:tabs>
          <w:tab w:leader="none" w:pos="91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Employer may assign this Agreement to any other entity acquiring all or substantially all of the assets or stock of Employer or to any other entity into which or with which Employer may be merged or consolidated. Upon such assignment, merger, or consolidation, the rights of Employer under this Agreement, as well as the obligations and liabilities of Employer hereunder, shall inure to the benefit of and be binding upon the assignee, successor-in-interest, or transferee of Employer and Employer shall have no further obligations or liabilities hereunder. This Agreement is not assignable in any respect by Executive.</w:t>
      </w:r>
    </w:p>
    <w:p>
      <w:pPr>
        <w:spacing w:after="0" w:line="220" w:lineRule="exact"/>
        <w:rPr>
          <w:rFonts w:ascii="Arial" w:cs="Arial" w:eastAsia="Arial" w:hAnsi="Arial"/>
          <w:sz w:val="22"/>
          <w:szCs w:val="22"/>
          <w:color w:val="auto"/>
        </w:rPr>
      </w:pPr>
    </w:p>
    <w:p>
      <w:pPr>
        <w:jc w:val="both"/>
        <w:ind w:firstLine="332"/>
        <w:spacing w:after="0" w:line="250" w:lineRule="auto"/>
        <w:tabs>
          <w:tab w:leader="none" w:pos="91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shall be in writing and shall be given by first-class mail, certified or registered with return receipt requested or by hand deliver, or by overnight delivery by a national recognized carrier, in each case to the applicable address set forth below, and any such notice is deemed effectively given which received by recipient (or if receipt is refused by recipient, when so refused):</w:t>
      </w:r>
    </w:p>
    <w:p>
      <w:pPr>
        <w:sectPr>
          <w:pgSz w:w="11900" w:h="16838" w:orient="portrait"/>
          <w:cols w:equalWidth="0" w:num="1">
            <w:col w:w="11420"/>
          </w:cols>
          <w:pgMar w:left="240" w:top="6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Employer:</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9"/>
          <w:szCs w:val="19"/>
          <w:color w:val="FFFFFF"/>
        </w:rPr>
        <w:t>If to Employer:</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FFFFFF"/>
        </w:rPr>
        <w:t>If to Employer:</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FFFFFF"/>
        </w:rPr>
        <w:t>If to Employer: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Tree.com,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11115 Rushmore Dr.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Charlotte, NC 28277</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Attn: General Counsel</w:t>
      </w:r>
    </w:p>
    <w:p>
      <w:pPr>
        <w:spacing w:after="0" w:line="200" w:lineRule="exact"/>
        <w:rPr>
          <w:sz w:val="20"/>
          <w:szCs w:val="20"/>
          <w:color w:val="auto"/>
        </w:rPr>
      </w:pPr>
    </w:p>
    <w:p>
      <w:pPr>
        <w:sectPr>
          <w:pgSz w:w="11900" w:h="16838" w:orient="portrait"/>
          <w:cols w:equalWidth="0" w:num="2">
            <w:col w:w="1980" w:space="280"/>
            <w:col w:w="9160"/>
          </w:cols>
          <w:pgMar w:left="240" w:top="618" w:right="239" w:bottom="1440" w:gutter="0" w:footer="0" w:header="0"/>
          <w:type w:val="continuous"/>
        </w:sectPr>
      </w:pP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At the most recent address for Executive on file with Employer.</w:t>
      </w:r>
    </w:p>
    <w:p>
      <w:pPr>
        <w:spacing w:after="0" w:line="200" w:lineRule="exact"/>
        <w:rPr>
          <w:sz w:val="20"/>
          <w:szCs w:val="20"/>
          <w:color w:val="auto"/>
        </w:rPr>
      </w:pPr>
    </w:p>
    <w:p>
      <w:pPr>
        <w:sectPr>
          <w:pgSz w:w="11900" w:h="16838" w:orient="portrait"/>
          <w:cols w:equalWidth="0" w:num="2">
            <w:col w:w="2000" w:space="240"/>
            <w:col w:w="9180"/>
          </w:cols>
          <w:pgMar w:left="240" w:top="618" w:right="239" w:bottom="1440" w:gutter="0" w:footer="0" w:header="0"/>
          <w:type w:val="continuous"/>
        </w:sectPr>
      </w:pP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Either party may change such party's address for notices by notice duly given pursuant hereto.</w:t>
      </w:r>
    </w:p>
    <w:p>
      <w:pPr>
        <w:spacing w:after="0" w:line="247" w:lineRule="exact"/>
        <w:rPr>
          <w:sz w:val="20"/>
          <w:szCs w:val="20"/>
          <w:color w:val="auto"/>
        </w:rPr>
      </w:pPr>
    </w:p>
    <w:p>
      <w:pPr>
        <w:jc w:val="both"/>
        <w:ind w:firstLine="332"/>
        <w:spacing w:after="0" w:line="263" w:lineRule="auto"/>
        <w:tabs>
          <w:tab w:leader="none" w:pos="91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Invalid Provisions.</w:t>
      </w:r>
      <w:r>
        <w:rPr>
          <w:rFonts w:ascii="Arial" w:cs="Arial" w:eastAsia="Arial" w:hAnsi="Arial"/>
          <w:sz w:val="21"/>
          <w:szCs w:val="21"/>
          <w:color w:val="auto"/>
        </w:rPr>
        <w:t xml:space="preserve"> It is not the intention of either Party to violate any public policy, or any statutory or common law. If any sentence, paragraph, clause or combination of the same in this Agreement is in violation of the law of any State where applicable, such sentence, paragraph, clause or combination of the same shall be void in the jurisdictions where it is unlawful, and the remainder of the Agreement shall remain binding on the Parties. However, the Parties agree, and it is their desire that a court should substitute for each such illegal, invalid or unenforceable covenant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8" w:right="239" w:bottom="1440" w:gutter="0" w:footer="0" w:header="0"/>
          <w:type w:val="continuous"/>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reasonable and judicially-enforceable limitation in its place, and that as so modified the covenant shall be as fully enforceable as if set forth herein by the Parties themselves in the modified form.</w:t>
      </w:r>
    </w:p>
    <w:p>
      <w:pPr>
        <w:spacing w:after="0" w:line="202" w:lineRule="exact"/>
        <w:rPr>
          <w:sz w:val="20"/>
          <w:szCs w:val="20"/>
          <w:color w:val="auto"/>
        </w:rPr>
      </w:pPr>
    </w:p>
    <w:p>
      <w:pPr>
        <w:jc w:val="both"/>
        <w:ind w:firstLine="332"/>
        <w:spacing w:after="0" w:line="297" w:lineRule="auto"/>
        <w:tabs>
          <w:tab w:leader="none" w:pos="91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Amendments.</w:t>
      </w:r>
      <w:r>
        <w:rPr>
          <w:rFonts w:ascii="Arial" w:cs="Arial" w:eastAsia="Arial" w:hAnsi="Arial"/>
          <w:sz w:val="19"/>
          <w:szCs w:val="19"/>
          <w:color w:val="auto"/>
        </w:rPr>
        <w:t xml:space="preserve"> This Agreement contains the entire agreement of the Parties with respect to the subject matter hereof and supersedes all prior agreements and understandings, , relating to the subject matter hereof, including, but not limited to (i) that certain Letter Agreement dated as of September 9, 2012 by and between Employer and Executive and (ii) that certain Letter Agreement dated April 11, 2011 by and between Executive and Employer. This Agreement may be amended in whole or in part only by an instrument in writing setting forth the particulars of such amendment and duly executed by both Parties.</w:t>
      </w:r>
    </w:p>
    <w:p>
      <w:pPr>
        <w:spacing w:after="0" w:line="174" w:lineRule="exact"/>
        <w:rPr>
          <w:rFonts w:ascii="Arial" w:cs="Arial" w:eastAsia="Arial" w:hAnsi="Arial"/>
          <w:sz w:val="19"/>
          <w:szCs w:val="19"/>
          <w:color w:val="auto"/>
        </w:rPr>
      </w:pPr>
    </w:p>
    <w:p>
      <w:pPr>
        <w:ind w:right="20" w:firstLine="332"/>
        <w:spacing w:after="0" w:line="263" w:lineRule="auto"/>
        <w:tabs>
          <w:tab w:leader="none" w:pos="91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Multiple Counterparts</w:t>
      </w:r>
      <w:r>
        <w:rPr>
          <w:rFonts w:ascii="Arial" w:cs="Arial" w:eastAsia="Arial" w:hAnsi="Arial"/>
          <w:sz w:val="22"/>
          <w:szCs w:val="22"/>
          <w:color w:val="auto"/>
        </w:rPr>
        <w:t>. This Agreement may be executed in two or more counterparts, each of which will be deemed an original, but all of which together shall constitute one and the same instrument.</w:t>
      </w:r>
    </w:p>
    <w:p>
      <w:pPr>
        <w:spacing w:after="0" w:line="201" w:lineRule="exact"/>
        <w:rPr>
          <w:rFonts w:ascii="Arial" w:cs="Arial" w:eastAsia="Arial" w:hAnsi="Arial"/>
          <w:sz w:val="22"/>
          <w:szCs w:val="22"/>
          <w:color w:val="auto"/>
        </w:rPr>
      </w:pPr>
    </w:p>
    <w:p>
      <w:pPr>
        <w:jc w:val="both"/>
        <w:ind w:firstLine="332"/>
        <w:spacing w:after="0" w:line="260" w:lineRule="auto"/>
        <w:tabs>
          <w:tab w:leader="none" w:pos="91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Governing Law; Jurisdiction</w:t>
      </w:r>
      <w:r>
        <w:rPr>
          <w:rFonts w:ascii="Arial" w:cs="Arial" w:eastAsia="Arial" w:hAnsi="Arial"/>
          <w:sz w:val="21"/>
          <w:szCs w:val="21"/>
          <w:color w:val="auto"/>
        </w:rPr>
        <w:t>. The validity, construction, interpretation and enforceability of this Agreement and the capacity of the parties shall be determined and governed by the laws of the State of North Carolina, without regard to the conflict of law rules contained therein. Any litigation under this Agreement shall be brought by either Party exclusively in Mecklenburg County, North Carolina. As such, the Parties irrevocably consent to the jurisdiction of the courts in Mecklenburg County, North Carolina (whether federal or state) for all disputes related to this Agreement and irrevocably consent to service via nationally recognized overnight carrier, without limiting other service methods allowed by applicable law. In addition, the Parties irrevocably waive any right to a trial by jury in any action related to this Agreement.</w:t>
      </w:r>
    </w:p>
    <w:p>
      <w:pPr>
        <w:spacing w:after="0" w:line="208" w:lineRule="exact"/>
        <w:rPr>
          <w:rFonts w:ascii="Arial" w:cs="Arial" w:eastAsia="Arial" w:hAnsi="Arial"/>
          <w:sz w:val="21"/>
          <w:szCs w:val="21"/>
          <w:color w:val="auto"/>
        </w:rPr>
      </w:pPr>
    </w:p>
    <w:p>
      <w:pPr>
        <w:ind w:firstLine="332"/>
        <w:spacing w:after="0" w:line="343" w:lineRule="auto"/>
        <w:tabs>
          <w:tab w:leader="none" w:pos="91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All payments made under this Agreement shall be subject to Employer's withholding of all required foreign, federal, state and local income and employment/payroll taxes, and all payments shall be net of such tax withholding.</w:t>
      </w:r>
    </w:p>
    <w:p>
      <w:pPr>
        <w:spacing w:after="0" w:line="131" w:lineRule="exact"/>
        <w:rPr>
          <w:rFonts w:ascii="Arial" w:cs="Arial" w:eastAsia="Arial" w:hAnsi="Arial"/>
          <w:sz w:val="19"/>
          <w:szCs w:val="19"/>
          <w:color w:val="auto"/>
        </w:rPr>
      </w:pPr>
    </w:p>
    <w:p>
      <w:pPr>
        <w:jc w:val="both"/>
        <w:ind w:firstLine="332"/>
        <w:spacing w:after="0" w:line="250" w:lineRule="auto"/>
        <w:tabs>
          <w:tab w:leader="none" w:pos="91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Notwithstanding anything to the contrary in this Agreement, any payments made or granted pursuant to this Agreement shall be subject to any recoupment or clawback policy that may be adopted by the Company from time to time and to any requirement of applicable law, regulation or listing standard that requires the company to recoup or clawback compensation paid.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8" w:right="2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written above.</w:t>
      </w:r>
    </w:p>
    <w:p>
      <w:pPr>
        <w:sectPr>
          <w:pgSz w:w="11900" w:h="16838" w:orient="portrait"/>
          <w:cols w:equalWidth="0" w:num="1">
            <w:col w:w="10680"/>
          </w:cols>
          <w:pgMar w:left="900" w:top="6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60"/>
        <w:spacing w:after="0"/>
        <w:rPr>
          <w:sz w:val="20"/>
          <w:szCs w:val="20"/>
          <w:color w:val="auto"/>
        </w:rPr>
      </w:pPr>
      <w:r>
        <w:rPr>
          <w:rFonts w:ascii="Arial" w:cs="Arial" w:eastAsia="Arial" w:hAnsi="Arial"/>
          <w:sz w:val="19"/>
          <w:szCs w:val="19"/>
          <w:u w:val="single" w:color="auto"/>
          <w:color w:val="auto"/>
        </w:rPr>
        <w:t>Employer</w:t>
      </w:r>
    </w:p>
    <w:p>
      <w:pPr>
        <w:spacing w:after="0" w:line="200" w:lineRule="exact"/>
        <w:rPr>
          <w:sz w:val="20"/>
          <w:szCs w:val="20"/>
          <w:color w:val="auto"/>
        </w:rPr>
      </w:pPr>
    </w:p>
    <w:p>
      <w:pPr>
        <w:spacing w:after="0" w:line="203"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22"/>
          <w:szCs w:val="22"/>
          <w:color w:val="auto"/>
        </w:rPr>
        <w:t>By:</w:t>
        <w:tab/>
        <w:t>/s/ E.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3307715</wp:posOffset>
            </wp:positionH>
            <wp:positionV relativeFrom="paragraph">
              <wp:posOffset>24765</wp:posOffset>
            </wp:positionV>
            <wp:extent cx="2907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E. Claudette Hampton</w:t>
      </w:r>
    </w:p>
    <w:p>
      <w:pPr>
        <w:spacing w:after="0" w:line="44"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Senior Vice President - Human Resources &amp;</w:t>
      </w:r>
    </w:p>
    <w:p>
      <w:pPr>
        <w:spacing w:after="0" w:line="4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Administration</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Tree.com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60"/>
        <w:spacing w:after="0"/>
        <w:rPr>
          <w:sz w:val="20"/>
          <w:szCs w:val="20"/>
          <w:color w:val="auto"/>
        </w:rPr>
      </w:pPr>
      <w:r>
        <w:rPr>
          <w:rFonts w:ascii="Arial" w:cs="Arial" w:eastAsia="Arial" w:hAnsi="Arial"/>
          <w:sz w:val="19"/>
          <w:szCs w:val="19"/>
          <w:u w:val="single" w:color="auto"/>
          <w:color w:val="auto"/>
        </w:rPr>
        <w:t>Executive</w:t>
      </w:r>
    </w:p>
    <w:p>
      <w:pPr>
        <w:spacing w:after="0" w:line="200" w:lineRule="exact"/>
        <w:rPr>
          <w:sz w:val="20"/>
          <w:szCs w:val="20"/>
          <w:color w:val="auto"/>
        </w:rPr>
      </w:pPr>
    </w:p>
    <w:p>
      <w:pPr>
        <w:spacing w:after="0" w:line="203" w:lineRule="exact"/>
        <w:rPr>
          <w:sz w:val="20"/>
          <w:szCs w:val="20"/>
          <w:color w:val="auto"/>
        </w:rPr>
      </w:pPr>
    </w:p>
    <w:p>
      <w:pPr>
        <w:ind w:left="4680"/>
        <w:spacing w:after="0"/>
        <w:tabs>
          <w:tab w:leader="none" w:pos="5220" w:val="left"/>
        </w:tabs>
        <w:rPr>
          <w:sz w:val="20"/>
          <w:szCs w:val="20"/>
          <w:color w:val="auto"/>
        </w:rPr>
      </w:pPr>
      <w:r>
        <w:rPr>
          <w:rFonts w:ascii="Arial" w:cs="Arial" w:eastAsia="Arial" w:hAnsi="Arial"/>
          <w:sz w:val="22"/>
          <w:szCs w:val="22"/>
          <w:color w:val="auto"/>
        </w:rPr>
        <w:t>By:</w:t>
        <w:tab/>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3307715</wp:posOffset>
            </wp:positionH>
            <wp:positionV relativeFrom="paragraph">
              <wp:posOffset>24765</wp:posOffset>
            </wp:positionV>
            <wp:extent cx="2907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Gabriel Dalporto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80"/>
          </w:cols>
          <w:pgMar w:left="900" w:top="618" w:right="31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Award Granted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2008 Stock and Annual Incentive Plan</w:t>
      </w: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to obtain other important information concerning this Award, such as a copy of the Tree.com 2008 Stock and Annual Incentive Plan as the same has been amended and restated from time to time up to the date of this Award (the "2008 Plan") and the Terms and Conditions for Restricted Stock Unit Awards (the "Terms and Conditions"). Additional copies of these documents are also available on the MyEquity page of the Company intranet or upon request from your Human Resources Department. You acknowledge that you have received copies of the Plan and the Plan's prospectus.</w:t>
      </w: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Award Recipient:</w:t>
      </w:r>
    </w:p>
    <w:p>
      <w:pPr>
        <w:spacing w:after="0" w:line="185" w:lineRule="exact"/>
        <w:rPr>
          <w:sz w:val="20"/>
          <w:szCs w:val="20"/>
          <w:color w:val="auto"/>
        </w:rPr>
      </w:pPr>
    </w:p>
    <w:p>
      <w:pPr>
        <w:ind w:left="520"/>
        <w:spacing w:after="0"/>
        <w:tabs>
          <w:tab w:leader="none" w:pos="3020" w:val="left"/>
        </w:tabs>
        <w:rPr>
          <w:sz w:val="20"/>
          <w:szCs w:val="20"/>
          <w:color w:val="auto"/>
        </w:rPr>
      </w:pPr>
      <w:r>
        <w:rPr>
          <w:rFonts w:ascii="Arial" w:cs="Arial" w:eastAsia="Arial" w:hAnsi="Arial"/>
          <w:sz w:val="18"/>
          <w:szCs w:val="18"/>
          <w:b w:val="1"/>
          <w:bCs w:val="1"/>
          <w:color w:val="auto"/>
        </w:rPr>
        <w:t>Restricted Stock Unit</w:t>
      </w:r>
      <w:r>
        <w:rPr>
          <w:sz w:val="20"/>
          <w:szCs w:val="20"/>
          <w:color w:val="auto"/>
        </w:rPr>
        <w:tab/>
      </w:r>
      <w:r>
        <w:rPr>
          <w:rFonts w:ascii="Arial" w:cs="Arial" w:eastAsia="Arial" w:hAnsi="Arial"/>
          <w:sz w:val="16"/>
          <w:szCs w:val="16"/>
          <w:color w:val="auto"/>
        </w:rPr>
        <w:t>Restricted stock units ("RSUs") granted under the 2008 Plan.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Award: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Unit Award: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Award Date:</w:t>
      </w:r>
    </w:p>
    <w:p>
      <w:pPr>
        <w:spacing w:after="0" w:line="185" w:lineRule="exact"/>
        <w:rPr>
          <w:sz w:val="20"/>
          <w:szCs w:val="20"/>
          <w:color w:val="auto"/>
        </w:rPr>
      </w:pPr>
    </w:p>
    <w:p>
      <w:pPr>
        <w:ind w:left="520"/>
        <w:spacing w:after="0"/>
        <w:tabs>
          <w:tab w:leader="none" w:pos="302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Subject to your continuous employment with Tree.com or its Subsidiaries or Affiliates, your RSUs shall,</w:t>
      </w:r>
    </w:p>
    <w:p>
      <w:pPr>
        <w:spacing w:after="0" w:line="27" w:lineRule="exact"/>
        <w:rPr>
          <w:sz w:val="20"/>
          <w:szCs w:val="20"/>
          <w:color w:val="auto"/>
        </w:rPr>
      </w:pPr>
    </w:p>
    <w:p>
      <w:pPr>
        <w:ind w:left="3040" w:right="640"/>
        <w:spacing w:after="0" w:line="255" w:lineRule="auto"/>
        <w:rPr>
          <w:sz w:val="20"/>
          <w:szCs w:val="20"/>
          <w:color w:val="auto"/>
        </w:rPr>
      </w:pPr>
      <w:r>
        <w:rPr>
          <w:rFonts w:ascii="Arial" w:cs="Arial" w:eastAsia="Arial" w:hAnsi="Arial"/>
          <w:sz w:val="18"/>
          <w:szCs w:val="18"/>
          <w:color w:val="auto"/>
        </w:rPr>
        <w:t>subject to the provisions of the 2008 Plan and the Terms and Conditions, vest and no longer be subject to any restriction as of the vesting dates and the achievement of any applicable performance goals, as set forth below:</w:t>
      </w:r>
    </w:p>
    <w:p>
      <w:pPr>
        <w:spacing w:after="0" w:line="362" w:lineRule="exact"/>
        <w:rPr>
          <w:sz w:val="20"/>
          <w:szCs w:val="20"/>
          <w:color w:val="auto"/>
        </w:rPr>
      </w:pPr>
    </w:p>
    <w:p>
      <w:pPr>
        <w:ind w:left="520"/>
        <w:spacing w:after="0"/>
        <w:tabs>
          <w:tab w:leader="none" w:pos="3020" w:val="left"/>
        </w:tabs>
        <w:rPr>
          <w:sz w:val="20"/>
          <w:szCs w:val="20"/>
          <w:color w:val="auto"/>
        </w:rPr>
      </w:pPr>
      <w:r>
        <w:rPr>
          <w:rFonts w:ascii="Arial" w:cs="Arial" w:eastAsia="Arial" w:hAnsi="Arial"/>
          <w:sz w:val="18"/>
          <w:szCs w:val="18"/>
          <w:b w:val="1"/>
          <w:bCs w:val="1"/>
          <w:color w:val="auto"/>
        </w:rPr>
        <w:t>Impact of a Termination of</w:t>
      </w:r>
      <w:r>
        <w:rPr>
          <w:sz w:val="20"/>
          <w:szCs w:val="20"/>
          <w:color w:val="auto"/>
        </w:rPr>
        <w:tab/>
      </w:r>
      <w:r>
        <w:rPr>
          <w:rFonts w:ascii="Arial" w:cs="Arial" w:eastAsia="Arial" w:hAnsi="Arial"/>
          <w:sz w:val="16"/>
          <w:szCs w:val="16"/>
          <w:color w:val="auto"/>
        </w:rPr>
        <w:t>Except as otherwise provided in the 2008 Plan or in the Terms and Conditions, or any Individual Agreement,</w:t>
      </w:r>
    </w:p>
    <w:p>
      <w:pPr>
        <w:spacing w:after="0" w:line="27" w:lineRule="exact"/>
        <w:rPr>
          <w:sz w:val="20"/>
          <w:szCs w:val="20"/>
          <w:color w:val="auto"/>
        </w:rPr>
      </w:pPr>
    </w:p>
    <w:p>
      <w:pPr>
        <w:ind w:left="520"/>
        <w:spacing w:after="0"/>
        <w:tabs>
          <w:tab w:leader="none" w:pos="3020" w:val="left"/>
        </w:tabs>
        <w:rPr>
          <w:sz w:val="20"/>
          <w:szCs w:val="20"/>
          <w:color w:val="auto"/>
        </w:rPr>
      </w:pPr>
      <w:r>
        <w:rPr>
          <w:rFonts w:ascii="Arial" w:cs="Arial" w:eastAsia="Arial" w:hAnsi="Arial"/>
          <w:sz w:val="18"/>
          <w:szCs w:val="18"/>
          <w:b w:val="1"/>
          <w:bCs w:val="1"/>
          <w:color w:val="auto"/>
        </w:rPr>
        <w:t>Employment:</w:t>
      </w:r>
      <w:r>
        <w:rPr>
          <w:sz w:val="20"/>
          <w:szCs w:val="20"/>
          <w:color w:val="auto"/>
        </w:rPr>
        <w:tab/>
      </w:r>
      <w:r>
        <w:rPr>
          <w:rFonts w:ascii="Arial" w:cs="Arial" w:eastAsia="Arial" w:hAnsi="Arial"/>
          <w:sz w:val="18"/>
          <w:szCs w:val="18"/>
          <w:color w:val="auto"/>
        </w:rPr>
        <w:t>all of your unvested RSUs will be forfeited and canceled without consideration in their entirety upon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Termination of Employment.</w:t>
      </w:r>
    </w:p>
    <w:p>
      <w:pPr>
        <w:spacing w:after="0" w:line="166" w:lineRule="exact"/>
        <w:rPr>
          <w:sz w:val="20"/>
          <w:szCs w:val="20"/>
          <w:color w:val="auto"/>
        </w:rPr>
      </w:pPr>
    </w:p>
    <w:p>
      <w:pPr>
        <w:ind w:left="520"/>
        <w:spacing w:after="0"/>
        <w:tabs>
          <w:tab w:leader="none" w:pos="3020" w:val="left"/>
        </w:tabs>
        <w:rPr>
          <w:sz w:val="20"/>
          <w:szCs w:val="20"/>
          <w:color w:val="auto"/>
        </w:rPr>
      </w:pPr>
      <w:r>
        <w:rPr>
          <w:rFonts w:ascii="Arial" w:cs="Arial" w:eastAsia="Arial" w:hAnsi="Arial"/>
          <w:sz w:val="18"/>
          <w:szCs w:val="18"/>
          <w:b w:val="1"/>
          <w:bCs w:val="1"/>
          <w:color w:val="auto"/>
        </w:rPr>
        <w:t>Terms and Conditions:</w:t>
      </w:r>
      <w:r>
        <w:rPr>
          <w:sz w:val="20"/>
          <w:szCs w:val="20"/>
          <w:color w:val="auto"/>
        </w:rPr>
        <w:tab/>
      </w:r>
      <w:r>
        <w:rPr>
          <w:rFonts w:ascii="Arial" w:cs="Arial" w:eastAsia="Arial" w:hAnsi="Arial"/>
          <w:sz w:val="16"/>
          <w:szCs w:val="16"/>
          <w:color w:val="auto"/>
        </w:rPr>
        <w:t>Capitalized terms used (but not defined) in this Award Notice shall have the meanings set forth in the 2008</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Your RSUs are subject to the Terms and Conditions and to the 2008 Plan. We strongly encourage you to</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review the Terms and Conditions and the 2008 Plan. These documents will help provide you with a full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understanding of your RSU award.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for Restricted Stock Unit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Terms and Conditions apply to the restricted stock units (the "Award") awarded to you by Tree.com, Inc. ("Tree.com" or the "Company") pursuant to Section 7 of the Tree.com 2008 Stock and Annual Incentive Plan as the same has been amended and restated from time to time up to the date of this Award (the "2008 Plan"). You were notified of your Award by way of an award notice (the "Award Notice"). All capitalized terms used herein, to the extent not defined, shall have the meaning as set forth in the 2008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order for RSUs to vest, you must be continuously employed by Tree.com or any of its Subsidiaries or Affiliates during the Restriction Period (as defined below) or as otherwise provided in the Vesting section below. Nothing in your Award Notice, these Terms and Conditions, or the 2008 Plan shall confer upon you any right to continue in the employ or service of Tree.com or any of its Subsidiaries or Affiliates or interfere in any way with their rights to terminate your employment or service at any time and for any or no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Subject to the Award Notice, these Terms and Conditions and the 2008 Plan, the RSUs in respect to your Award, shall vest and no longer be subject to satisfaction of any restriction on the dates and subject to any applicable performance conditions (such period during which restrictions apply is the "Restriction Period")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6" w:right="239" w:bottom="1440" w:gutter="0" w:footer="0" w:header="0"/>
          <w:type w:val="continuous"/>
        </w:sectPr>
      </w:pPr>
    </w:p>
    <w:bookmarkStart w:id="62" w:name="page63"/>
    <w:bookmarkEnd w:id="62"/>
    <w:p>
      <w:pPr>
        <w:ind w:right="140"/>
        <w:spacing w:after="0" w:line="277" w:lineRule="auto"/>
        <w:rPr>
          <w:sz w:val="20"/>
          <w:szCs w:val="20"/>
          <w:color w:val="auto"/>
        </w:rPr>
      </w:pPr>
      <w:r>
        <w:rPr>
          <w:rFonts w:ascii="Arial" w:cs="Arial" w:eastAsia="Arial" w:hAnsi="Arial"/>
          <w:sz w:val="18"/>
          <w:szCs w:val="18"/>
          <w:color w:val="auto"/>
        </w:rPr>
        <w:t>The vesting of your Award is conditioned upon your continuous employment with Tree.com or its Subsidiaries or Affiliates through each respective vesting date.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Notwithstanding the foregoing, 100% of your then-outstanding and unvested portion of your Award shall vest upon the occurrence of a Change in Control which occurs during your employment with Tree. Com (or any Subsidiary or Affiliate). The term "Change in Control" is defined in the 2008 Plan, and includes certain events affecting Tree.com (not events only affecting specific businesses of Tree.com).</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Notwithstanding the foregoing, in the event you experience a Termination of Employment due to your death or Disability, then 100% of your then-outstanding and unvested portion of your Award shall vest upon such Termination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 any other specific vesting events approved by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the Termination of your Employment with Tree.com or any of its Subsidiaries or Affiliates during the Restriction Period for any reason, any unvested portion of this RSU Award shall be forfeited and canceled in its entirety without consideration effective immediately upon such Termination of Employment.</w:t>
      </w:r>
    </w:p>
    <w:p>
      <w:pPr>
        <w:spacing w:after="0" w:line="12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For the avoidance of doubt, transfers of employment among the Company and its Subsidiaries and Affiliates, without any break in service, is not a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your satisfaction of the tax obligations described immediately below under "Taxes and Withholding," as soon as practicable after any RSUs in respect of your Award have vested and are no longer subject to the Restriction Period (but in no event later than two and one-half months after the end of the fiscal year in which the RSUs vest), such RSUs shall be settled. For each RSU settled, Tree.com shall issue one Share (or cash equivalent) for each RSU that has vested. Notwithstanding the foregoing, Tree.com shall be entitled to hold the Shares or cash issuable to you upon settlement of all RSUs that have vested until Tree.com or the agent selected by Tree.com to administer the 2008 Plan (the "Agent") has received from you (i) a duly executed Form W-9 or W-8 and (ii) payment for any federal, state, local or foreign taxes of any kind required by law to be withheld with respect to such RSUs.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and Withholding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 later than the date as of which an amount in respect of any RSUs first becomes includable in your gross income for federal, state, local or foreign income or employment or other tax purposes, Tree.com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Tree.com's withholding obligation on the date of settlement. If the event that any such deduction and/or withholding is prohibited by law, you shall, prior to or contemporaneously with the settlement of your RSUs, be required to pay to Tree.com, or make arrangements satisfactory to Tree.com regarding the payment of, any federal, state, local or foreign taxes of any kind required by law to be withheld with respect to such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RSUs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Until such time as your RSUs are ultimately settled, they shall not be transferable by you by means of sale, assignment, exchange, encumbrance, pledge, hedge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Except as otherwise specifically provided in the 2008 Plan, unless and until your RSUs are settled with Shares, you shall not be entitled to any rights of a stockholder with respect to the RSUs (including the right to vote the underlying Shares or receive dividends). Notwithstanding the foregoing, if Tree.com declares and pays dividends on the Common 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68" w:right="299" w:bottom="1440" w:gutter="0" w:footer="0" w:header="0"/>
        </w:sectPr>
      </w:pPr>
    </w:p>
    <w:bookmarkStart w:id="63" w:name="page64"/>
    <w:bookmarkEnd w:id="63"/>
    <w:p>
      <w:pPr>
        <w:ind w:right="680"/>
        <w:spacing w:after="0" w:line="342" w:lineRule="auto"/>
        <w:rPr>
          <w:sz w:val="20"/>
          <w:szCs w:val="20"/>
          <w:color w:val="auto"/>
        </w:rPr>
      </w:pPr>
      <w:r>
        <w:rPr>
          <w:rFonts w:ascii="Arial" w:cs="Arial" w:eastAsia="Arial" w:hAnsi="Arial"/>
          <w:sz w:val="16"/>
          <w:szCs w:val="16"/>
          <w:color w:val="auto"/>
        </w:rPr>
        <w:t>reinvested in RSUs or may be held in kind as restricted property) and shall vest concurrently with the vesting of the RSUs upon which such dividend equivalent amounts were paid (and shall be settled at the same time as the underlying RSUs and also subject to satisfaction of tax withholding).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Tree.com's intranet or given to you directly or indirectly through the Agent (including information posted on https://www.benefitaccess.com) and Tree.com's books and records, or (ii) ambiguity in the Award Notice (or any information posted on Tree.com's intranet or given to you directly or indirectly through the Agent (including information posted on https://www.benefitaccess.com), Tree.com's books and records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Tree.com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acceptance of your RSUs constitutes your authorization of the release from time to time to Tree.com or any of its Subsidiaries or Affiliates and to the Agent (together, the "Relevant Companies") of any and all personal or professional data that is necessary or desirable for the administration of your RSUs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RSUs and/or the 2008 Plan and/or to implement or structure any further grants of equity awards (if any)). The acceptance of your RSUs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229"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 xml:space="preserve">Your Award is not intended to constitute "nonqualified deferred compensation" within the meaning of Section 409A of the Code and related rules and regulations ("Section 409A"). In no event shall Tree.com be required </w:t>
      </w:r>
      <w:r>
        <w:rPr>
          <w:rFonts w:ascii="Arial" w:cs="Arial" w:eastAsia="Arial" w:hAnsi="Arial"/>
          <w:sz w:val="16"/>
          <w:szCs w:val="16"/>
          <w:b w:val="1"/>
          <w:bCs w:val="1"/>
          <w:color w:val="auto"/>
        </w:rPr>
        <w:t>t</w:t>
      </w:r>
      <w:r>
        <w:rPr>
          <w:rFonts w:ascii="Arial" w:cs="Arial" w:eastAsia="Arial" w:hAnsi="Arial"/>
          <w:sz w:val="16"/>
          <w:szCs w:val="16"/>
          <w:color w:val="auto"/>
        </w:rPr>
        <w:t>o pay you any "gross-up" or other payment with respect to any taxes or penalties imposed under Section 409A (or Code Section 280G or 4999) with respect to any amounts or benefits paid to you in respect of your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Any changes to these Terms and Conditions shall either be posted on Tree.com's intranet or communicated (either directly by Tree.com or indirectly through any of its Subsidiaries, Affiliates or the Agent) to you electronically via e-mail (or otherwise in writing) after such change becomes effective.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to obtain other important information concerning this Award, such as a copy of the Tree.com 2008 Stock and Annual Incentive Plan as the same has been amended and restated from time to time up to the date of this Award and the Terms and Conditions for Restricted Stock Awards. Additional copies of these documents are also available on the MyEquity page of the Company intranet or upon request from your Human Resources Department.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Restricted Stock Award Agreement (the "Agreement") is made between Tree.com, Inc., a Delaware corporation ("Tree.com"), and [NAME]. The Grant Date for the Restricted Shares awarded under this Agreement is [DATE].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Tree.com sponsors the Tree.com 2008 Stock and Annual Incentive Plan as the same has been amended and restated from time to time up to the date of this Award (the "2008 Plan"). This Agreement represents an award of Shares of Restricted Stock under the 2008 Plan. All capitalized terms used herein, to the extent not defined, shall have the same meaning as set forth in the 2008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Shares of Restricted Stock covered by this Agreement are being awarded subject to the following terms and provisions:</w:t>
      </w:r>
    </w:p>
    <w:p>
      <w:pPr>
        <w:spacing w:after="0" w:line="225" w:lineRule="exact"/>
        <w:rPr>
          <w:sz w:val="20"/>
          <w:szCs w:val="20"/>
          <w:color w:val="auto"/>
        </w:rPr>
      </w:pPr>
    </w:p>
    <w:p>
      <w:pPr>
        <w:ind w:left="660" w:right="2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the terms and conditions of the 2008 Plan and this Agreement, Tree.com awards to you [NUMBER] Shares of Restricted Stock (the "Restricted Shares").</w:t>
      </w:r>
    </w:p>
    <w:p>
      <w:pPr>
        <w:spacing w:after="0" w:line="17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order for all or any portion of the Restricted Shares to vest, you must be continuously employed by Tree.com (or any of its Subsidiaries or Affiliates) to the vesting date on which the applicable performance conditions are met, as described in Section 3. The actual number of Restricted Shares that vest will be determined based on the extent to which the performance conditions described in Section 3 are met. Nothing in this Agreement or the 2008 Plan shall confer upon you any right to continue in the employ or service of Tree.com (or any of its Subsidiaries or Affiliates) or interfere in any way with their rights to terminate your employment or service at any time, [subject to the terms of [EMPLOYMENT AGREEMENT]].</w:t>
      </w:r>
    </w:p>
    <w:p>
      <w:pPr>
        <w:spacing w:after="0" w:line="19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will earn and become vested in the Restricted Shares in accordance with the conditions of this Section 3. Until they become vested, the Restricted Shares shall be subject to cancellation and forfeiture in accordance with Section 5 below. Until vested, you may not sell, transfer, pledge, assign or otherwise alienate or hypothecate the Restricted Shares (such period during which restrictions apply is the "Restriction Period"). Subject to the Performance Goals set forth below, the Restricted Shares shall vest as follows: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Tree.com's EBITDA is $[XXX] or more for the [YEAR] fiscal year, [XXX] Restricted Shares will become vested on [DATE] if you have been in continuous employment or service with Tree.com (or any of its Subsidiaries or Affiliates) to that date.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Tree.com's EBITDA is $[XXX] or more for the [YEAR] fiscal year, [XXX] Restricted Shares will become vested on [DATE] if you have been in continuous employment or service with Tree.com (or any of its Subsidiaries or Affiliates) to that date.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Tree.com's EBITDA is $[XXX] or more for the [YEAR] fiscal year, [XXX] Restricted Shares will become vested on [DATE] if you have been in continuous employment or service with Tree.com (or any of its Subsidiaries or Affiliates) to that date.</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Tree.com's EBITDA is less than $[XXX] for either the [YEAR] or the [YEAR] fiscal year, but Tree.com's cumulative EBITDA is $[XXX] or more that fiscal year and the immediately following fiscal year (the "Second Fiscal Year"), [XXX] Restricted Shares will become vested on the [MONTH, DAY] immediately following the Second Fiscal Year if you have been in continuous employment or service with Tree.com (or any of its Subsidiaries or Affiliates) to that date.</w:t>
      </w:r>
    </w:p>
    <w:p>
      <w:pPr>
        <w:spacing w:after="0" w:line="18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Tree.com's EBITDA did not equal or exceed $[XXX] for either the [YEAR] or the [YEAR] fiscal year, but its cumulative EBITDA for the [YEAR] through [YEAR] fiscal year period was $[XXX] or more, all [NUMBER] Restricted Shares will become vested on [DATE] if you have been in continuous employment or service with Tree.com (or any of its Subsidiaries or Affiliates) to that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6" w:right="239" w:bottom="1440" w:gutter="0" w:footer="0" w:header="0"/>
        </w:sectPr>
      </w:pPr>
    </w:p>
    <w:bookmarkStart w:id="65" w:name="page66"/>
    <w:bookmarkEnd w:id="65"/>
    <w:p>
      <w:pPr>
        <w:jc w:val="both"/>
        <w:ind w:left="660"/>
        <w:spacing w:after="0" w:line="221" w:lineRule="exact"/>
        <w:rPr>
          <w:sz w:val="20"/>
          <w:szCs w:val="20"/>
          <w:color w:val="auto"/>
        </w:rPr>
      </w:pPr>
      <w:r>
        <w:rPr>
          <w:rFonts w:ascii="Arial" w:cs="Arial" w:eastAsia="Arial" w:hAnsi="Arial"/>
          <w:sz w:val="18"/>
          <w:szCs w:val="18"/>
          <w:color w:val="auto"/>
        </w:rPr>
        <w:t>Notwithstanding the foregoing, in the event of a Change in Control while you are still employed by Tree.com (or any of its Subsidiaries or Affiliates), [XXX]% of the then</w:t>
      </w:r>
      <w:r>
        <w:rPr>
          <w:rFonts w:ascii="MS PGothic" w:cs="MS PGothic" w:eastAsia="MS PGothic" w:hAnsi="MS PGothic"/>
          <w:sz w:val="18"/>
          <w:szCs w:val="18"/>
          <w:color w:val="auto"/>
        </w:rPr>
        <w:t>‑</w:t>
      </w:r>
      <w:r>
        <w:rPr>
          <w:rFonts w:ascii="Arial" w:cs="Arial" w:eastAsia="Arial" w:hAnsi="Arial"/>
          <w:sz w:val="18"/>
          <w:szCs w:val="18"/>
          <w:color w:val="auto"/>
        </w:rPr>
        <w:t>outstanding unvested Restricted Shares subject to this Award shall vest upon the occurrence of such Change in Control.</w:t>
      </w:r>
    </w:p>
    <w:p>
      <w:pPr>
        <w:spacing w:after="0" w:line="202" w:lineRule="exact"/>
        <w:rPr>
          <w:sz w:val="20"/>
          <w:szCs w:val="20"/>
          <w:color w:val="auto"/>
        </w:rPr>
      </w:pPr>
    </w:p>
    <w:p>
      <w:pPr>
        <w:jc w:val="both"/>
        <w:ind w:left="660"/>
        <w:spacing w:after="0" w:line="223" w:lineRule="exact"/>
        <w:rPr>
          <w:sz w:val="20"/>
          <w:szCs w:val="20"/>
          <w:color w:val="auto"/>
        </w:rPr>
      </w:pPr>
      <w:r>
        <w:rPr>
          <w:rFonts w:ascii="Arial" w:cs="Arial" w:eastAsia="Arial" w:hAnsi="Arial"/>
          <w:sz w:val="18"/>
          <w:szCs w:val="18"/>
          <w:color w:val="auto"/>
        </w:rPr>
        <w:t>Notwithstanding the foregoing, in the event you experience a Termination of Employment due to your death or Disability, then all of the then</w:t>
      </w:r>
      <w:r>
        <w:rPr>
          <w:rFonts w:ascii="MS PGothic" w:cs="MS PGothic" w:eastAsia="MS PGothic" w:hAnsi="MS PGothic"/>
          <w:sz w:val="18"/>
          <w:szCs w:val="18"/>
          <w:color w:val="auto"/>
        </w:rPr>
        <w:t>‑</w:t>
      </w:r>
      <w:r>
        <w:rPr>
          <w:rFonts w:ascii="Arial" w:cs="Arial" w:eastAsia="Arial" w:hAnsi="Arial"/>
          <w:sz w:val="18"/>
          <w:szCs w:val="18"/>
          <w:color w:val="auto"/>
        </w:rPr>
        <w:t>outstanding unvested Restricted Shares subject to this Award shall vest upon such Termination of Employment.</w:t>
      </w:r>
    </w:p>
    <w:p>
      <w:pPr>
        <w:spacing w:after="0" w:line="20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Any cash dividends declared on the Shares shall be held subject to the vesting of the underlying Restricted Shares in accordance with this Section (and shall be paid only if and when such vesting conditions are satisfied), and subject to any adjustment pursuant to Section 3(d) of the 2008 Plan, dividends payable in Shares shall be paid in the form of Restricted Shares and shall be similarly held subject to the vesting of the underlying Restricted Shares in accordance with this Section.</w:t>
      </w:r>
    </w:p>
    <w:p>
      <w:pPr>
        <w:spacing w:after="0" w:line="187" w:lineRule="exact"/>
        <w:rPr>
          <w:sz w:val="20"/>
          <w:szCs w:val="20"/>
          <w:color w:val="auto"/>
        </w:rPr>
      </w:pPr>
    </w:p>
    <w:p>
      <w:pPr>
        <w:jc w:val="both"/>
        <w:ind w:left="660" w:hanging="652"/>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agree that you shall comply with (or provide adequate assurance as to future compliance with) all applicable securities laws and income tax laws as determined by Tree.com with respect to your receipt of the Restricted Shares. In addition, you agree that, upon request, you will furnish a letter agreement providing that (a) you will not distribute or resell any of said shares in violation of the Securities Act of 1933, as amended, (b) you will indemnify and hold Tree.com harmless against all liability for any such violation and (c) you will accept all liability for any such violation. You expressly acknowledge and agree to be bound by Section 14(o) of the 2008 Plan, which contains provisions addressing the Company's policy on recoupment of equity or other compensation.</w:t>
      </w:r>
    </w:p>
    <w:p>
      <w:pPr>
        <w:spacing w:after="0" w:line="193" w:lineRule="exact"/>
        <w:rPr>
          <w:rFonts w:ascii="Arial" w:cs="Arial" w:eastAsia="Arial" w:hAnsi="Arial"/>
          <w:sz w:val="18"/>
          <w:szCs w:val="18"/>
          <w:color w:val="auto"/>
        </w:rPr>
      </w:pPr>
    </w:p>
    <w:p>
      <w:pPr>
        <w:jc w:val="both"/>
        <w:ind w:left="660"/>
        <w:spacing w:after="0" w:line="289" w:lineRule="auto"/>
        <w:rPr>
          <w:rFonts w:ascii="Arial" w:cs="Arial" w:eastAsia="Arial" w:hAnsi="Arial"/>
          <w:sz w:val="18"/>
          <w:szCs w:val="18"/>
          <w:color w:val="auto"/>
        </w:rPr>
      </w:pPr>
      <w:r>
        <w:rPr>
          <w:rFonts w:ascii="Arial" w:cs="Arial" w:eastAsia="Arial" w:hAnsi="Arial"/>
          <w:sz w:val="16"/>
          <w:szCs w:val="16"/>
          <w:color w:val="auto"/>
        </w:rPr>
        <w:t>You represent and warrant that you understand the federal, state and local income tax consequences of the granting of Restricted Shares. Under Section 83 of the Code, the Fair Market Value of the Restricted Shares on the date any forfeiture restrictions applicable to such Restricted Shares lapse will be reportable as ordinary income at that time. You may voluntarily elect to be taxed at the time the Restricted Shares are acquired to the extent that the Fair Market Value of the Restricted Shares exceeds the amount of consideration paid by you (if any) for such Restricted Shares at that time rather than when such Restricted Shares cease to be subject to such forfeiture restrictions, by filing an election under Section 83(b) of the Code with the Internal Revenue Service within thirty (30) days after the Grant Date. YOU ACKNOWLEDGE THAT IT IS YOUR SOLE RESPONSIBILITY, AND NOT TREE.COM'S, TO FILE A TIMELY ELECTION UNDER CODE SECTION 83(b), EVEN IF YOU REQUEST TREE.COM OR ITS REPRESENTATIVES TO MAKE THIS FILING ON YOUR BEHALF. MOREOVER, YOU ARE RELYING SOLELY ON YOUR OWN ADVISORS WITH RESPECT TO THE DECISION AS TO WHETHER OR NOT TO FILE A CODE SECTION 83(b) ELECTION.</w:t>
      </w:r>
    </w:p>
    <w:p>
      <w:pPr>
        <w:spacing w:after="0" w:line="166" w:lineRule="exact"/>
        <w:rPr>
          <w:rFonts w:ascii="Arial" w:cs="Arial" w:eastAsia="Arial" w:hAnsi="Arial"/>
          <w:sz w:val="18"/>
          <w:szCs w:val="18"/>
          <w:color w:val="auto"/>
        </w:rPr>
      </w:pPr>
    </w:p>
    <w:p>
      <w:pPr>
        <w:jc w:val="both"/>
        <w:ind w:left="660" w:hanging="652"/>
        <w:spacing w:after="0" w:line="217" w:lineRule="exact"/>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You acknowledge and agree that upon your ceasing to be employed by Tree.com or any of its Subsidiaries or Affiliates during the Restriction Period all then outstanding unvested Restricted Shares subject to this Award will be canceled and forfeited without consideration and returned to Tree.com upon your Termination of Employment. For the avoidance of doubt, transfers of employment among Tree.com and its Subsidiaries and Affiliates, without any break in service, is not a Termination of Employment. In order to facilitate the transfer to Tree.com of any Shares pursuant to the terms hereof and as a condition of this Award, you shall timely execute the enclosed stock power (Assignment Separate from Certificate). The stock power may be used by Tree.com to transfer any unvested Shares to Tree.com in accordance with this Section. You further hereby irrevocably appoint (which appointment is coupled with an interest) Tree.com as your agent and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to take any necessary or appropriate action to cause Shares to be returned to Tree.com in accordance with this Section, including without limitation executing and delivering stock powers and instruments of transfer, making endorsements and/or making, initiating or issuing instructions or entitlement orders, all in your name and on your behalf. Without limiting the foregoing, you expressly acknowledge and agree that any transfer agent for the Shares is fully authorized and protected in relying on, and shall incur no liability in acting on, any documents, instruments, endorsements, instructions, orders or communications from Tree.com in connection with the Shares or the transfer thereof, and that any such transfer agent is a third party beneficiary of this Agreement.</w:t>
      </w:r>
    </w:p>
    <w:p>
      <w:pPr>
        <w:spacing w:after="0" w:line="205"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event of any conflict between this Agreement and the 2008 Plan, the 2008 Plan shall control; provided, that an action or provision that is permissive under the terms of the 2008 Plan, and required under this Agreement, shall not be deemed a conflict and this Agreement shall control. In the event of any ambiguity in this Agreement, or any matters as to which this Agreement are silent, the 2008 Plan shall govern.</w:t>
      </w:r>
    </w:p>
    <w:p>
      <w:pPr>
        <w:spacing w:after="0" w:line="165"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Tree.com may modify, amend or waive the terms of your Restricted Shares, prospectively or retroactively, but no such modification, amendment or waiver shall materially impair your rights without your consent, except as required by applicable law, NASDAQ or stock exchange rules, tax rules or accounting rules.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6" w:name="page67"/>
    <w:bookmarkEnd w:id="66"/>
    <w:p>
      <w:pPr>
        <w:jc w:val="both"/>
        <w:ind w:left="660" w:hanging="652"/>
        <w:spacing w:after="0" w:line="29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Your acceptance of the Restricted Shares constitutes your authorization of the release from time to time to Tree.com or any of its Subsidiaries or Affiliates and to the Agent (together, the "Relevant Companies") of any and all personal or professional data that is necessary or desirable for the administration of your Restricted Shares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the Restricted Shares and/or the 2008 Plan and/or to implement or structure any further grants of equity awards (if any)). The acceptance of the Restricted Shares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66" w:lineRule="exact"/>
        <w:rPr>
          <w:rFonts w:ascii="Arial" w:cs="Arial" w:eastAsia="Arial" w:hAnsi="Arial"/>
          <w:sz w:val="16"/>
          <w:szCs w:val="16"/>
          <w:color w:val="auto"/>
        </w:rPr>
      </w:pPr>
    </w:p>
    <w:p>
      <w:pPr>
        <w:jc w:val="both"/>
        <w:ind w:left="660" w:hanging="652"/>
        <w:spacing w:after="0" w:line="220" w:lineRule="exact"/>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 Award is not intended to constitute "nonqualified deferred compensation" within the meaning of Section 409A of the Code and the rules and regulations issued thereunder ("Section 409A"). In no event shall Tree.com be required to pay you any "gross</w:t>
      </w:r>
      <w:r>
        <w:rPr>
          <w:rFonts w:ascii="MS PGothic" w:cs="MS PGothic" w:eastAsia="MS PGothic" w:hAnsi="MS PGothic"/>
          <w:sz w:val="18"/>
          <w:szCs w:val="18"/>
          <w:color w:val="auto"/>
        </w:rPr>
        <w:t>‑</w:t>
      </w:r>
      <w:r>
        <w:rPr>
          <w:rFonts w:ascii="Arial" w:cs="Arial" w:eastAsia="Arial" w:hAnsi="Arial"/>
          <w:sz w:val="18"/>
          <w:szCs w:val="18"/>
          <w:color w:val="auto"/>
        </w:rPr>
        <w:t>up" or other payment with respect to any taxes or penalties imposed under Section 409A or Code Sections 280G or 4999 with respect to any amounts or benefits paid to you in respect of your Award.</w:t>
      </w:r>
    </w:p>
    <w:p>
      <w:pPr>
        <w:spacing w:after="0" w:line="204"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any provision of this Agreement shall be held illegal or invalid for any reason, the illegality or invalidity shall not affect the remaining parts of the Agreement, and the Agreement shall be construed and enforced as if the illegal or invalid provision had not been included. This Agreement and the 2008 Plan, constitutes the final understanding between you and Tree.com regarding the Restricted Shares. Any prior agreements, commitments or negotiations concerning the Restricted Shares are superseded.</w:t>
      </w:r>
    </w:p>
    <w:p>
      <w:pPr>
        <w:spacing w:after="0" w:line="186"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certificate(s) for the Restricted Shares may, in the discretion of Tree.com, be deposited in escrow with the Secretary of Tree.com (or his/her designee) to be held until vesting. No stock certificates evidencing Shares free from a restrictive legend shall be delivered to you until you have paid to Tree.com the amount that must be withheld with respect to those Shares under federal, state and local income and employment tax laws (the "Applicable Withholding Taxes") or you and Tree.com have made arrangements that are agreed to in writing by Tree.com for the payment of such taxes. Unless you inform Tree.com in writing before the applicable date of vesting that you will timely pay the Applicable Withholding Taxes amount then due with cash, Tree.com shall automatically retain that number of Shares (valued at their Fair Market Value as of the applicable date of vesting of the Restricted Shares) that would satisfy the Applicable Withholding Taxes.</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WITNESS WHEREOF, Tree.com has caused this Agreement to be executed by its duly authorized officer, and you have hereunto set your hand, all effective as of the Grant Date listed above. By signing below, you are also acknowledging receipt of copies of the 2008 Plan and the 2008 Plan's prospectus.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TREE.COM, INC.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31750</wp:posOffset>
            </wp:positionV>
            <wp:extent cx="2701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461010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31750</wp:posOffset>
            </wp:positionV>
            <wp:extent cx="2701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7" w:name="page68"/>
    <w:bookmarkEnd w:id="67"/>
    <w:p>
      <w:pPr>
        <w:jc w:val="center"/>
        <w:ind w:right="-1200"/>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Power)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does hereby assign and transfer unto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Social Security 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Identification Number: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shares of the Stock of</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represented by Certificate No(s).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herewith, standing in the name of the undersigned, and does hereby appoint</w:t>
      </w:r>
    </w:p>
    <w:p>
      <w:pPr>
        <w:spacing w:after="0" w:line="225" w:lineRule="exact"/>
        <w:rPr>
          <w:sz w:val="20"/>
          <w:szCs w:val="20"/>
          <w:color w:val="auto"/>
        </w:rPr>
      </w:pPr>
    </w:p>
    <w:p>
      <w:pPr>
        <w:jc w:val="right"/>
        <w:ind w:right="1339"/>
        <w:spacing w:after="0"/>
        <w:rPr>
          <w:sz w:val="20"/>
          <w:szCs w:val="20"/>
          <w:color w:val="auto"/>
        </w:rPr>
      </w:pPr>
      <w:r>
        <w:rPr>
          <w:rFonts w:ascii="Arial" w:cs="Arial" w:eastAsia="Arial" w:hAnsi="Arial"/>
          <w:sz w:val="18"/>
          <w:szCs w:val="18"/>
          <w:color w:val="auto"/>
        </w:rPr>
        <w:t>attorney, with full power of substitution, to transfer said shares on the books of said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31750</wp:posOffset>
            </wp:positionV>
            <wp:extent cx="5411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64"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[YEAR] Stock Option Award Granted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2008 Stock and Annual Incentive Plan</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to obtain other important information concerning this Award, such as a copy of the Tree.com 2008 Stock and Annual Incentive Plan as the same has been amended and restated from time to time up to the date of this Award (the "2008 Plan") and the Terms and Conditions for Restricted Stock Unit Awards (the "Terms and Conditions"). Additional copies of these documents are also available on the MyEquity page of the Company intranet or upon request from your Human Resources Department. You acknowledge that you have received copies of the 2008 Plan and the 2008 Plan's prospectus.</w:t>
      </w: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Award Recipient:</w:t>
            </w: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2"/>
        </w:trPr>
        <w:tc>
          <w:tcPr>
            <w:tcW w:w="2460" w:type="dxa"/>
            <w:vAlign w:val="bottom"/>
          </w:tcPr>
          <w:p>
            <w:pPr>
              <w:spacing w:after="0"/>
              <w:rPr>
                <w:sz w:val="20"/>
                <w:szCs w:val="20"/>
                <w:color w:val="auto"/>
              </w:rPr>
            </w:pPr>
            <w:r>
              <w:rPr>
                <w:rFonts w:ascii="Arial" w:cs="Arial" w:eastAsia="Arial" w:hAnsi="Arial"/>
                <w:sz w:val="18"/>
                <w:szCs w:val="18"/>
                <w:b w:val="1"/>
                <w:bCs w:val="1"/>
                <w:color w:val="auto"/>
                <w:w w:val="99"/>
              </w:rPr>
              <w:t>[YEAR] Stock Option Award:</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Under the 2008 Plan:</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5"/>
              </w:rPr>
              <w:t>You have been awarded a nonqualified option to acquire xxx Shares of Tree.com common stock at an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"Exercise Price" of $xxx per Share ("Stock Option");</w:t>
            </w:r>
          </w:p>
        </w:tc>
      </w:tr>
      <w:tr>
        <w:trPr>
          <w:trHeight w:val="392"/>
        </w:trPr>
        <w:tc>
          <w:tcPr>
            <w:tcW w:w="2460" w:type="dxa"/>
            <w:vAlign w:val="bottom"/>
          </w:tcPr>
          <w:p>
            <w:pPr>
              <w:spacing w:after="0"/>
              <w:rPr>
                <w:sz w:val="20"/>
                <w:szCs w:val="20"/>
                <w:color w:val="auto"/>
              </w:rPr>
            </w:pPr>
            <w:r>
              <w:rPr>
                <w:rFonts w:ascii="Arial" w:cs="Arial" w:eastAsia="Arial" w:hAnsi="Arial"/>
                <w:sz w:val="18"/>
                <w:szCs w:val="18"/>
                <w:b w:val="1"/>
                <w:bCs w:val="1"/>
                <w:color w:val="auto"/>
              </w:rPr>
              <w:t>Award Date:</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_______________, 201___</w:t>
            </w:r>
          </w:p>
        </w:tc>
        <w:tc>
          <w:tcPr>
            <w:tcW w:w="5280" w:type="dxa"/>
            <w:vAlign w:val="bottom"/>
          </w:tcPr>
          <w:p>
            <w:pPr>
              <w:spacing w:after="0"/>
              <w:rPr>
                <w:sz w:val="24"/>
                <w:szCs w:val="24"/>
                <w:color w:val="auto"/>
              </w:rPr>
            </w:pPr>
          </w:p>
        </w:tc>
      </w:tr>
      <w:tr>
        <w:trPr>
          <w:trHeight w:val="377"/>
        </w:trPr>
        <w:tc>
          <w:tcPr>
            <w:tcW w:w="246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Subject to your continued employment with Tree.com or its Subsidiaries or Affiliates, your Stock Option</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shall, subject to the provisions of the 2008 Plan, vest and no longer be subject to any vesting</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restriction </w:t>
            </w:r>
            <w:r>
              <w:rPr>
                <w:rFonts w:ascii="Arial" w:cs="Arial" w:eastAsia="Arial" w:hAnsi="Arial"/>
                <w:sz w:val="18"/>
                <w:szCs w:val="18"/>
                <w:b w:val="1"/>
                <w:bCs w:val="1"/>
                <w:i w:val="1"/>
                <w:iCs w:val="1"/>
                <w:color w:val="auto"/>
                <w:w w:val="91"/>
              </w:rPr>
              <w:t>in three equal annual installments (rounded to nearest whole number) on each of the first</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b w:val="1"/>
                <w:bCs w:val="1"/>
                <w:i w:val="1"/>
                <w:iCs w:val="1"/>
                <w:color w:val="auto"/>
              </w:rPr>
              <w:t>three anniversaries of your Award Date, beginning [DATE].</w:t>
            </w:r>
          </w:p>
        </w:tc>
      </w:tr>
      <w:tr>
        <w:trPr>
          <w:trHeight w:val="377"/>
        </w:trPr>
        <w:tc>
          <w:tcPr>
            <w:tcW w:w="246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5"/>
              </w:rPr>
              <w:t>Once vested, your Stock Option will expire upon the earlier of (i) the expiration of the 12-month period</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following your Termination of Employment for any reason other than death, Disability or Retirement, (ii)</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the expiration of the one-year period following your Termination of Employment due to death, Disability or</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Retirement or (iii) 10 years from your Award Date (the "Expiration Date"), except as otherwise provided in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the 2008 Plan or the attached Terms and Conditions.</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If you do not exercise your vested Stock Option before the Expiration Date, your unexercised Stock Option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will be forfeited and canceled in its entirety.</w:t>
            </w:r>
          </w:p>
        </w:tc>
      </w:tr>
      <w:tr>
        <w:trPr>
          <w:trHeight w:val="373"/>
        </w:trPr>
        <w:tc>
          <w:tcPr>
            <w:tcW w:w="2460" w:type="dxa"/>
            <w:vAlign w:val="bottom"/>
          </w:tcPr>
          <w:p>
            <w:pPr>
              <w:spacing w:after="0"/>
              <w:rPr>
                <w:sz w:val="20"/>
                <w:szCs w:val="20"/>
                <w:color w:val="auto"/>
              </w:rPr>
            </w:pPr>
            <w:r>
              <w:rPr>
                <w:rFonts w:ascii="Arial" w:cs="Arial" w:eastAsia="Arial" w:hAnsi="Arial"/>
                <w:sz w:val="18"/>
                <w:szCs w:val="18"/>
                <w:b w:val="1"/>
                <w:bCs w:val="1"/>
                <w:color w:val="auto"/>
              </w:rPr>
              <w:t>Impact of a Termination of</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9"/>
              </w:rPr>
              <w:t>Except as otherwise provided in the 2008 Plan, and any employment agreement between you and</w:t>
            </w:r>
          </w:p>
        </w:tc>
      </w:tr>
      <w:tr>
        <w:trPr>
          <w:trHeight w:val="220"/>
        </w:trPr>
        <w:tc>
          <w:tcPr>
            <w:tcW w:w="2460" w:type="dxa"/>
            <w:vAlign w:val="bottom"/>
          </w:tcPr>
          <w:p>
            <w:pPr>
              <w:spacing w:after="0"/>
              <w:rPr>
                <w:sz w:val="20"/>
                <w:szCs w:val="20"/>
                <w:color w:val="auto"/>
              </w:rPr>
            </w:pPr>
            <w:r>
              <w:rPr>
                <w:rFonts w:ascii="Arial" w:cs="Arial" w:eastAsia="Arial" w:hAnsi="Arial"/>
                <w:sz w:val="18"/>
                <w:szCs w:val="18"/>
                <w:b w:val="1"/>
                <w:bCs w:val="1"/>
                <w:color w:val="auto"/>
              </w:rPr>
              <w:t>Employment: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Tree.com, the unvested portion of this Stock Option will be forfeited without consideration and canceled in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its entirety upon your Termination of Employment.</w:t>
            </w:r>
          </w:p>
        </w:tc>
      </w:tr>
      <w:tr>
        <w:trPr>
          <w:trHeight w:val="377"/>
        </w:trPr>
        <w:tc>
          <w:tcPr>
            <w:tcW w:w="2460" w:type="dxa"/>
            <w:vAlign w:val="bottom"/>
          </w:tcPr>
          <w:p>
            <w:pPr>
              <w:spacing w:after="0"/>
              <w:rPr>
                <w:sz w:val="20"/>
                <w:szCs w:val="20"/>
                <w:color w:val="auto"/>
              </w:rPr>
            </w:pPr>
            <w:r>
              <w:rPr>
                <w:rFonts w:ascii="Arial" w:cs="Arial" w:eastAsia="Arial" w:hAnsi="Arial"/>
                <w:sz w:val="18"/>
                <w:szCs w:val="18"/>
                <w:b w:val="1"/>
                <w:bCs w:val="1"/>
                <w:color w:val="auto"/>
              </w:rPr>
              <w:t>Terms and Conditions:</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Capitalized terms used (but not defined) in this Award Notice shall have the meanings set forth in the 2008</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Plan.</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Your Stock Option is subject to the Terms and Conditions attached hereto and to the 2008 Plan, which are</w:t>
            </w:r>
          </w:p>
        </w:tc>
      </w:tr>
      <w:tr>
        <w:trPr>
          <w:trHeight w:val="190"/>
        </w:trPr>
        <w:tc>
          <w:tcPr>
            <w:tcW w:w="2460" w:type="dxa"/>
            <w:vAlign w:val="bottom"/>
          </w:tcPr>
          <w:p>
            <w:pPr>
              <w:spacing w:after="0"/>
              <w:rPr>
                <w:sz w:val="16"/>
                <w:szCs w:val="16"/>
                <w:color w:val="auto"/>
              </w:rPr>
            </w:pPr>
          </w:p>
        </w:tc>
        <w:tc>
          <w:tcPr>
            <w:tcW w:w="7900" w:type="dxa"/>
            <w:vAlign w:val="bottom"/>
            <w:gridSpan w:val="3"/>
          </w:tcPr>
          <w:p>
            <w:pPr>
              <w:ind w:left="140"/>
              <w:spacing w:after="0" w:line="190" w:lineRule="exact"/>
              <w:rPr>
                <w:sz w:val="20"/>
                <w:szCs w:val="20"/>
                <w:color w:val="auto"/>
              </w:rPr>
            </w:pPr>
            <w:r>
              <w:rPr>
                <w:rFonts w:ascii="Arial" w:cs="Arial" w:eastAsia="Arial" w:hAnsi="Arial"/>
                <w:sz w:val="18"/>
                <w:szCs w:val="18"/>
                <w:color w:val="auto"/>
                <w:w w:val="91"/>
              </w:rPr>
              <w:t xml:space="preserve">posted on </w:t>
            </w:r>
            <w:r>
              <w:rPr>
                <w:rFonts w:ascii="Arial" w:cs="Arial" w:eastAsia="Arial" w:hAnsi="Arial"/>
                <w:sz w:val="18"/>
                <w:szCs w:val="18"/>
                <w:color w:val="0000FF"/>
                <w:w w:val="91"/>
              </w:rPr>
              <w:t>www.benefitaccess.com</w:t>
            </w:r>
            <w:r>
              <w:rPr>
                <w:rFonts w:ascii="Arial" w:cs="Arial" w:eastAsia="Arial" w:hAnsi="Arial"/>
                <w:sz w:val="18"/>
                <w:szCs w:val="18"/>
                <w:color w:val="auto"/>
                <w:w w:val="91"/>
              </w:rPr>
              <w:t xml:space="preserve"> and incorporated herein by reference, and any employment agreement</w:t>
            </w:r>
          </w:p>
        </w:tc>
      </w:tr>
      <w:tr>
        <w:trPr>
          <w:trHeight w:val="20"/>
        </w:trPr>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22"/>
        </w:trPr>
        <w:tc>
          <w:tcPr>
            <w:tcW w:w="2460" w:type="dxa"/>
            <w:vAlign w:val="bottom"/>
          </w:tcPr>
          <w:p>
            <w:pPr>
              <w:spacing w:after="0"/>
              <w:rPr>
                <w:sz w:val="19"/>
                <w:szCs w:val="19"/>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between you and Tree.com. Copies of these documents are also available upon request from your Human</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3"/>
              </w:rPr>
              <w:t>Resources Department. In the event of a conflict between the Terms and Conditions and this Notice, this</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Notice shall control.</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Without a complete review of these documents, you will not have a full understanding of all the material</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terms of your Stock Option.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6"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Terms and Conditions for Stock Option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These Terms and Conditions apply to the stock option (the "Award") awarded to you by Tree.com, Inc. ("Tree.com" or the "Company") pursuant to Section 5 of the Tree.com 2008 Stock and Annual Incentive Plan as the same has been amended and restated from time to time (the "2008 Plan"). You were notified of your Award by way of an award notice (the "Award Notice"). All capitalized terms used herein, to the extent not defined, shall have the meaning as set forth in the 2008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order for the Award to vest, you must be continuously employed by Tree.com or any of its Subsidiaries or Affiliates during the Restriction Period (as defined below) or as otherwise provided in the Vesting section below. Nothing in your Award Notice, these Terms and Conditions, or the 2008 Plan shall confer upon you any right to continue in the employ or service of Tree.com or any of its Subsidiaries or Affiliates or interfere in any way with their rights to terminate your employment or service at any time and for any or no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Subject to the Award Notice, these Terms and Conditions and the 2008 Plan, the Award shall vest and no longer be subject to satisfaction of any restriction on the dates and subject to any applicable performance conditions (such period during which restrictions apply is the "Restriction Period") as set forth in the Vesting Schedule section of the Award Notice.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Notwithstanding the foregoing, 100% of your then-outstanding and unvested portion of your Award shall vest upon the occurrence of a Change in Control which occurs during your employment with Tree. Com (or any Subsidiary or Affiliate). The term "Change in Control" is defined in the 2008 Plan, and includes certain events affecting Tree.com (not events only affecting specific businesses of Tree.com).</w:t>
      </w:r>
    </w:p>
    <w:p>
      <w:pPr>
        <w:spacing w:after="0" w:line="18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Notwithstanding the foregoing, in the event you experience a Termination of Employment due to your death or Disability, then 100% of your then-outstanding and unvested portion of your Award shall vest upon such Termination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 any other specific vesting events approved by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Upon your Termination of Employment with Tree.com or any of its Subsidiaries or Affiliates during the Restriction Period for any reason, any unvested portion of this Award shall be forfeited and canceled in its entirety without consideration effective immediately upon such Termination of Employment. The then vested portion of this Stock Option may remain exercisable after your Termination Employment to the extent permitted under Plan section 5(i).</w:t>
      </w:r>
    </w:p>
    <w:p>
      <w:pPr>
        <w:spacing w:after="0" w:line="14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avoidance of doubt, transfers of employment among the Company and its Subsidiaries and Affiliates, without any break in service, is not a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you wish to exercise this Award, you must notify the Company by filing a "Notice of Exercise" in the form prescribed by Tree.com at the address given on the form. Your notice must specify how many Shares you wish to purchase and is subject to the minimum purchase limitation set forth in Plan section 5(g). The notice can only become effective after it is received and approved by the Company. If someone else wants to exercise this Stock Option after your death, that person must prove to the Company's satisfaction that he or she is entitled to do so.</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Plan sections 5(g)(i), 5(g)(ii), or 5(g)(iii).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and Withholding</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later than the date as of which an amount in respect of any part of this Award first becomes includable in your gross income for federal, state, local or foreign income or employment or other tax purposes, Tree.com or its Subsidiaries and/or Affiliates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70" w:name="page71"/>
    <w:bookmarkEnd w:id="70"/>
    <w:p>
      <w:pPr>
        <w:ind w:right="60"/>
        <w:spacing w:after="0" w:line="254" w:lineRule="auto"/>
        <w:rPr>
          <w:sz w:val="20"/>
          <w:szCs w:val="20"/>
          <w:color w:val="auto"/>
        </w:rPr>
      </w:pPr>
      <w:r>
        <w:rPr>
          <w:rFonts w:ascii="Arial" w:cs="Arial" w:eastAsia="Arial" w:hAnsi="Arial"/>
          <w:sz w:val="18"/>
          <w:szCs w:val="18"/>
          <w:color w:val="auto"/>
        </w:rPr>
        <w:t>shall, unless prohibited by law, have the right to deduct any federal, state, local or foreign taxes of any kind required by law to be withheld with respect to such amount due to you, including deducting such amount from the delivery of Shares or cash issued upon settlement of the Award that gives rise to the withholding requirement. In the event Shares are deducted to cover tax withholdings, the number of Shares withheld shall generally have a Fair Market Value equal to the aggregate amount of Tree.com's withholding obligation on the date of exercise of the Stock Option. If the event that any such deduction and/or withholding is prohibited by law, you shall, prior to or contemporaneously with the settlement of your Award, be required to pay to Tree.com, or make arrangements satisfactory to Tree.com regarding the payment of, any federal, state, local or foreign taxes of any kind required by law to be withheld with respect to such amount. To the extent approved by the Committee, you may satisfy the applicable tax withholding amounts as permitted under Plan section 14(d).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Award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Your Award shall not be transferable by you by means of sale, assignment, exchange, encumbrance, pledge, hedge or otherwise except as may be permitted under Plan section 5(j).</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your Award is exercised and settled with Shares, you shall not be entitled to any rights of a stockholder with respect to the Award (including the right to vote the underlying Shares or receive dividends). Moreover, if Tree.com declares and pays dividends on the Common Stock during the Restriction Period, this Award will not be credited with any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Tree.com's intranet or given to you directly or indirectly through the Agent (including information posted on https://www.benefitaccess.com) and Tree.com's books and records, or (ii) ambiguity in the Award Notice (or any information posted on Tree.com's intranet or given to you directly or indirectly through the Agent (including information posted on https://www.benefitaccess.com), Tree.com's books and records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Tree.com may modify, amend or waive the terms of your Awards, prospectively or retroactively, but no such modification, amendment or waiver shall materially impair your rights without your consent, except as required by applicable law, NASDAQ or stock exchange rules, tax rules or accounting rules.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acceptance of your Award constitutes your authorization of the release from time to time to Tree.com or any of its Subsidiaries or Affiliates and to the Agent (together, the "Relevant Companies") of any and all personal or professional data that is necessary or desirable for the administration of your Award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Award and/or the 2008 Plan and/or to implement or structure any further grants of equity awards (if any)). The acceptance of your Award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 xml:space="preserve">Your Award is not intended to constitute "nonqualified deferred compensation" within the meaning of Section 409A of the Code and related rules and regulations ("Section 409A"). In no event shall Tree.com be required </w:t>
      </w:r>
      <w:r>
        <w:rPr>
          <w:rFonts w:ascii="Arial" w:cs="Arial" w:eastAsia="Arial" w:hAnsi="Arial"/>
          <w:sz w:val="16"/>
          <w:szCs w:val="16"/>
          <w:b w:val="1"/>
          <w:bCs w:val="1"/>
          <w:color w:val="auto"/>
        </w:rPr>
        <w:t>t</w:t>
      </w:r>
      <w:r>
        <w:rPr>
          <w:rFonts w:ascii="Arial" w:cs="Arial" w:eastAsia="Arial" w:hAnsi="Arial"/>
          <w:sz w:val="16"/>
          <w:szCs w:val="16"/>
          <w:color w:val="auto"/>
        </w:rPr>
        <w:t>o pay you any "gross-up" or other payment with respect to any taxes or penalties imposed under Section 409A (or Code Section 280G or 4999) with respect to any amounts or benefits paid to you in respect of your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changes to these Terms and Conditions shall either be posted on Tree.com's intranet or communicated (either directly by Tree.com or indirectly through any of its Subsidiaries, Affiliates or the Agent) to you electronically via e-mail (or otherwise in writing) after such change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364" w:right="3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2014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17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2014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10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Quarterly Report on Form 10-Q for the fiscal quarter ended March 31, 2014 of Tree.com, Inc. (the “Report”) which this statement accompanies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340" w:hanging="332"/>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Tree.com,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16" w:lineRule="exact"/>
        <w:rPr>
          <w:sz w:val="20"/>
          <w:szCs w:val="20"/>
          <w:color w:val="auto"/>
        </w:rPr>
      </w:pPr>
    </w:p>
    <w:p>
      <w:pPr>
        <w:ind w:left="340" w:right="10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Quarterly Report on Form 10-Q for the fiscal quarter ended March 31, 2014 of Tree.com, Inc. (the “Report”) which this statement accompanies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Tree.com,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1)"/>
      <w:numFmt w:val="lowerLetter"/>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5"/>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decimal"/>
      <w:start w:val="4"/>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2"/>
    </w:lvl>
    <w:lvl w:ilvl="1">
      <w:lvlJc w:val="left"/>
      <w:lvlText w:val="(%2)"/>
      <w:numFmt w:val="lowerLetter"/>
      <w:start w:val="9"/>
    </w:lvl>
  </w:abstractNum>
  <w:abstractNum w:abstractNumId="15">
    <w:nsid w:val="419AC241"/>
    <w:multiLevelType w:val="hybridMultilevel"/>
    <w:lvl w:ilvl="0">
      <w:lvlJc w:val="left"/>
      <w:lvlText w:val="(%1)"/>
      <w:numFmt w:val="lowerRoman"/>
      <w:start w:val="2"/>
    </w:lvl>
  </w:abstractNum>
  <w:abstractNum w:abstractNumId="16">
    <w:nsid w:val="5577F8E1"/>
    <w:multiLevelType w:val="hybridMultilevel"/>
    <w:lvl w:ilvl="0">
      <w:lvlJc w:val="left"/>
      <w:lvlText w:val="%1."/>
      <w:numFmt w:val="decimal"/>
      <w:start w:val="1"/>
    </w:lvl>
    <w:lvl w:ilvl="1">
      <w:lvlJc w:val="left"/>
      <w:lvlText w:val="(%2)"/>
      <w:numFmt w:val="lowerLetter"/>
      <w:start w:val="1"/>
    </w:lvl>
  </w:abstractNum>
  <w:abstractNum w:abstractNumId="17">
    <w:nsid w:val="440BADFC"/>
    <w:multiLevelType w:val="hybridMultilevel"/>
    <w:lvl w:ilvl="0">
      <w:lvlJc w:val="left"/>
      <w:lvlText w:val="%1"/>
      <w:numFmt w:val="decimal"/>
      <w:start w:val="1"/>
    </w:lvl>
    <w:lvl w:ilvl="1">
      <w:lvlJc w:val="left"/>
      <w:lvlText w:val="(%2)"/>
      <w:numFmt w:val="lowerLetter"/>
      <w:start w:val="9"/>
    </w:lvl>
  </w:abstractNum>
  <w:abstractNum w:abstractNumId="18">
    <w:nsid w:val="5072367"/>
    <w:multiLevelType w:val="hybridMultilevel"/>
    <w:lvl w:ilvl="0">
      <w:lvlJc w:val="left"/>
      <w:lvlText w:val="(%1)"/>
      <w:numFmt w:val="lowerLetter"/>
      <w:start w:val="4"/>
    </w:lvl>
  </w:abstractNum>
  <w:abstractNum w:abstractNumId="19">
    <w:nsid w:val="3804823E"/>
    <w:multiLevelType w:val="hybridMultilevel"/>
    <w:lvl w:ilvl="0">
      <w:lvlJc w:val="left"/>
      <w:lvlText w:val="(%1)"/>
      <w:numFmt w:val="upperLetter"/>
      <w:start w:val="1"/>
    </w:lvl>
    <w:lvl w:ilvl="1">
      <w:lvlJc w:val="left"/>
      <w:lvlText w:val="(%2)"/>
      <w:numFmt w:val="lowerRoman"/>
      <w:start w:val="1"/>
    </w:lvl>
  </w:abstractNum>
  <w:abstractNum w:abstractNumId="20">
    <w:nsid w:val="77465F01"/>
    <w:multiLevelType w:val="hybridMultilevel"/>
    <w:lvl w:ilvl="0">
      <w:lvlJc w:val="left"/>
      <w:lvlText w:val="(%1)"/>
      <w:numFmt w:val="upperLetter"/>
      <w:start w:val="2"/>
    </w:lvl>
  </w:abstractNum>
  <w:abstractNum w:abstractNumId="21">
    <w:nsid w:val="7724C67E"/>
    <w:multiLevelType w:val="hybridMultilevel"/>
    <w:lvl w:ilvl="0">
      <w:lvlJc w:val="left"/>
      <w:lvlText w:val="%1"/>
      <w:numFmt w:val="decimal"/>
      <w:start w:val="1"/>
    </w:lvl>
    <w:lvl w:ilvl="1">
      <w:lvlJc w:val="left"/>
      <w:lvlText w:val="(%2)"/>
      <w:numFmt w:val="lowerLetter"/>
      <w:start w:val="5"/>
    </w:lvl>
  </w:abstractNum>
  <w:abstractNum w:abstractNumId="22">
    <w:nsid w:val="5C482A97"/>
    <w:multiLevelType w:val="hybridMultilevel"/>
    <w:lvl w:ilvl="0">
      <w:lvlJc w:val="left"/>
      <w:lvlText w:val="%1."/>
      <w:numFmt w:val="decimal"/>
      <w:start w:val="2"/>
    </w:lvl>
    <w:lvl w:ilvl="1">
      <w:lvlJc w:val="left"/>
      <w:lvlText w:val="(%2)"/>
      <w:numFmt w:val="lowerLetter"/>
      <w:start w:val="1"/>
    </w:lvl>
  </w:abstractNum>
  <w:abstractNum w:abstractNumId="23">
    <w:nsid w:val="2463B9EA"/>
    <w:multiLevelType w:val="hybridMultilevel"/>
    <w:lvl w:ilvl="0">
      <w:lvlJc w:val="left"/>
      <w:lvlText w:val="(%1)"/>
      <w:numFmt w:val="lowerLetter"/>
      <w:start w:val="3"/>
    </w:lvl>
  </w:abstractNum>
  <w:abstractNum w:abstractNumId="24">
    <w:nsid w:val="5E884ADC"/>
    <w:multiLevelType w:val="hybridMultilevel"/>
    <w:lvl w:ilvl="0">
      <w:lvlJc w:val="left"/>
      <w:lvlText w:val="(%1)"/>
      <w:numFmt w:val="lowerLetter"/>
      <w:start w:val="6"/>
    </w:lvl>
  </w:abstractNum>
  <w:abstractNum w:abstractNumId="25">
    <w:nsid w:val="51EAD36B"/>
    <w:multiLevelType w:val="hybridMultilevel"/>
    <w:lvl w:ilvl="0">
      <w:lvlJc w:val="left"/>
      <w:lvlText w:val="%1"/>
      <w:numFmt w:val="decimal"/>
      <w:start w:val="1"/>
    </w:lvl>
    <w:lvl w:ilvl="1">
      <w:lvlJc w:val="left"/>
      <w:lvlText w:val="(%2)"/>
      <w:numFmt w:val="lowerLetter"/>
      <w:start w:val="8"/>
    </w:lvl>
  </w:abstractNum>
  <w:abstractNum w:abstractNumId="26">
    <w:nsid w:val="2D517796"/>
    <w:multiLevelType w:val="hybridMultilevel"/>
    <w:lvl w:ilvl="0">
      <w:lvlJc w:val="left"/>
      <w:lvlText w:val="%1."/>
      <w:numFmt w:val="decimal"/>
      <w:start w:val="3"/>
    </w:lvl>
    <w:lvl w:ilvl="1">
      <w:lvlJc w:val="left"/>
      <w:lvlText w:val="%2"/>
      <w:numFmt w:val="lowerLetter"/>
      <w:start w:val="1"/>
    </w:lvl>
  </w:abstractNum>
  <w:abstractNum w:abstractNumId="27">
    <w:nsid w:val="580BD78F"/>
    <w:multiLevelType w:val="hybridMultilevel"/>
    <w:lvl w:ilvl="0">
      <w:lvlJc w:val="left"/>
      <w:lvlText w:val="%1"/>
      <w:numFmt w:val="decimal"/>
      <w:start w:val="1"/>
    </w:lvl>
    <w:lvl w:ilvl="1">
      <w:lvlJc w:val="left"/>
      <w:lvlText w:val="%2."/>
      <w:numFmt w:val="decimal"/>
      <w:start w:val="6"/>
    </w:lvl>
  </w:abstractNum>
  <w:abstractNum w:abstractNumId="28">
    <w:nsid w:val="153EA438"/>
    <w:multiLevelType w:val="hybridMultilevel"/>
    <w:lvl w:ilvl="0">
      <w:lvlJc w:val="left"/>
      <w:lvlText w:val="%1."/>
      <w:numFmt w:val="decimal"/>
      <w:start w:val="7"/>
    </w:lvl>
    <w:lvl w:ilvl="1">
      <w:lvlJc w:val="left"/>
      <w:lvlText w:val="%2"/>
      <w:numFmt w:val="decimal"/>
      <w:start w:val="1"/>
    </w:lvl>
  </w:abstractNum>
  <w:abstractNum w:abstractNumId="29">
    <w:nsid w:val="3855585C"/>
    <w:multiLevelType w:val="hybridMultilevel"/>
    <w:lvl w:ilvl="0">
      <w:lvlJc w:val="left"/>
      <w:lvlText w:val="%1."/>
      <w:numFmt w:val="decimal"/>
      <w:start w:val="1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lvl w:ilvl="1">
      <w:lvlJc w:val="left"/>
      <w:lvlText w:val="%2."/>
      <w:numFmt w:val="lowerLetter"/>
      <w:start w:val="1"/>
    </w:lvl>
  </w:abstractNum>
  <w:abstractNum w:abstractNumId="32">
    <w:nsid w:val="2A487CB0"/>
    <w:multiLevelType w:val="hybridMultilevel"/>
    <w:lvl w:ilvl="0">
      <w:lvlJc w:val="left"/>
      <w:lvlText w:val="%1."/>
      <w:numFmt w:val="decimal"/>
      <w:start w:val="3"/>
    </w:lvl>
    <w:lvl w:ilvl="1">
      <w:lvlJc w:val="left"/>
      <w:lvlText w:val="(%2)"/>
      <w:numFmt w:val="lowerLetter"/>
      <w:start w:val="1"/>
    </w:lvl>
  </w:abstractNum>
  <w:abstractNum w:abstractNumId="33">
    <w:nsid w:val="1D4ED43B"/>
    <w:multiLevelType w:val="hybridMultilevel"/>
    <w:lvl w:ilvl="0">
      <w:lvlJc w:val="left"/>
      <w:lvlText w:val="%1."/>
      <w:numFmt w:val="decimal"/>
      <w:start w:val="4"/>
    </w:lvl>
    <w:lvl w:ilvl="1">
      <w:lvlJc w:val="left"/>
      <w:lvlText w:val="(%2)"/>
      <w:numFmt w:val="lowerLetter"/>
      <w:start w:val="1"/>
    </w:lvl>
  </w:abstractNum>
  <w:abstractNum w:abstractNumId="34">
    <w:nsid w:val="725A06F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
    <w:nsid w:val="2CD89A3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6">
    <w:nsid w:val="57E4CCAF"/>
    <w:multiLevelType w:val="hybridMultilevel"/>
    <w:lvl w:ilvl="0">
      <w:lvlJc w:val="left"/>
      <w:lvlText w:val="(%1)"/>
      <w:numFmt w:val="lowerRoman"/>
      <w:start w:val="2"/>
    </w:lvl>
  </w:abstractNum>
  <w:abstractNum w:abstractNumId="37">
    <w:nsid w:val="7A6D8D3C"/>
    <w:multiLevelType w:val="hybridMultilevel"/>
    <w:lvl w:ilvl="0">
      <w:lvlJc w:val="left"/>
      <w:lvlText w:val="%1."/>
      <w:numFmt w:val="decimal"/>
      <w:start w:val="6"/>
    </w:lvl>
  </w:abstractNum>
  <w:abstractNum w:abstractNumId="38">
    <w:nsid w:val="4B588F54"/>
    <w:multiLevelType w:val="hybridMultilevel"/>
    <w:lvl w:ilvl="0">
      <w:lvlJc w:val="left"/>
      <w:lvlText w:val="%1."/>
      <w:numFmt w:val="decimal"/>
      <w:start w:val="8"/>
    </w:lvl>
    <w:lvl w:ilvl="1">
      <w:lvlJc w:val="left"/>
      <w:lvlText w:val="%2."/>
      <w:numFmt w:val="lowerLetter"/>
      <w:start w:val="1"/>
    </w:lvl>
  </w:abstractNum>
  <w:abstractNum w:abstractNumId="39">
    <w:nsid w:val="542289EC"/>
    <w:multiLevelType w:val="hybridMultilevel"/>
    <w:lvl w:ilvl="0">
      <w:lvlJc w:val="left"/>
      <w:lvlText w:val="%1"/>
      <w:numFmt w:val="decimal"/>
      <w:start w:val="1"/>
    </w:lvl>
    <w:lvl w:ilvl="1">
      <w:lvlJc w:val="left"/>
      <w:lvlText w:val="%2."/>
      <w:numFmt w:val="lowerLetter"/>
      <w:start w:val="3"/>
    </w:lvl>
  </w:abstractNum>
  <w:abstractNum w:abstractNumId="40">
    <w:nsid w:val="6DE91B18"/>
    <w:multiLevelType w:val="hybridMultilevel"/>
    <w:lvl w:ilvl="0">
      <w:lvlJc w:val="left"/>
      <w:lvlText w:val="%1."/>
      <w:numFmt w:val="decimal"/>
      <w:start w:val="10"/>
    </w:lvl>
    <w:lvl w:ilvl="1">
      <w:lvlJc w:val="left"/>
      <w:lvlText w:val="%2"/>
      <w:numFmt w:val="lowerLetter"/>
      <w:start w:val="1"/>
    </w:lvl>
  </w:abstractNum>
  <w:abstractNum w:abstractNumId="41">
    <w:nsid w:val="38437FDB"/>
    <w:multiLevelType w:val="hybridMultilevel"/>
    <w:lvl w:ilvl="0">
      <w:lvlJc w:val="left"/>
      <w:lvlText w:val="%1."/>
      <w:numFmt w:val="decimal"/>
      <w:start w:val="11"/>
    </w:lvl>
  </w:abstractNum>
  <w:abstractNum w:abstractNumId="42">
    <w:nsid w:val="7644A45C"/>
    <w:multiLevelType w:val="hybridMultilevel"/>
    <w:lvl w:ilvl="0">
      <w:lvlJc w:val="left"/>
      <w:lvlText w:val="%1."/>
      <w:numFmt w:val="decimal"/>
      <w:start w:val="14"/>
    </w:lvl>
  </w:abstractNum>
  <w:abstractNum w:abstractNumId="43">
    <w:nsid w:val="32FFF902"/>
    <w:multiLevelType w:val="hybridMultilevel"/>
    <w:lvl w:ilvl="0">
      <w:lvlJc w:val="left"/>
      <w:lvlText w:val="%1."/>
      <w:numFmt w:val="decimal"/>
      <w:start w:val="15"/>
    </w:lvl>
  </w:abstractNum>
  <w:abstractNum w:abstractNumId="44">
    <w:nsid w:val="684A481A"/>
    <w:multiLevelType w:val="hybridMultilevel"/>
    <w:lvl w:ilvl="0">
      <w:lvlJc w:val="left"/>
      <w:lvlText w:val="%1."/>
      <w:numFmt w:val="decimal"/>
      <w:start w:val="17"/>
    </w:lvl>
  </w:abstractNum>
  <w:abstractNum w:abstractNumId="45">
    <w:nsid w:val="579478FE"/>
    <w:multiLevelType w:val="hybridMultilevel"/>
    <w:lvl w:ilvl="0">
      <w:lvlJc w:val="left"/>
      <w:lvlText w:val="%1."/>
      <w:numFmt w:val="decimal"/>
      <w:start w:val="18"/>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4"/>
    </w:lvl>
  </w:abstractNum>
  <w:abstractNum w:abstractNumId="48">
    <w:nsid w:val="1BA026FA"/>
    <w:multiLevelType w:val="hybridMultilevel"/>
    <w:lvl w:ilvl="0">
      <w:lvlJc w:val="left"/>
      <w:lvlText w:val="%1."/>
      <w:numFmt w:val="decimal"/>
      <w:start w:val="8"/>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2019-12-07T18:25:50Z</dcterms:created>
  <dcterms:modified xsi:type="dcterms:W3CDTF">2019-12-07T18:25:50Z</dcterms:modified>
</cp:coreProperties>
</file>