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10-K/A</w:t>
      </w:r>
    </w:p>
    <w:p>
      <w:pPr>
        <w:spacing w:after="0" w:line="4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980" w:right="1260" w:hanging="588"/>
        <w:spacing w:after="0" w:line="256" w:lineRule="auto"/>
        <w:tabs>
          <w:tab w:leader="none" w:pos="1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5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980" w:right="2180" w:hanging="547"/>
        <w:spacing w:after="0" w:line="256" w:lineRule="auto"/>
        <w:tabs>
          <w:tab w:leader="none" w:pos="19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40"/>
          </w:cols>
          <w:pgMar w:left="240" w:top="685" w:right="519" w:bottom="0" w:gutter="0" w:footer="0" w:header="0"/>
        </w:sectPr>
      </w:pPr>
    </w:p>
    <w:p>
      <w:pPr>
        <w:spacing w:after="0" w:line="20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26-2414818</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700" w:space="720"/>
            <w:col w:w="3720"/>
          </w:cols>
          <w:pgMar w:left="240" w:top="685" w:right="519" w:bottom="0" w:gutter="0" w:footer="0" w:header="0"/>
          <w:type w:val="continuous"/>
        </w:sectPr>
      </w:pPr>
    </w:p>
    <w:p>
      <w:pPr>
        <w:spacing w:after="0" w:line="63"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11115 Rushmore Drive, Charlotte, North Carolina 28277</w:t>
      </w:r>
    </w:p>
    <w:p>
      <w:pPr>
        <w:spacing w:after="0" w:line="44"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(Address of Registrant's principal executive offices)</w:t>
      </w:r>
    </w:p>
    <w:p>
      <w:pPr>
        <w:spacing w:after="0" w:line="24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140"/>
          </w:cols>
          <w:pgMar w:left="240" w:top="685" w:right="519" w:bottom="0" w:gutter="0" w:footer="0" w:header="0"/>
          <w:type w:val="continuous"/>
        </w:sectPr>
      </w:pPr>
    </w:p>
    <w:p>
      <w:pPr>
        <w:spacing w:after="0" w:line="5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1020"/>
        <w:spacing w:after="0"/>
        <w:rPr>
          <w:sz w:val="20"/>
          <w:szCs w:val="20"/>
          <w:color w:val="auto"/>
        </w:rPr>
      </w:pPr>
      <w:r>
        <w:rPr>
          <w:rFonts w:ascii="Arial" w:cs="Arial" w:eastAsia="Arial" w:hAnsi="Arial"/>
          <w:sz w:val="15"/>
          <w:szCs w:val="15"/>
          <w:b w:val="1"/>
          <w:bCs w:val="1"/>
          <w:color w:val="auto"/>
        </w:rPr>
        <w:t>Name of exchange on which registered</w:t>
      </w:r>
    </w:p>
    <w:p>
      <w:pPr>
        <w:spacing w:after="0" w:line="44"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The NASDAQ Stock Market</w:t>
      </w:r>
    </w:p>
    <w:p>
      <w:pPr>
        <w:spacing w:after="0" w:line="200" w:lineRule="exact"/>
        <w:rPr>
          <w:sz w:val="24"/>
          <w:szCs w:val="24"/>
          <w:color w:val="auto"/>
        </w:rPr>
      </w:pPr>
    </w:p>
    <w:p>
      <w:pPr>
        <w:sectPr>
          <w:pgSz w:w="11900" w:h="16838" w:orient="portrait"/>
          <w:cols w:equalWidth="0" w:num="2">
            <w:col w:w="6520" w:space="720"/>
            <w:col w:w="3900"/>
          </w:cols>
          <w:pgMar w:left="240" w:top="685" w:right="519" w:bottom="0" w:gutter="0" w:footer="0" w:header="0"/>
          <w:type w:val="continuous"/>
        </w:sectPr>
      </w:pPr>
    </w:p>
    <w:p>
      <w:pPr>
        <w:spacing w:after="0" w:line="4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00" w:right="124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Indicated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140"/>
          </w:cols>
          <w:pgMar w:left="240" w:top="685" w:right="519" w:bottom="0" w:gutter="0" w:footer="0" w:header="0"/>
          <w:type w:val="continuous"/>
        </w:sectPr>
      </w:pPr>
    </w:p>
    <w:bookmarkStart w:id="1" w:name="page2"/>
    <w:bookmarkEnd w:id="1"/>
    <w:p>
      <w:pPr>
        <w:jc w:val="both"/>
        <w:ind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0"/>
          <w:szCs w:val="20"/>
          <w:color w:val="auto"/>
        </w:rPr>
      </w:pPr>
    </w:p>
    <w:p>
      <w:pPr>
        <w:jc w:val="both"/>
        <w:ind w:right="20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jc w:val="both"/>
        <w:ind w:right="20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31" w:right="299" w:bottom="1440" w:gutter="0" w:footer="0" w:header="0"/>
        </w:sectPr>
      </w:pP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7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2" w:lineRule="exact"/>
        <w:rPr>
          <w:sz w:val="20"/>
          <w:szCs w:val="20"/>
          <w:color w:val="auto"/>
        </w:rPr>
      </w:pPr>
    </w:p>
    <w:p>
      <w:pPr>
        <w:sectPr>
          <w:pgSz w:w="11900" w:h="16838" w:orient="portrait"/>
          <w:cols w:equalWidth="0" w:num="4">
            <w:col w:w="2580" w:space="720"/>
            <w:col w:w="1880" w:space="720"/>
            <w:col w:w="2400" w:space="720"/>
            <w:col w:w="2340"/>
          </w:cols>
          <w:pgMar w:left="240" w:top="131" w:right="299" w:bottom="1440" w:gutter="0" w:footer="0" w:header="0"/>
          <w:type w:val="continuous"/>
        </w:sectPr>
      </w:pPr>
    </w:p>
    <w:p>
      <w:pPr>
        <w:jc w:val="center"/>
        <w:ind w:left="2080"/>
        <w:spacing w:after="0"/>
        <w:rPr>
          <w:sz w:val="20"/>
          <w:szCs w:val="20"/>
          <w:color w:val="auto"/>
        </w:rPr>
      </w:pPr>
      <w:r>
        <w:rPr>
          <w:rFonts w:ascii="Arial" w:cs="Arial" w:eastAsia="Arial" w:hAnsi="Arial"/>
          <w:sz w:val="12"/>
          <w:szCs w:val="12"/>
          <w:color w:val="auto"/>
        </w:rPr>
        <w:t>(Do not check if a smaller</w:t>
      </w:r>
    </w:p>
    <w:p>
      <w:pPr>
        <w:jc w:val="center"/>
        <w:ind w:left="2080"/>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360"/>
          </w:cols>
          <w:pgMar w:left="240" w:top="131" w:right="299" w:bottom="1440" w:gutter="0" w:footer="0" w:header="0"/>
          <w:type w:val="continuous"/>
        </w:sectPr>
      </w:pPr>
    </w:p>
    <w:p>
      <w:pPr>
        <w:spacing w:after="0" w:line="19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60" w:space="160"/>
            <w:col w:w="2340"/>
          </w:cols>
          <w:pgMar w:left="240" w:top="131" w:right="299" w:bottom="1440" w:gutter="0" w:footer="0" w:header="0"/>
          <w:type w:val="continuous"/>
        </w:sectPr>
      </w:pPr>
    </w:p>
    <w:p>
      <w:pPr>
        <w:spacing w:after="0" w:line="60" w:lineRule="exact"/>
        <w:rPr>
          <w:sz w:val="20"/>
          <w:szCs w:val="20"/>
          <w:color w:val="auto"/>
        </w:rPr>
      </w:pPr>
    </w:p>
    <w:p>
      <w:pPr>
        <w:ind w:right="140" w:firstLine="392"/>
        <w:spacing w:after="0" w:line="259" w:lineRule="auto"/>
        <w:rPr>
          <w:sz w:val="20"/>
          <w:szCs w:val="20"/>
          <w:color w:val="auto"/>
        </w:rPr>
      </w:pPr>
      <w:r>
        <w:rPr>
          <w:rFonts w:ascii="Arial" w:cs="Arial" w:eastAsia="Arial" w:hAnsi="Arial"/>
          <w:sz w:val="18"/>
          <w:szCs w:val="18"/>
          <w:color w:val="auto"/>
        </w:rPr>
        <w:t>The aggregate market value of the voting common stock held by non-affiliates of the Registrant as of June 30, 2009 was $60,845,933. For the purposes of the forgoing calculation only, all directors and executive officers of the Registrant and third parties that own 10% or more of the voting common stock are assumed to be affiliates of the Registrant.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February 24, 2010, there were 11,060,163 shares of the Registrant's common stock, par value $.01 per share, outstanding.</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Registrant's proxy statement for its 2010 Annual Meeting of Stockholders are incorporated by reference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Registrant hereby amends and restates the Report of Independent Registered Public Accounting Firm as provided by Ernst &amp; Young LLP set forth under "Item 8. Financial Statements and Supplementary Data" contained in Tree.com, Inc.'s Annual Report on Form 10-K for the year ended December 31, 2009 (the "Original Form 10-K") to correct inadvertent typographical errors.</w:t>
      </w:r>
    </w:p>
    <w:p>
      <w:pPr>
        <w:spacing w:after="0" w:line="194"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This Amendment No. 1 only reflects the changes discussed above. No other information included in the Original Form 10-K has been amended by this Form 10-K/A, whether to reflect any information or events subsequent to the filing of the Original Form 10-K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380" w:type="dxa"/>
            <w:vAlign w:val="bottom"/>
            <w:gridSpan w:val="16"/>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68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560" w:type="dxa"/>
            <w:vAlign w:val="bottom"/>
            <w:gridSpan w:val="3"/>
          </w:tcPr>
          <w:p>
            <w:pPr>
              <w:spacing w:after="0"/>
              <w:rPr>
                <w:sz w:val="24"/>
                <w:szCs w:val="24"/>
                <w:color w:val="auto"/>
              </w:rPr>
            </w:pPr>
          </w:p>
        </w:tc>
        <w:tc>
          <w:tcPr>
            <w:tcW w:w="9780" w:type="dxa"/>
            <w:vAlign w:val="bottom"/>
            <w:gridSpan w:val="29"/>
          </w:tcPr>
          <w:p>
            <w:pPr>
              <w:spacing w:after="0"/>
              <w:rPr>
                <w:rFonts w:ascii="Arial" w:cs="Arial" w:eastAsia="Arial" w:hAnsi="Arial"/>
                <w:sz w:val="18"/>
                <w:szCs w:val="18"/>
                <w:b w:val="1"/>
                <w:bCs w:val="1"/>
                <w:i w:val="1"/>
                <w:iCs w:val="1"/>
                <w:color w:val="0000EE"/>
              </w:rPr>
            </w:pPr>
            <w:hyperlink w:anchor="page5">
              <w:r>
                <w:rPr>
                  <w:rFonts w:ascii="Arial" w:cs="Arial" w:eastAsia="Arial" w:hAnsi="Arial"/>
                  <w:sz w:val="18"/>
                  <w:szCs w:val="18"/>
                  <w:b w:val="1"/>
                  <w:bCs w:val="1"/>
                  <w:i w:val="1"/>
                  <w:iCs w:val="1"/>
                  <w:color w:val="0000EE"/>
                </w:rPr>
                <w:t>Business</w:t>
              </w:r>
            </w:hyperlink>
          </w:p>
        </w:tc>
        <w:tc>
          <w:tcPr>
            <w:tcW w:w="5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10">
              <w:r>
                <w:rPr>
                  <w:rFonts w:ascii="Arial" w:cs="Arial" w:eastAsia="Arial" w:hAnsi="Arial"/>
                  <w:sz w:val="18"/>
                  <w:szCs w:val="18"/>
                  <w:b w:val="1"/>
                  <w:bCs w:val="1"/>
                  <w:color w:val="0000EE"/>
                  <w:w w:val="91"/>
                </w:rPr>
                <w:t>Item 1A.</w:t>
              </w:r>
            </w:hyperlink>
          </w:p>
        </w:tc>
        <w:tc>
          <w:tcPr>
            <w:tcW w:w="420" w:type="dxa"/>
            <w:vAlign w:val="bottom"/>
          </w:tcPr>
          <w:p>
            <w:pPr>
              <w:spacing w:after="0"/>
              <w:rPr>
                <w:sz w:val="17"/>
                <w:szCs w:val="17"/>
                <w:color w:val="auto"/>
              </w:rPr>
            </w:pPr>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10">
              <w:r>
                <w:rPr>
                  <w:rFonts w:ascii="Arial" w:cs="Arial" w:eastAsia="Arial" w:hAnsi="Arial"/>
                  <w:sz w:val="18"/>
                  <w:szCs w:val="18"/>
                  <w:b w:val="1"/>
                  <w:bCs w:val="1"/>
                  <w:i w:val="1"/>
                  <w:iCs w:val="1"/>
                  <w:color w:val="0000EE"/>
                </w:rPr>
                <w:t>Risk Factors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Item 1B.</w:t>
              </w:r>
            </w:hyperlink>
          </w:p>
        </w:tc>
        <w:tc>
          <w:tcPr>
            <w:tcW w:w="420" w:type="dxa"/>
            <w:vAlign w:val="bottom"/>
          </w:tcPr>
          <w:p>
            <w:pPr>
              <w:spacing w:after="0"/>
              <w:rPr>
                <w:sz w:val="17"/>
                <w:szCs w:val="17"/>
                <w:color w:val="auto"/>
              </w:rPr>
            </w:pPr>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21">
              <w:r>
                <w:rPr>
                  <w:rFonts w:ascii="Arial" w:cs="Arial" w:eastAsia="Arial" w:hAnsi="Arial"/>
                  <w:sz w:val="18"/>
                  <w:szCs w:val="18"/>
                  <w:b w:val="1"/>
                  <w:bCs w:val="1"/>
                  <w:i w:val="1"/>
                  <w:iCs w:val="1"/>
                  <w:color w:val="0000EE"/>
                </w:rPr>
                <w:t>Unresolved Staff Comments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Item 2.</w:t>
              </w:r>
            </w:hyperlink>
          </w:p>
        </w:tc>
        <w:tc>
          <w:tcPr>
            <w:tcW w:w="140" w:type="dxa"/>
            <w:vAlign w:val="bottom"/>
            <w:tcBorders>
              <w:top w:val="single" w:sz="8" w:color="0000EE"/>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Borders>
              <w:top w:val="single" w:sz="8" w:color="0000EE"/>
            </w:tcBorders>
            <w:gridSpan w:val="10"/>
          </w:tcPr>
          <w:p>
            <w:pPr>
              <w:spacing w:after="0" w:line="196" w:lineRule="exact"/>
              <w:rPr>
                <w:rFonts w:ascii="Arial" w:cs="Arial" w:eastAsia="Arial" w:hAnsi="Arial"/>
                <w:sz w:val="18"/>
                <w:szCs w:val="18"/>
                <w:b w:val="1"/>
                <w:bCs w:val="1"/>
                <w:i w:val="1"/>
                <w:iCs w:val="1"/>
                <w:color w:val="0000EE"/>
              </w:rPr>
            </w:pPr>
            <w:hyperlink w:anchor="page21">
              <w:r>
                <w:rPr>
                  <w:rFonts w:ascii="Arial" w:cs="Arial" w:eastAsia="Arial" w:hAnsi="Arial"/>
                  <w:sz w:val="18"/>
                  <w:szCs w:val="18"/>
                  <w:b w:val="1"/>
                  <w:bCs w:val="1"/>
                  <w:i w:val="1"/>
                  <w:iCs w:val="1"/>
                  <w:color w:val="0000EE"/>
                </w:rPr>
                <w:t>Properties</w:t>
              </w:r>
            </w:hyperlink>
          </w:p>
        </w:tc>
        <w:tc>
          <w:tcPr>
            <w:tcW w:w="7760" w:type="dxa"/>
            <w:vAlign w:val="bottom"/>
            <w:gridSpan w:val="19"/>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Item 3.</w:t>
              </w:r>
            </w:hyperlink>
          </w:p>
        </w:tc>
        <w:tc>
          <w:tcPr>
            <w:tcW w:w="560" w:type="dxa"/>
            <w:vAlign w:val="bottom"/>
            <w:gridSpan w:val="3"/>
          </w:tcPr>
          <w:p>
            <w:pPr>
              <w:spacing w:after="0"/>
              <w:rPr>
                <w:sz w:val="17"/>
                <w:szCs w:val="17"/>
                <w:color w:val="auto"/>
              </w:rPr>
            </w:pPr>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21">
              <w:r>
                <w:rPr>
                  <w:rFonts w:ascii="Arial" w:cs="Arial" w:eastAsia="Arial" w:hAnsi="Arial"/>
                  <w:sz w:val="18"/>
                  <w:szCs w:val="18"/>
                  <w:b w:val="1"/>
                  <w:bCs w:val="1"/>
                  <w:i w:val="1"/>
                  <w:iCs w:val="1"/>
                  <w:color w:val="0000EE"/>
                </w:rPr>
                <w:t>Legal Proceedings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4.</w:t>
              </w:r>
            </w:hyperlink>
          </w:p>
        </w:tc>
        <w:tc>
          <w:tcPr>
            <w:tcW w:w="560" w:type="dxa"/>
            <w:vAlign w:val="bottom"/>
            <w:gridSpan w:val="3"/>
          </w:tcPr>
          <w:p>
            <w:pPr>
              <w:spacing w:after="0"/>
              <w:rPr>
                <w:sz w:val="17"/>
                <w:szCs w:val="17"/>
                <w:color w:val="auto"/>
              </w:rPr>
            </w:pPr>
          </w:p>
        </w:tc>
        <w:tc>
          <w:tcPr>
            <w:tcW w:w="1340" w:type="dxa"/>
            <w:vAlign w:val="bottom"/>
            <w:tcBorders>
              <w:top w:val="single" w:sz="8" w:color="0000EE"/>
            </w:tcBorders>
            <w:gridSpan w:val="5"/>
          </w:tcPr>
          <w:p>
            <w:pPr>
              <w:spacing w:after="0" w:line="196" w:lineRule="exact"/>
              <w:rPr>
                <w:rFonts w:ascii="Arial" w:cs="Arial" w:eastAsia="Arial" w:hAnsi="Arial"/>
                <w:sz w:val="18"/>
                <w:szCs w:val="18"/>
                <w:b w:val="1"/>
                <w:bCs w:val="1"/>
                <w:i w:val="1"/>
                <w:iCs w:val="1"/>
                <w:color w:val="0000EE"/>
              </w:rPr>
            </w:pPr>
            <w:hyperlink w:anchor="page24">
              <w:r>
                <w:rPr>
                  <w:rFonts w:ascii="Arial" w:cs="Arial" w:eastAsia="Arial" w:hAnsi="Arial"/>
                  <w:sz w:val="18"/>
                  <w:szCs w:val="18"/>
                  <w:b w:val="1"/>
                  <w:bCs w:val="1"/>
                  <w:i w:val="1"/>
                  <w:iCs w:val="1"/>
                  <w:color w:val="0000EE"/>
                </w:rPr>
                <w:t>Reserved</w:t>
              </w:r>
            </w:hyperlink>
          </w:p>
        </w:tc>
        <w:tc>
          <w:tcPr>
            <w:tcW w:w="8440" w:type="dxa"/>
            <w:vAlign w:val="bottom"/>
            <w:gridSpan w:val="2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1"/>
          </w:tcPr>
          <w:p>
            <w:pPr>
              <w:jc w:val="center"/>
              <w:ind w:right="4660"/>
              <w:spacing w:after="0"/>
              <w:rPr>
                <w:rFonts w:ascii="Arial" w:cs="Arial" w:eastAsia="Arial" w:hAnsi="Arial"/>
                <w:sz w:val="18"/>
                <w:szCs w:val="18"/>
                <w:b w:val="1"/>
                <w:bCs w:val="1"/>
                <w:color w:val="0000EE"/>
                <w:w w:val="96"/>
              </w:rPr>
            </w:pPr>
            <w:hyperlink w:anchor="page25">
              <w:r>
                <w:rPr>
                  <w:rFonts w:ascii="Arial" w:cs="Arial" w:eastAsia="Arial" w:hAnsi="Arial"/>
                  <w:sz w:val="18"/>
                  <w:szCs w:val="18"/>
                  <w:b w:val="1"/>
                  <w:bCs w:val="1"/>
                  <w:color w:val="0000EE"/>
                  <w:w w:val="96"/>
                </w:rPr>
                <w:t>PART II</w:t>
              </w:r>
            </w:hyperlink>
          </w:p>
        </w:tc>
        <w:tc>
          <w:tcPr>
            <w:tcW w:w="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Item 5.</w:t>
              </w:r>
            </w:hyperlink>
          </w:p>
        </w:tc>
        <w:tc>
          <w:tcPr>
            <w:tcW w:w="560" w:type="dxa"/>
            <w:vAlign w:val="bottom"/>
            <w:gridSpan w:val="3"/>
            <w:vMerge w:val="restart"/>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vMerge w:val="continue"/>
          </w:tcPr>
          <w:p>
            <w:pPr>
              <w:spacing w:after="0"/>
              <w:rPr>
                <w:sz w:val="24"/>
                <w:szCs w:val="24"/>
                <w:color w:val="auto"/>
              </w:rPr>
            </w:pPr>
          </w:p>
        </w:tc>
        <w:tc>
          <w:tcPr>
            <w:tcW w:w="560" w:type="dxa"/>
            <w:vAlign w:val="bottom"/>
            <w:gridSpan w:val="3"/>
            <w:vMerge w:val="continue"/>
          </w:tcPr>
          <w:p>
            <w:pPr>
              <w:spacing w:after="0"/>
              <w:rPr>
                <w:sz w:val="24"/>
                <w:szCs w:val="24"/>
                <w:color w:val="auto"/>
              </w:rPr>
            </w:pPr>
          </w:p>
        </w:tc>
        <w:tc>
          <w:tcPr>
            <w:tcW w:w="9780" w:type="dxa"/>
            <w:vAlign w:val="bottom"/>
            <w:gridSpan w:val="29"/>
          </w:tcPr>
          <w:p>
            <w:pPr>
              <w:spacing w:after="0"/>
              <w:rPr>
                <w:rFonts w:ascii="Arial" w:cs="Arial" w:eastAsia="Arial" w:hAnsi="Arial"/>
                <w:sz w:val="18"/>
                <w:szCs w:val="18"/>
                <w:b w:val="1"/>
                <w:bCs w:val="1"/>
                <w:i w:val="1"/>
                <w:iCs w:val="1"/>
                <w:color w:val="0000EE"/>
              </w:rPr>
            </w:pPr>
            <w:hyperlink w:anchor="page25">
              <w:r>
                <w:rPr>
                  <w:rFonts w:ascii="Arial" w:cs="Arial" w:eastAsia="Arial" w:hAnsi="Arial"/>
                  <w:sz w:val="18"/>
                  <w:szCs w:val="18"/>
                  <w:b w:val="1"/>
                  <w:bCs w:val="1"/>
                  <w:i w:val="1"/>
                  <w:iCs w:val="1"/>
                  <w:color w:val="0000EE"/>
                </w:rPr>
                <w:t>Market for Registrant's Common Equity, Related Stockholder Matters and Issuer Purchases of Equity Securities</w:t>
              </w:r>
            </w:hyperlink>
          </w:p>
        </w:tc>
        <w:tc>
          <w:tcPr>
            <w:tcW w:w="5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Item 6.</w:t>
              </w:r>
            </w:hyperlink>
          </w:p>
        </w:tc>
        <w:tc>
          <w:tcPr>
            <w:tcW w:w="560" w:type="dxa"/>
            <w:vAlign w:val="bottom"/>
            <w:gridSpan w:val="3"/>
          </w:tcPr>
          <w:p>
            <w:pPr>
              <w:spacing w:after="0"/>
              <w:rPr>
                <w:sz w:val="17"/>
                <w:szCs w:val="17"/>
                <w:color w:val="auto"/>
              </w:rPr>
            </w:pPr>
          </w:p>
        </w:tc>
        <w:tc>
          <w:tcPr>
            <w:tcW w:w="8140" w:type="dxa"/>
            <w:vAlign w:val="bottom"/>
            <w:tcBorders>
              <w:top w:val="single" w:sz="8" w:color="0000EE"/>
            </w:tcBorders>
            <w:gridSpan w:val="28"/>
          </w:tcPr>
          <w:p>
            <w:pPr>
              <w:spacing w:after="0" w:line="196" w:lineRule="exact"/>
              <w:rPr>
                <w:rFonts w:ascii="Arial" w:cs="Arial" w:eastAsia="Arial" w:hAnsi="Arial"/>
                <w:sz w:val="18"/>
                <w:szCs w:val="18"/>
                <w:b w:val="1"/>
                <w:bCs w:val="1"/>
                <w:i w:val="1"/>
                <w:iCs w:val="1"/>
                <w:color w:val="0000EE"/>
              </w:rPr>
            </w:pPr>
            <w:hyperlink w:anchor="page26">
              <w:r>
                <w:rPr>
                  <w:rFonts w:ascii="Arial" w:cs="Arial" w:eastAsia="Arial" w:hAnsi="Arial"/>
                  <w:sz w:val="18"/>
                  <w:szCs w:val="18"/>
                  <w:b w:val="1"/>
                  <w:bCs w:val="1"/>
                  <w:i w:val="1"/>
                  <w:iCs w:val="1"/>
                  <w:color w:val="0000EE"/>
                </w:rPr>
                <w:t>Selected Financial Data</w:t>
              </w:r>
            </w:hyperlink>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Item 7.</w:t>
              </w:r>
            </w:hyperlink>
          </w:p>
        </w:tc>
        <w:tc>
          <w:tcPr>
            <w:tcW w:w="560" w:type="dxa"/>
            <w:vAlign w:val="bottom"/>
            <w:gridSpan w:val="3"/>
          </w:tcPr>
          <w:p>
            <w:pPr>
              <w:spacing w:after="0"/>
              <w:rPr>
                <w:sz w:val="17"/>
                <w:szCs w:val="17"/>
                <w:color w:val="auto"/>
              </w:rPr>
            </w:pPr>
          </w:p>
        </w:tc>
        <w:tc>
          <w:tcPr>
            <w:tcW w:w="6520" w:type="dxa"/>
            <w:vAlign w:val="bottom"/>
            <w:tcBorders>
              <w:bottom w:val="single" w:sz="8" w:color="0000EE"/>
            </w:tcBorders>
            <w:gridSpan w:val="25"/>
          </w:tcPr>
          <w:p>
            <w:pPr>
              <w:spacing w:after="0" w:line="196" w:lineRule="exact"/>
              <w:rPr>
                <w:rFonts w:ascii="Arial" w:cs="Arial" w:eastAsia="Arial" w:hAnsi="Arial"/>
                <w:sz w:val="18"/>
                <w:szCs w:val="18"/>
                <w:b w:val="1"/>
                <w:bCs w:val="1"/>
                <w:i w:val="1"/>
                <w:iCs w:val="1"/>
                <w:color w:val="0000EE"/>
                <w:w w:val="85"/>
              </w:rPr>
            </w:pPr>
            <w:hyperlink w:anchor="page27">
              <w:r>
                <w:rPr>
                  <w:rFonts w:ascii="Arial" w:cs="Arial" w:eastAsia="Arial" w:hAnsi="Arial"/>
                  <w:sz w:val="18"/>
                  <w:szCs w:val="18"/>
                  <w:b w:val="1"/>
                  <w:bCs w:val="1"/>
                  <w:i w:val="1"/>
                  <w:iCs w:val="1"/>
                  <w:color w:val="0000EE"/>
                  <w:w w:val="85"/>
                </w:rPr>
                <w:t>Management's Discussion and Analysis of Financial Condition and Results of Operations</w:t>
              </w:r>
            </w:hyperlink>
          </w:p>
        </w:tc>
        <w:tc>
          <w:tcPr>
            <w:tcW w:w="326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7A.</w:t>
              </w:r>
            </w:hyperlink>
          </w:p>
        </w:tc>
        <w:tc>
          <w:tcPr>
            <w:tcW w:w="420" w:type="dxa"/>
            <w:vAlign w:val="bottom"/>
          </w:tcPr>
          <w:p>
            <w:pPr>
              <w:spacing w:after="0"/>
              <w:rPr>
                <w:sz w:val="17"/>
                <w:szCs w:val="17"/>
                <w:color w:val="auto"/>
              </w:rPr>
            </w:pPr>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43">
              <w:r>
                <w:rPr>
                  <w:rFonts w:ascii="Arial" w:cs="Arial" w:eastAsia="Arial" w:hAnsi="Arial"/>
                  <w:sz w:val="18"/>
                  <w:szCs w:val="18"/>
                  <w:b w:val="1"/>
                  <w:bCs w:val="1"/>
                  <w:i w:val="1"/>
                  <w:iCs w:val="1"/>
                  <w:color w:val="0000EE"/>
                </w:rPr>
                <w:t>Quantitative and Qualitative Disclosures About Market Risk</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8.</w:t>
              </w:r>
            </w:hyperlink>
          </w:p>
        </w:tc>
        <w:tc>
          <w:tcPr>
            <w:tcW w:w="140" w:type="dxa"/>
            <w:vAlign w:val="bottom"/>
            <w:tcBorders>
              <w:top w:val="single" w:sz="8" w:color="0000EE"/>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i w:val="1"/>
                <w:iCs w:val="1"/>
                <w:color w:val="0000EE"/>
                <w:w w:val="85"/>
              </w:rPr>
            </w:pPr>
            <w:hyperlink w:anchor="page44">
              <w:r>
                <w:rPr>
                  <w:rFonts w:ascii="Arial" w:cs="Arial" w:eastAsia="Arial" w:hAnsi="Arial"/>
                  <w:sz w:val="18"/>
                  <w:szCs w:val="18"/>
                  <w:b w:val="1"/>
                  <w:bCs w:val="1"/>
                  <w:i w:val="1"/>
                  <w:iCs w:val="1"/>
                  <w:color w:val="0000EE"/>
                  <w:w w:val="85"/>
                </w:rPr>
                <w:t>Financial Statements and Supplementary Data</w:t>
              </w:r>
            </w:hyperlink>
          </w:p>
        </w:tc>
        <w:tc>
          <w:tcPr>
            <w:tcW w:w="960" w:type="dxa"/>
            <w:vAlign w:val="bottom"/>
            <w:tcBorders>
              <w:top w:val="single" w:sz="8" w:color="0000EE"/>
            </w:tcBorders>
            <w:gridSpan w:val="2"/>
          </w:tcPr>
          <w:p>
            <w:pPr>
              <w:spacing w:after="0"/>
              <w:rPr>
                <w:sz w:val="17"/>
                <w:szCs w:val="17"/>
                <w:color w:val="auto"/>
              </w:rPr>
            </w:pPr>
          </w:p>
        </w:tc>
        <w:tc>
          <w:tcPr>
            <w:tcW w:w="542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95">
              <w:r>
                <w:rPr>
                  <w:rFonts w:ascii="Arial" w:cs="Arial" w:eastAsia="Arial" w:hAnsi="Arial"/>
                  <w:sz w:val="18"/>
                  <w:szCs w:val="18"/>
                  <w:b w:val="1"/>
                  <w:bCs w:val="1"/>
                  <w:color w:val="0000EE"/>
                  <w:w w:val="91"/>
                </w:rPr>
                <w:t>Item 9.</w:t>
              </w:r>
            </w:hyperlink>
          </w:p>
        </w:tc>
        <w:tc>
          <w:tcPr>
            <w:tcW w:w="560" w:type="dxa"/>
            <w:vAlign w:val="bottom"/>
            <w:gridSpan w:val="3"/>
          </w:tcPr>
          <w:p>
            <w:pPr>
              <w:spacing w:after="0"/>
              <w:rPr>
                <w:sz w:val="17"/>
                <w:szCs w:val="17"/>
                <w:color w:val="auto"/>
              </w:rPr>
            </w:pPr>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95">
              <w:r>
                <w:rPr>
                  <w:rFonts w:ascii="Arial" w:cs="Arial" w:eastAsia="Arial" w:hAnsi="Arial"/>
                  <w:sz w:val="18"/>
                  <w:szCs w:val="18"/>
                  <w:b w:val="1"/>
                  <w:bCs w:val="1"/>
                  <w:i w:val="1"/>
                  <w:iCs w:val="1"/>
                  <w:color w:val="0000EE"/>
                </w:rPr>
                <w:t>Changes in and Disagreements with Accountants on Accounting and Financial Disclosure</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1"/>
              </w:rPr>
            </w:pPr>
            <w:hyperlink w:anchor="page95">
              <w:r>
                <w:rPr>
                  <w:rFonts w:ascii="Arial" w:cs="Arial" w:eastAsia="Arial" w:hAnsi="Arial"/>
                  <w:sz w:val="18"/>
                  <w:szCs w:val="18"/>
                  <w:b w:val="1"/>
                  <w:bCs w:val="1"/>
                  <w:color w:val="0000EE"/>
                  <w:w w:val="91"/>
                </w:rPr>
                <w:t>Item 9A.</w:t>
              </w:r>
            </w:hyperlink>
          </w:p>
        </w:tc>
        <w:tc>
          <w:tcPr>
            <w:tcW w:w="42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6" w:lineRule="exact"/>
              <w:rPr>
                <w:rFonts w:ascii="Arial" w:cs="Arial" w:eastAsia="Arial" w:hAnsi="Arial"/>
                <w:sz w:val="18"/>
                <w:szCs w:val="18"/>
                <w:b w:val="1"/>
                <w:bCs w:val="1"/>
                <w:i w:val="1"/>
                <w:iCs w:val="1"/>
                <w:color w:val="0000EE"/>
                <w:w w:val="83"/>
              </w:rPr>
            </w:pPr>
            <w:hyperlink w:anchor="page95">
              <w:r>
                <w:rPr>
                  <w:rFonts w:ascii="Arial" w:cs="Arial" w:eastAsia="Arial" w:hAnsi="Arial"/>
                  <w:sz w:val="18"/>
                  <w:szCs w:val="18"/>
                  <w:b w:val="1"/>
                  <w:bCs w:val="1"/>
                  <w:i w:val="1"/>
                  <w:iCs w:val="1"/>
                  <w:color w:val="0000EE"/>
                  <w:w w:val="83"/>
                </w:rPr>
                <w:t>Controls and Procedures</w:t>
              </w:r>
            </w:hyperlink>
          </w:p>
        </w:tc>
        <w:tc>
          <w:tcPr>
            <w:tcW w:w="7960" w:type="dxa"/>
            <w:vAlign w:val="bottom"/>
            <w:gridSpan w:val="20"/>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91</w:t>
              </w:r>
            </w:hyperlink>
          </w:p>
        </w:tc>
        <w:tc>
          <w:tcPr>
            <w:tcW w:w="0" w:type="dxa"/>
            <w:vAlign w:val="bottom"/>
          </w:tcPr>
          <w:p>
            <w:pPr>
              <w:spacing w:after="0"/>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Item 9B.</w:t>
              </w:r>
            </w:hyperlink>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97">
              <w:r>
                <w:rPr>
                  <w:rFonts w:ascii="Arial" w:cs="Arial" w:eastAsia="Arial" w:hAnsi="Arial"/>
                  <w:sz w:val="18"/>
                  <w:szCs w:val="18"/>
                  <w:b w:val="1"/>
                  <w:bCs w:val="1"/>
                  <w:i w:val="1"/>
                  <w:iCs w:val="1"/>
                  <w:color w:val="0000EE"/>
                </w:rPr>
                <w:t>Other Information</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III</w:t>
              </w:r>
            </w:hyperlink>
          </w:p>
        </w:tc>
        <w:tc>
          <w:tcPr>
            <w:tcW w:w="46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Item 10.</w:t>
              </w:r>
            </w:hyperlink>
          </w:p>
        </w:tc>
        <w:tc>
          <w:tcPr>
            <w:tcW w:w="9780" w:type="dxa"/>
            <w:vAlign w:val="bottom"/>
            <w:gridSpan w:val="29"/>
          </w:tcPr>
          <w:p>
            <w:pPr>
              <w:spacing w:after="0"/>
              <w:rPr>
                <w:rFonts w:ascii="Arial" w:cs="Arial" w:eastAsia="Arial" w:hAnsi="Arial"/>
                <w:sz w:val="18"/>
                <w:szCs w:val="18"/>
                <w:b w:val="1"/>
                <w:bCs w:val="1"/>
                <w:i w:val="1"/>
                <w:iCs w:val="1"/>
                <w:color w:val="0000EE"/>
              </w:rPr>
            </w:pPr>
            <w:hyperlink w:anchor="page98">
              <w:r>
                <w:rPr>
                  <w:rFonts w:ascii="Arial" w:cs="Arial" w:eastAsia="Arial" w:hAnsi="Arial"/>
                  <w:sz w:val="18"/>
                  <w:szCs w:val="18"/>
                  <w:b w:val="1"/>
                  <w:bCs w:val="1"/>
                  <w:i w:val="1"/>
                  <w:iCs w:val="1"/>
                  <w:color w:val="0000EE"/>
                </w:rPr>
                <w:t>Directors, Executive Officers and Corporate Governance</w:t>
              </w:r>
            </w:hyperlink>
          </w:p>
        </w:tc>
        <w:tc>
          <w:tcPr>
            <w:tcW w:w="540" w:type="dxa"/>
            <w:vAlign w:val="bottom"/>
            <w:gridSpan w:val="3"/>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w w:val="89"/>
              </w:rPr>
            </w:pPr>
            <w:hyperlink w:anchor="page98">
              <w:r>
                <w:rPr>
                  <w:rFonts w:ascii="Arial" w:cs="Arial" w:eastAsia="Arial" w:hAnsi="Arial"/>
                  <w:sz w:val="18"/>
                  <w:szCs w:val="18"/>
                  <w:b w:val="1"/>
                  <w:bCs w:val="1"/>
                  <w:color w:val="0000EE"/>
                  <w:w w:val="89"/>
                </w:rPr>
                <w:t>Item 11.</w:t>
              </w:r>
            </w:hyperlink>
          </w:p>
        </w:tc>
        <w:tc>
          <w:tcPr>
            <w:tcW w:w="480" w:type="dxa"/>
            <w:vAlign w:val="bottom"/>
            <w:gridSpan w:val="2"/>
          </w:tcPr>
          <w:p>
            <w:pPr>
              <w:spacing w:after="0"/>
              <w:rPr>
                <w:sz w:val="17"/>
                <w:szCs w:val="17"/>
                <w:color w:val="auto"/>
              </w:rPr>
            </w:pPr>
          </w:p>
        </w:tc>
        <w:tc>
          <w:tcPr>
            <w:tcW w:w="4120" w:type="dxa"/>
            <w:vAlign w:val="bottom"/>
            <w:tcBorders>
              <w:top w:val="single" w:sz="8" w:color="0000EE"/>
            </w:tcBorders>
            <w:gridSpan w:val="14"/>
          </w:tcPr>
          <w:p>
            <w:pPr>
              <w:spacing w:after="0" w:line="196" w:lineRule="exact"/>
              <w:rPr>
                <w:rFonts w:ascii="Arial" w:cs="Arial" w:eastAsia="Arial" w:hAnsi="Arial"/>
                <w:sz w:val="18"/>
                <w:szCs w:val="18"/>
                <w:b w:val="1"/>
                <w:bCs w:val="1"/>
                <w:i w:val="1"/>
                <w:iCs w:val="1"/>
                <w:color w:val="0000EE"/>
              </w:rPr>
            </w:pPr>
            <w:hyperlink w:anchor="page98">
              <w:r>
                <w:rPr>
                  <w:rFonts w:ascii="Arial" w:cs="Arial" w:eastAsia="Arial" w:hAnsi="Arial"/>
                  <w:sz w:val="18"/>
                  <w:szCs w:val="18"/>
                  <w:b w:val="1"/>
                  <w:bCs w:val="1"/>
                  <w:i w:val="1"/>
                  <w:iCs w:val="1"/>
                  <w:color w:val="0000EE"/>
                </w:rPr>
                <w:t>Executive Compensation</w:t>
              </w:r>
            </w:hyperlink>
          </w:p>
        </w:tc>
        <w:tc>
          <w:tcPr>
            <w:tcW w:w="5660" w:type="dxa"/>
            <w:vAlign w:val="bottom"/>
            <w:gridSpan w:val="15"/>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94</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Item 12.</w:t>
              </w:r>
            </w:hyperlink>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98">
              <w:r>
                <w:rPr>
                  <w:rFonts w:ascii="Arial" w:cs="Arial" w:eastAsia="Arial" w:hAnsi="Arial"/>
                  <w:sz w:val="18"/>
                  <w:szCs w:val="18"/>
                  <w:b w:val="1"/>
                  <w:bCs w:val="1"/>
                  <w:i w:val="1"/>
                  <w:iCs w:val="1"/>
                  <w:color w:val="0000EE"/>
                </w:rPr>
                <w:t>Security Ownership of Certain Beneficial Owners and Management and Related Stockholder Matters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00" w:type="dxa"/>
            <w:vAlign w:val="bottom"/>
            <w:gridSpan w:val="11"/>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Item 13.</w:t>
              </w:r>
            </w:hyperlink>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98">
              <w:r>
                <w:rPr>
                  <w:rFonts w:ascii="Arial" w:cs="Arial" w:eastAsia="Arial" w:hAnsi="Arial"/>
                  <w:sz w:val="18"/>
                  <w:szCs w:val="18"/>
                  <w:b w:val="1"/>
                  <w:bCs w:val="1"/>
                  <w:i w:val="1"/>
                  <w:iCs w:val="1"/>
                  <w:color w:val="0000EE"/>
                </w:rPr>
                <w:t>Certain Relationships and Related Transactions, and Director Independence</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00" w:type="dxa"/>
            <w:vAlign w:val="bottom"/>
            <w:gridSpan w:val="11"/>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Item 14.</w:t>
              </w:r>
            </w:hyperlink>
          </w:p>
        </w:tc>
        <w:tc>
          <w:tcPr>
            <w:tcW w:w="9780" w:type="dxa"/>
            <w:vAlign w:val="bottom"/>
            <w:gridSpan w:val="29"/>
          </w:tcPr>
          <w:p>
            <w:pPr>
              <w:spacing w:after="0" w:line="196" w:lineRule="exact"/>
              <w:rPr>
                <w:rFonts w:ascii="Arial" w:cs="Arial" w:eastAsia="Arial" w:hAnsi="Arial"/>
                <w:sz w:val="18"/>
                <w:szCs w:val="18"/>
                <w:b w:val="1"/>
                <w:bCs w:val="1"/>
                <w:i w:val="1"/>
                <w:iCs w:val="1"/>
                <w:color w:val="0000EE"/>
              </w:rPr>
            </w:pPr>
            <w:hyperlink w:anchor="page98">
              <w:r>
                <w:rPr>
                  <w:rFonts w:ascii="Arial" w:cs="Arial" w:eastAsia="Arial" w:hAnsi="Arial"/>
                  <w:sz w:val="18"/>
                  <w:szCs w:val="18"/>
                  <w:b w:val="1"/>
                  <w:bCs w:val="1"/>
                  <w:i w:val="1"/>
                  <w:iCs w:val="1"/>
                  <w:color w:val="0000EE"/>
                </w:rPr>
                <w:t>Principal Accounting Fees and Services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13"/>
          </w:tcPr>
          <w:p>
            <w:pPr>
              <w:jc w:val="center"/>
              <w:ind w:right="4620"/>
              <w:spacing w:after="0"/>
              <w:rPr>
                <w:rFonts w:ascii="Arial" w:cs="Arial" w:eastAsia="Arial" w:hAnsi="Arial"/>
                <w:sz w:val="18"/>
                <w:szCs w:val="18"/>
                <w:b w:val="1"/>
                <w:bCs w:val="1"/>
                <w:color w:val="0000EE"/>
                <w:w w:val="98"/>
              </w:rPr>
            </w:pPr>
            <w:hyperlink w:anchor="page99">
              <w:r>
                <w:rPr>
                  <w:rFonts w:ascii="Arial" w:cs="Arial" w:eastAsia="Arial" w:hAnsi="Arial"/>
                  <w:sz w:val="18"/>
                  <w:szCs w:val="18"/>
                  <w:b w:val="1"/>
                  <w:bCs w:val="1"/>
                  <w:color w:val="0000EE"/>
                  <w:w w:val="98"/>
                </w:rPr>
                <w:t>PART IV</w:t>
              </w:r>
            </w:hyperlink>
          </w:p>
        </w:tc>
        <w:tc>
          <w:tcPr>
            <w:tcW w:w="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Item 15.</w:t>
              </w:r>
            </w:hyperlink>
          </w:p>
        </w:tc>
        <w:tc>
          <w:tcPr>
            <w:tcW w:w="4480" w:type="dxa"/>
            <w:vAlign w:val="bottom"/>
            <w:gridSpan w:val="17"/>
          </w:tcPr>
          <w:p>
            <w:pPr>
              <w:spacing w:after="0"/>
              <w:rPr>
                <w:rFonts w:ascii="Arial" w:cs="Arial" w:eastAsia="Arial" w:hAnsi="Arial"/>
                <w:sz w:val="18"/>
                <w:szCs w:val="18"/>
                <w:b w:val="1"/>
                <w:bCs w:val="1"/>
                <w:i w:val="1"/>
                <w:iCs w:val="1"/>
                <w:color w:val="0000EE"/>
              </w:rPr>
            </w:pPr>
            <w:hyperlink w:anchor="page99">
              <w:r>
                <w:rPr>
                  <w:rFonts w:ascii="Arial" w:cs="Arial" w:eastAsia="Arial" w:hAnsi="Arial"/>
                  <w:sz w:val="18"/>
                  <w:szCs w:val="18"/>
                  <w:b w:val="1"/>
                  <w:bCs w:val="1"/>
                  <w:i w:val="1"/>
                  <w:iCs w:val="1"/>
                  <w:color w:val="0000EE"/>
                </w:rPr>
                <w:t>Exhibits and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4620" w:type="dxa"/>
            <w:vAlign w:val="bottom"/>
            <w:gridSpan w:val="7"/>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139"/>
        </w:trPr>
        <w:tc>
          <w:tcPr>
            <w:tcW w:w="5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Overview</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Tree.com is the parent of LendingTree, LLC and is the indirect parent of several companies owned by LendingTree, LLC. LendingTree, LLC (formerly, LendingTree, Inc.) was incorporated in the state of Delaware in June 1996 and commenced nationwide operations in July 1998. LendingTree, Inc. was acquired by IAC/InterActiveCorp ("IAC") in 2003 and converted to a Delaware limited liability company (LendingTree, LLC) in December 2004. On August 20, 2008, Tree.com, Inc. (along with its subsidiary, LendingTree, LLC) was spun off from IAC into a separate publicly traded company. We refer to the separation transaction as the "spin-off." Tree.com was originally incorporated as a Delaware corporation in April 2008, in anticipation of the spin-off.</w:t>
      </w:r>
    </w:p>
    <w:p>
      <w:pPr>
        <w:spacing w:after="0" w:line="170" w:lineRule="exact"/>
        <w:rPr>
          <w:sz w:val="20"/>
          <w:szCs w:val="20"/>
          <w:color w:val="auto"/>
        </w:rPr>
      </w:pPr>
    </w:p>
    <w:p>
      <w:pPr>
        <w:ind w:right="400" w:firstLine="348"/>
        <w:spacing w:after="0" w:line="241" w:lineRule="auto"/>
        <w:rPr>
          <w:sz w:val="20"/>
          <w:szCs w:val="20"/>
          <w:color w:val="auto"/>
        </w:rPr>
      </w:pPr>
      <w:r>
        <w:rPr>
          <w:rFonts w:ascii="Arial" w:cs="Arial" w:eastAsia="Arial" w:hAnsi="Arial"/>
          <w:sz w:val="16"/>
          <w:szCs w:val="16"/>
          <w:color w:val="auto"/>
        </w:rPr>
        <w:t>Tree.com is also the owner of several brands and businesses that provide information, tools, advice, products and services for critical transactions in our customers' lives. Our family of brands includes: LendingTree.com®, GetSmart.com®, RealEstate.com®, DegreeTree.com</w:t>
      </w:r>
      <w:r>
        <w:rPr>
          <w:rFonts w:ascii="Arial" w:cs="Arial" w:eastAsia="Arial" w:hAnsi="Arial"/>
          <w:sz w:val="26"/>
          <w:szCs w:val="26"/>
          <w:color w:val="auto"/>
          <w:vertAlign w:val="superscript"/>
        </w:rPr>
        <w:t>SM</w:t>
      </w:r>
      <w:r>
        <w:rPr>
          <w:rFonts w:ascii="Arial" w:cs="Arial" w:eastAsia="Arial" w:hAnsi="Arial"/>
          <w:sz w:val="16"/>
          <w:szCs w:val="16"/>
          <w:color w:val="auto"/>
        </w:rPr>
        <w:t>, HealthTree.com</w:t>
      </w:r>
      <w:r>
        <w:rPr>
          <w:rFonts w:ascii="Arial" w:cs="Arial" w:eastAsia="Arial" w:hAnsi="Arial"/>
          <w:sz w:val="26"/>
          <w:szCs w:val="26"/>
          <w:color w:val="auto"/>
          <w:vertAlign w:val="superscript"/>
        </w:rPr>
        <w:t>SM</w:t>
      </w:r>
      <w:r>
        <w:rPr>
          <w:rFonts w:ascii="Arial" w:cs="Arial" w:eastAsia="Arial" w:hAnsi="Arial"/>
          <w:sz w:val="16"/>
          <w:szCs w:val="16"/>
          <w:color w:val="auto"/>
        </w:rPr>
        <w:t>,</w:t>
      </w:r>
    </w:p>
    <w:p>
      <w:pPr>
        <w:spacing w:after="0" w:line="1" w:lineRule="exact"/>
        <w:rPr>
          <w:sz w:val="20"/>
          <w:szCs w:val="20"/>
          <w:color w:val="auto"/>
        </w:rPr>
      </w:pPr>
    </w:p>
    <w:p>
      <w:pPr>
        <w:ind w:right="160"/>
        <w:spacing w:after="0" w:line="206" w:lineRule="auto"/>
        <w:rPr>
          <w:sz w:val="20"/>
          <w:szCs w:val="20"/>
          <w:color w:val="auto"/>
        </w:rPr>
      </w:pPr>
      <w:r>
        <w:rPr>
          <w:rFonts w:ascii="Arial" w:cs="Arial" w:eastAsia="Arial" w:hAnsi="Arial"/>
          <w:sz w:val="18"/>
          <w:szCs w:val="18"/>
          <w:color w:val="auto"/>
        </w:rPr>
        <w:t>LendingTreeAutos.com, DoneRight.com, and InsuranceTree.com</w:t>
      </w:r>
      <w:r>
        <w:rPr>
          <w:rFonts w:ascii="Arial" w:cs="Arial" w:eastAsia="Arial" w:hAnsi="Arial"/>
          <w:sz w:val="29"/>
          <w:szCs w:val="29"/>
          <w:color w:val="auto"/>
          <w:vertAlign w:val="superscript"/>
        </w:rPr>
        <w:t>SM</w:t>
      </w:r>
      <w:r>
        <w:rPr>
          <w:rFonts w:ascii="Arial" w:cs="Arial" w:eastAsia="Arial" w:hAnsi="Arial"/>
          <w:sz w:val="18"/>
          <w:szCs w:val="18"/>
          <w:color w:val="auto"/>
        </w:rPr>
        <w:t>. Together, these brands serve as an ally for consumers who are looking to comparison shop for loans, real estate and other services from multiple businesses and professionals who will compete for their business.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businesses and brands are operated under the segments known as LendingTree Loans, the Exchanges and Real Estate.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LendingTree Loans originates, processes, approves and funds various consumer mortgage loans through a Tree.com subsidiary, Home Loan Center, Inc., which operates primarily under the brand name "LendingTree Loans®." LendingTree Loans maintains offices in California and is able to provide a broad range of mortgage loan offerings to consumers in most states, primarily conforming and prime loans, and, to a lesser extent, non-conforming and FHA loans. Products available include both adjustable and fixed rate loans.</w:t>
      </w:r>
    </w:p>
    <w:p>
      <w:pPr>
        <w:spacing w:after="0" w:line="19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LendingTree Loans® branded loan originations are principally derived from consumer loan requests received through </w:t>
      </w:r>
      <w:r>
        <w:rPr>
          <w:rFonts w:ascii="Arial" w:cs="Arial" w:eastAsia="Arial" w:hAnsi="Arial"/>
          <w:sz w:val="16"/>
          <w:szCs w:val="16"/>
          <w:i w:val="1"/>
          <w:iCs w:val="1"/>
          <w:color w:val="auto"/>
        </w:rPr>
        <w:t>www.lendingtree.com,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www.getsmart.com </w:t>
      </w:r>
      <w:r>
        <w:rPr>
          <w:rFonts w:ascii="Arial" w:cs="Arial" w:eastAsia="Arial" w:hAnsi="Arial"/>
          <w:sz w:val="16"/>
          <w:szCs w:val="16"/>
          <w:color w:val="auto"/>
        </w:rPr>
        <w:t>or 1-800-555-TREE. A portion of all consumer loan request forms received through these channels are referred to LendingTree Loans.</w:t>
      </w:r>
      <w:r>
        <w:rPr>
          <w:rFonts w:ascii="Arial" w:cs="Arial" w:eastAsia="Arial" w:hAnsi="Arial"/>
          <w:sz w:val="16"/>
          <w:szCs w:val="16"/>
          <w:i w:val="1"/>
          <w:iCs w:val="1"/>
          <w:color w:val="auto"/>
        </w:rPr>
        <w:t xml:space="preserve"> </w:t>
      </w:r>
      <w:r>
        <w:rPr>
          <w:rFonts w:ascii="Arial" w:cs="Arial" w:eastAsia="Arial" w:hAnsi="Arial"/>
          <w:sz w:val="16"/>
          <w:szCs w:val="16"/>
          <w:color w:val="auto"/>
        </w:rPr>
        <w:t>LendingTree Loans offers those consumers a choice among various loan alternatives, with loan pricing based upon different wholesale offerings received by LendingTree Loans from the secondary market investors who purchase the loans. LendingTree Loans maintains controls to ensure that its consumer loan pricing correlates to secondary market pricing and to ensure that its consumers receive multiple loan alternatives, thus maintaining the competition and choice elements inherent in the LendingTree brand. Tree.com believes that LendingTree Loans provides value to consumers who do not wish to negotiate with multiple lenders, but still wish to obtain loan alternatives.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LendingTree Loans® branded loans are funded and closed using proceeds from borrowings under available warehouse lines of credit. Substantially all of the loans funded are sold, along with the accompanying loan servicing rights, to investors in the secondary market, generally within 30 days of funding, with the proceeds from such sales being used to repay borrowings under the warehouse lines of credit. For terms of the warehouse lines of credit, see "Financial Position, Liquidity and Capital Resources."</w:t>
      </w:r>
    </w:p>
    <w:p>
      <w:pPr>
        <w:spacing w:after="0" w:line="197" w:lineRule="exact"/>
        <w:rPr>
          <w:sz w:val="20"/>
          <w:szCs w:val="20"/>
          <w:color w:val="auto"/>
        </w:rPr>
      </w:pPr>
    </w:p>
    <w:p>
      <w:pPr>
        <w:ind w:right="660" w:firstLine="341"/>
        <w:spacing w:after="0" w:line="332" w:lineRule="auto"/>
        <w:rPr>
          <w:sz w:val="20"/>
          <w:szCs w:val="20"/>
          <w:color w:val="auto"/>
        </w:rPr>
      </w:pPr>
      <w:r>
        <w:rPr>
          <w:rFonts w:ascii="Arial" w:cs="Arial" w:eastAsia="Arial" w:hAnsi="Arial"/>
          <w:sz w:val="16"/>
          <w:szCs w:val="16"/>
          <w:color w:val="auto"/>
        </w:rPr>
        <w:t xml:space="preserve">Although most of Home Loan Center, Inc.'s consumer leads are sourced through </w:t>
      </w:r>
      <w:r>
        <w:rPr>
          <w:rFonts w:ascii="Arial" w:cs="Arial" w:eastAsia="Arial" w:hAnsi="Arial"/>
          <w:sz w:val="16"/>
          <w:szCs w:val="16"/>
          <w:i w:val="1"/>
          <w:iCs w:val="1"/>
          <w:color w:val="auto"/>
        </w:rPr>
        <w:t>www.lendingtree.com</w:t>
      </w:r>
      <w:r>
        <w:rPr>
          <w:rFonts w:ascii="Arial" w:cs="Arial" w:eastAsia="Arial" w:hAnsi="Arial"/>
          <w:sz w:val="16"/>
          <w:szCs w:val="16"/>
          <w:color w:val="auto"/>
        </w:rPr>
        <w:t xml:space="preserve"> or 1-800-555-TREE and originated under the LendingTree Loans® brand, a small portion of Home Loan Center, Inc.'s leads are sourced from a variety of non-LendingTree channels,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including third-party online lead aggregators, direct mail marketing campaigns and </w:t>
      </w:r>
      <w:r>
        <w:rPr>
          <w:rFonts w:ascii="Arial" w:cs="Arial" w:eastAsia="Arial" w:hAnsi="Arial"/>
          <w:sz w:val="18"/>
          <w:szCs w:val="18"/>
          <w:i w:val="1"/>
          <w:iCs w:val="1"/>
          <w:color w:val="auto"/>
        </w:rPr>
        <w:t>www.homeloancenter.com</w:t>
      </w:r>
      <w:r>
        <w:rPr>
          <w:rFonts w:ascii="Arial" w:cs="Arial" w:eastAsia="Arial" w:hAnsi="Arial"/>
          <w:sz w:val="18"/>
          <w:szCs w:val="18"/>
          <w:color w:val="auto"/>
        </w:rPr>
        <w:t>. When obtaining leads from third-party sources, Home Loan Center, Inc. operates under its traditional name and brand (HomeLoanCenter). Consumers who request loans through the HomeLoanCenter brand typically receive single loan offers. HomeLoanCenter branded loans are funded, closed and sold into the secondary market in the same manner, and on substantially the same terms, as LendingTree Loans® branded loans.</w:t>
      </w:r>
    </w:p>
    <w:p>
      <w:pPr>
        <w:spacing w:after="0" w:line="197"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Revenues from direct lending operations are principally derived from the sale of loans to secondary market investors and from origination and other fees paid by borrowers. Of Home Loan Center, Inc.'s five secondary market investors in 2009, the two largest, Bank of America and Wells Fargo, represented approximately 25% and 13%, respectively, of Tree.com's consolidated revenue in 2009. See "Risk Factors Relating to the Business of Tree.com Following the Spin-Offs—Adverse Events and Trends."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Tree.com believes that the primary competitors of LendingTree Loans are traditional lending institutions, including those that are developing their own direct, online lending channels. While these financial institutions do not operate lending networks, they process, close and fund loans as direct lenders through well-recognized, national brands, many of which are industry leaders. LendingTree Loans also faces additional competition from direct lending websites owned and operated by other online lenders that originate the bulk of their loans through their websites or by phone. These companies typically operate a consumer-branded website and attract consumers via online banner ads, key word placement on search engines, partnering with affiliates and business development arrangements with other properties, including major online portals.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Lending Networks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 xml:space="preserve">Consumers can access Tree.com's nationwide network of more than 200 banks, lenders and loan brokers online (via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or </w:t>
      </w:r>
      <w:r>
        <w:rPr>
          <w:rFonts w:ascii="Arial" w:cs="Arial" w:eastAsia="Arial" w:hAnsi="Arial"/>
          <w:sz w:val="18"/>
          <w:szCs w:val="18"/>
          <w:i w:val="1"/>
          <w:iCs w:val="1"/>
          <w:color w:val="auto"/>
        </w:rPr>
        <w:t>www.getsmart.com</w:t>
      </w:r>
      <w:r>
        <w:rPr>
          <w:rFonts w:ascii="Arial" w:cs="Arial" w:eastAsia="Arial" w:hAnsi="Arial"/>
          <w:sz w:val="18"/>
          <w:szCs w:val="18"/>
          <w:color w:val="auto"/>
        </w:rPr>
        <w:t>) or by calling 1-800-555-TREE. Loans offered by these banks, lenders and loan brokers (the "Network Lenders") consist primarily of home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(in connection with refinancings and purchases) and home equity loans.</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Tree.com selects lenders throughout the country in an effort to provide full geographic lending coverage and to offer a complete suite of loan offerings available in the market. Typically, before a lender joins the Network, Tree.com performs credit and financial reviews on the lender. In addition, as a further quality assurance measure, Tree.com checks new lenders against a national antifraud database maintained by the Mortgage Asset Research Institute. All Network Lenders are required to enter into a contract that generally may be terminated upon notice by either party. No individual Network Lender accounted for more than 5% of the Exchanges revenue in any period.</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Consumers seeking mortgage loans through one of Tree.com's lending networks can receive multiple conditional loan offers from Network Lenders, or from Tree.com's subsidiary doing business under the name "LendingTree Loans" (as described above), in response to a single loan request form.</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process by which Exchanges matches consumers and Network Lenders is referred to herein as the "matching process." This matching process consists of the following steps:</w:t>
      </w:r>
    </w:p>
    <w:p>
      <w:pPr>
        <w:spacing w:after="0" w:line="193" w:lineRule="exact"/>
        <w:rPr>
          <w:sz w:val="20"/>
          <w:szCs w:val="20"/>
          <w:color w:val="auto"/>
        </w:rPr>
      </w:pPr>
    </w:p>
    <w:p>
      <w:pPr>
        <w:ind w:left="1080" w:right="600" w:hanging="532"/>
        <w:spacing w:after="0" w:line="33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Credit Request. </w:t>
      </w:r>
      <w:r>
        <w:rPr>
          <w:rFonts w:ascii="Arial" w:cs="Arial" w:eastAsia="Arial" w:hAnsi="Arial"/>
          <w:sz w:val="16"/>
          <w:szCs w:val="16"/>
          <w:color w:val="auto"/>
        </w:rPr>
        <w:t>Consumers complete a single loan request form for the selected loan with information regarding their income,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loan preferences and other data. Consumers also consent to the retrieval of their credit report.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jc w:val="both"/>
        <w:ind w:left="1080" w:right="80" w:hanging="532"/>
        <w:spacing w:after="0" w:line="25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Loan Request Form Matching and Transmission. </w:t>
      </w:r>
      <w:r>
        <w:rPr>
          <w:rFonts w:ascii="Arial" w:cs="Arial" w:eastAsia="Arial" w:hAnsi="Arial"/>
          <w:sz w:val="18"/>
          <w:szCs w:val="18"/>
          <w:color w:val="auto"/>
        </w:rPr>
        <w:t>Tree.com proprietary technology matches a given consumer's loan request form data, credit</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and geographic location against certain pre-established creditworthiness criteria of Network Lenders, which may be modified from time to time. Once a given loan request passes through the matching process, the loan request is automatically transmitted to up to five available Network Lenders.</w:t>
      </w:r>
    </w:p>
    <w:p>
      <w:pPr>
        <w:spacing w:after="0" w:line="217" w:lineRule="exact"/>
        <w:rPr>
          <w:rFonts w:ascii="Arial" w:cs="Arial" w:eastAsia="Arial" w:hAnsi="Arial"/>
          <w:sz w:val="18"/>
          <w:szCs w:val="18"/>
          <w:color w:val="auto"/>
        </w:rPr>
      </w:pPr>
    </w:p>
    <w:p>
      <w:pPr>
        <w:ind w:left="1080" w:right="160" w:hanging="532"/>
        <w:spacing w:after="0" w:line="310"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Lender Evaluation and Response. </w:t>
      </w:r>
      <w:r>
        <w:rPr>
          <w:rFonts w:ascii="Arial" w:cs="Arial" w:eastAsia="Arial" w:hAnsi="Arial"/>
          <w:sz w:val="16"/>
          <w:szCs w:val="16"/>
          <w:color w:val="auto"/>
        </w:rPr>
        <w:t>Network Lenders who receive a loan request form evaluate the information in the loan request to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to make a conditional loan offer. If a given number of Network Lenders do not respond with a conditional loan offer, the loan request form is directed through the matching process a second time in an attempt to match the consumer with another Network Lender.</w:t>
      </w:r>
    </w:p>
    <w:p>
      <w:pPr>
        <w:spacing w:after="0" w:line="164" w:lineRule="exact"/>
        <w:rPr>
          <w:rFonts w:ascii="Arial" w:cs="Arial" w:eastAsia="Arial" w:hAnsi="Arial"/>
          <w:sz w:val="16"/>
          <w:szCs w:val="16"/>
          <w:color w:val="auto"/>
        </w:rPr>
      </w:pPr>
    </w:p>
    <w:p>
      <w:pPr>
        <w:ind w:left="1080" w:right="60" w:hanging="532"/>
        <w:spacing w:after="0" w:line="326"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Communication of a Conditional Offer. </w:t>
      </w:r>
      <w:r>
        <w:rPr>
          <w:rFonts w:ascii="Arial" w:cs="Arial" w:eastAsia="Arial" w:hAnsi="Arial"/>
          <w:sz w:val="15"/>
          <w:szCs w:val="15"/>
          <w:color w:val="auto"/>
        </w:rPr>
        <w:t>If one or more Network Lenders make a conditional offer, the consumer is automatically notified via e-mail to return to the site and log in to a web-page reflecting their customized loan offers ("My Account"). Through the My Account web-page consumers may access and compare the proposed terms of each conditional offer, including: interest rate, closing costs, monthly payment amount, lender fees and other information. If a consumer does not have access to e-mail, conditional offers are provided to the consumer by phone or fax.</w:t>
      </w:r>
    </w:p>
    <w:p>
      <w:pPr>
        <w:spacing w:after="0" w:line="156" w:lineRule="exact"/>
        <w:rPr>
          <w:rFonts w:ascii="Arial" w:cs="Arial" w:eastAsia="Arial" w:hAnsi="Arial"/>
          <w:sz w:val="15"/>
          <w:szCs w:val="15"/>
          <w:color w:val="auto"/>
        </w:rPr>
      </w:pPr>
    </w:p>
    <w:p>
      <w:pPr>
        <w:ind w:left="1080" w:right="80" w:hanging="532"/>
        <w:spacing w:after="0" w:line="339"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Loan Processing. </w:t>
      </w:r>
      <w:r>
        <w:rPr>
          <w:rFonts w:ascii="Arial" w:cs="Arial" w:eastAsia="Arial" w:hAnsi="Arial"/>
          <w:sz w:val="16"/>
          <w:szCs w:val="16"/>
          <w:color w:val="auto"/>
        </w:rPr>
        <w:t>Consumers work offline with the relevant Network Lender to provide property information and additional information bearing</w:t>
      </w:r>
      <w:r>
        <w:rPr>
          <w:rFonts w:ascii="Arial" w:cs="Arial" w:eastAsia="Arial" w:hAnsi="Arial"/>
          <w:sz w:val="16"/>
          <w:szCs w:val="16"/>
          <w:b w:val="1"/>
          <w:bCs w:val="1"/>
          <w:color w:val="auto"/>
        </w:rPr>
        <w:t xml:space="preserve"> </w:t>
      </w:r>
      <w:r>
        <w:rPr>
          <w:rFonts w:ascii="Arial" w:cs="Arial" w:eastAsia="Arial" w:hAnsi="Arial"/>
          <w:sz w:val="16"/>
          <w:szCs w:val="16"/>
          <w:color w:val="auto"/>
        </w:rPr>
        <w:t>on creditworthiness to the Network Lender. If the Network Lender approves a consumer, it will then underwrite and originate the loan.</w:t>
      </w:r>
    </w:p>
    <w:p>
      <w:pPr>
        <w:spacing w:after="0" w:line="155" w:lineRule="exact"/>
        <w:rPr>
          <w:rFonts w:ascii="Arial" w:cs="Arial" w:eastAsia="Arial" w:hAnsi="Arial"/>
          <w:sz w:val="16"/>
          <w:szCs w:val="16"/>
          <w:color w:val="auto"/>
        </w:rPr>
      </w:pPr>
    </w:p>
    <w:p>
      <w:pPr>
        <w:ind w:left="1080" w:right="40" w:hanging="532"/>
        <w:spacing w:after="0" w:line="25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Ongoing Consumer and Lender Support. </w:t>
      </w:r>
      <w:r>
        <w:rPr>
          <w:rFonts w:ascii="Arial" w:cs="Arial" w:eastAsia="Arial" w:hAnsi="Arial"/>
          <w:sz w:val="18"/>
          <w:szCs w:val="18"/>
          <w:color w:val="auto"/>
        </w:rPr>
        <w:t>Active e-mail and telephone follow-up and support are provided to both Network Lenders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during the loan transaction process. This follow-up and support is designed to provide technical assistance and increase overall satisfaction of Network Lenders, as well as increase the percentage of consumers who close a loan through financial institutions found through the Exchanges.</w:t>
      </w:r>
    </w:p>
    <w:p>
      <w:pPr>
        <w:spacing w:after="0" w:line="196"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Exchanges also offer a short-form matching process under the LendingTree® and GetSmart® brands. This process, which provides consumers with lender contact information only, typically requires the consumer to submit less data than that required in connection with the matching process described above.</w:t>
      </w:r>
    </w:p>
    <w:p>
      <w:pPr>
        <w:spacing w:after="0" w:line="11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Exchanges do not charge consumers a fee to use their lending networks. Substantially all revenues from lending networks are derived from both up-front matching fees paid by Network Lenders who receive a loan request form and closing fees paid by Network Lenders who close a transaction with the consumer. Because a given loan request form can be matched with more than one Network Lender, up to five match fees may be generated from the same form. Matching fees are recognized at the time the loan request form is transmitted and closing fees are recognized at the time the Network Lender reports that it has closed the loan, which may be several months after the time the loan request form is transmitted.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Businesses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Exchanges also offer:</w:t>
      </w:r>
    </w:p>
    <w:p>
      <w:pPr>
        <w:spacing w:after="0" w:line="239" w:lineRule="exact"/>
        <w:rPr>
          <w:sz w:val="20"/>
          <w:szCs w:val="20"/>
          <w:color w:val="auto"/>
        </w:rPr>
      </w:pPr>
    </w:p>
    <w:p>
      <w:pPr>
        <w:ind w:left="1080" w:right="6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unsecured loans, through which consumers are matched with multiple lenders using a network-based process similar to the mortgage loan matching process described above;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automobile loans, through which consumers are linked with one or more third-party automobile lenders;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cards, through which consumers can search various credit card offerings through a third-party vendor;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reverse mortgage loans, through which consumers are linked with one or more third party providers;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various consumer insurance products, pursuant to which consumers are linked with licensed insurance agents and insurance lead aggregators to obtain insurance offers;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opportunities for prospective students seeking institutions of higher education;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home improvement professional services with national and local contractors.</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Revenues from these businesses are derived either from matching and closing fees, or in some cases, volume-based marketing fees. While the revenues from these businesses do not currently represent a significant portion of the revenues of the Exchanges, these revenues are expected to grow over time.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Tree.com's Exchanges compete with other lead aggregators, including online intermediaries that operate network-type arrangements. Tree.com's Exchanges also face additional competition from direct lending websites owned and operated by other online lenders that originate the bulk of their loans through their websites or by phone. These companies typically operate a consumer-branded website and attract consumers via online banner ads, key word placement on search engines, partnering with affiliates and business development arrangements with other properties, including major online portals.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Estate Brokerage</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RealEstate.com, REALTORS® is Tree.com's proprietary real estate brokerage business (the "brokerage"), which currently operates in 20 markets across the United States. Business for the brokerage is generated both by consumers accessing </w:t>
      </w:r>
      <w:r>
        <w:rPr>
          <w:rFonts w:ascii="Arial" w:cs="Arial" w:eastAsia="Arial" w:hAnsi="Arial"/>
          <w:sz w:val="16"/>
          <w:szCs w:val="16"/>
          <w:i w:val="1"/>
          <w:iCs w:val="1"/>
          <w:color w:val="auto"/>
        </w:rPr>
        <w:t>www.realestate.com</w:t>
      </w:r>
      <w:r>
        <w:rPr>
          <w:rFonts w:ascii="Arial" w:cs="Arial" w:eastAsia="Arial" w:hAnsi="Arial"/>
          <w:sz w:val="16"/>
          <w:szCs w:val="16"/>
          <w:color w:val="auto"/>
        </w:rPr>
        <w:t xml:space="preserve"> or by calling 1-800-REALESTATE and by the Company's real estate agents' own contacts and referrals. The brokerage recruits agents to join as independent contractors, for whom it then generates leads, with the brokerage retaining a significant share of the gross commission on closed transactions originating from company-generated leads (and a lesser share in the case of agent-generated leads). Tree.com uses both a central agent recruiting group in Charlotte, as well as local recruiting efforts, to identify agents who fit its model and would be willing to join the company. Outside of the 20 markets where the Company maintains an office, third-party brokerage services provided by approximately 150 real estate brokerage firms are also available through </w:t>
      </w:r>
      <w:r>
        <w:rPr>
          <w:rFonts w:ascii="Arial" w:cs="Arial" w:eastAsia="Arial" w:hAnsi="Arial"/>
          <w:sz w:val="16"/>
          <w:szCs w:val="16"/>
          <w:i w:val="1"/>
          <w:iCs w:val="1"/>
          <w:color w:val="auto"/>
        </w:rPr>
        <w:t>www.realestate.com</w:t>
      </w:r>
      <w:r>
        <w:rPr>
          <w:rFonts w:ascii="Arial" w:cs="Arial" w:eastAsia="Arial" w:hAnsi="Arial"/>
          <w:sz w:val="16"/>
          <w:szCs w:val="16"/>
          <w:color w:val="auto"/>
        </w:rPr>
        <w:t xml:space="preserve"> or by calling 1-800-REALESTATE. The Real Estate Business has developed relationships with brokers over the years, and targets prospective companies based on available lead flow by geography, their willingness to work with a lead generation company under Tree.com's terms and conditions, and the belief that such brokerage firms would generate an acceptable closing conversion rate. These third-party brokerage services are available nationwide, as well as in the 20 markets in which RealEstate.com, REALTORS® currently operates. Once the consumer and the real estate professional are matched and agree to work together, the remainder of the transaction is completed locally.</w:t>
      </w:r>
    </w:p>
    <w:p>
      <w:pPr>
        <w:spacing w:after="0" w:line="18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RealEstate.com, REALTORS® business earns revenues through the real estate brokerage commissions it collects in connection with company- and agent-generated transactions. For its third party brokerage referral services, the Real Estate Business also earns revenue from cooperative brokerage fees paid by participating real estate brokerages.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Tree.com's Real Estate Business competes with all real estate brokerages within the RealEstate.com, REALTORS® 20 markets. These brokerages are comprised mainly of traditional real estate companies operating as independent brands or franchisees, as well as non-traditional models, such as salaried-agent, fee-for-service, flat-fee, discount, or rebate commission models, many of which generate leads from the Internet. In addition, the Real Estate Business competes for customers with companies that are not brokerages, such as websites that aggregate real estate broker listings without related services and customer support. Given the downturn in the credit and mortgage markets and the decline in the number of housing transactions, competition in this segment has increased.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Tree.com businesses market and provide services in heavily regulated industries through a number of different online and offline channels across the United States (see "Risk Factors—Compliance and Changing Laws, Rules and Regulations"). As a result, they are subject to a variety of statutes, rules, regulations, policies and procedures in various jurisdictions in the United States, including:</w:t>
      </w:r>
    </w:p>
    <w:p>
      <w:pPr>
        <w:spacing w:after="0" w:line="208" w:lineRule="exact"/>
        <w:rPr>
          <w:sz w:val="20"/>
          <w:szCs w:val="20"/>
          <w:color w:val="auto"/>
        </w:rPr>
      </w:pPr>
    </w:p>
    <w:p>
      <w:pPr>
        <w:ind w:left="1080" w:right="7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amount and nature of fees or interest that may be charged in connection with a loan, in particular, state usury and fee restrictions;</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manner in which consumer loans are marketed and originated, including the making of required consumer disclosures, such as the federal Truth-in-Lending Act, the federal Equal Credit Opportunity Act, the federal Fair Credit Reporting Act, the federal Fair Housing Act, the federal Real Estate Settlement Procedures Act (RESPA), and similar state laws;</w:t>
      </w:r>
    </w:p>
    <w:p>
      <w:pPr>
        <w:spacing w:after="0" w:line="207"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lenders and real estate professionals for providing or obtaining consumer leads, in particular, RESPA;</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consumers for real estate brokerage transactions, including any incentives and rebates, that may be offered to consumers by Tree.com businesses;</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 and in some instances, federal, licensing or registration requirements applicable to both individuals or businesses engaged in the making or brokerage of loans (or certain kinds of loans, such as loans made pursuant to the Federal Housing Act), or the brokering of real estate transactions; and</w:t>
      </w:r>
    </w:p>
    <w:p>
      <w:pPr>
        <w:spacing w:after="0" w:line="207"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 and federal restrictions on the marketing activities conducted by telephone, the mail, by email, or over the internet, including the Telemarketing Sales Rule, state telemarketing laws, federal and state privacy laws, the CAN-SPAM Act, and the Federal Trade Commission Act and its accompanying regulations and guidelines.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December 31, 2009, Tree.com had approximately 700 full-time employees. None of Tree.com's employees are represented under collective bargaining agreements. Tree.com considers its relations with its employees and independent contractors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i w:val="1"/>
          <w:iCs w:val="1"/>
          <w:color w:val="auto"/>
        </w:rPr>
        <w:t xml:space="preserve">Company Website and Public Filings. </w:t>
      </w:r>
      <w:r>
        <w:rPr>
          <w:rFonts w:ascii="Arial" w:cs="Arial" w:eastAsia="Arial" w:hAnsi="Arial"/>
          <w:sz w:val="16"/>
          <w:szCs w:val="16"/>
          <w:color w:val="auto"/>
        </w:rPr>
        <w:t>The Company maintains a website at</w:t>
      </w:r>
      <w:r>
        <w:rPr>
          <w:rFonts w:ascii="Arial" w:cs="Arial" w:eastAsia="Arial" w:hAnsi="Arial"/>
          <w:sz w:val="16"/>
          <w:szCs w:val="16"/>
          <w:i w:val="1"/>
          <w:iCs w:val="1"/>
          <w:color w:val="auto"/>
        </w:rPr>
        <w:t xml:space="preserve"> www.tree.com</w:t>
      </w:r>
      <w:r>
        <w:rPr>
          <w:rFonts w:ascii="Arial" w:cs="Arial" w:eastAsia="Arial" w:hAnsi="Arial"/>
          <w:sz w:val="16"/>
          <w:szCs w:val="16"/>
          <w:color w:val="auto"/>
        </w:rPr>
        <w:t>. None of the information on the Company's website is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 this report, or in any other filings with, or in any information furnished or submitted to, the SEC.</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Company makes available, free of charge through its website, its Annual Reports on Form 10-K, Quarterly Reports on Form 10-Q and Current Reports on Form 8-K (including related amendments) as soon as reasonably practicable after they have been electronically filed with, or furnished to, the SEC.</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The Company's code of business conduct and ethics, which applies to all employees, including all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senior financial officers and directors, is posted on the Company's website at </w:t>
      </w:r>
      <w:r>
        <w:rPr>
          <w:rFonts w:ascii="Arial" w:cs="Arial" w:eastAsia="Arial" w:hAnsi="Arial"/>
          <w:sz w:val="16"/>
          <w:szCs w:val="16"/>
          <w:i w:val="1"/>
          <w:iCs w:val="1"/>
          <w:color w:val="auto"/>
        </w:rPr>
        <w:t>investor-relations.tree.com/governance.cfm</w:t>
      </w:r>
      <w:r>
        <w:rPr>
          <w:rFonts w:ascii="Arial" w:cs="Arial" w:eastAsia="Arial" w:hAnsi="Arial"/>
          <w:sz w:val="16"/>
          <w:szCs w:val="16"/>
          <w:color w:val="auto"/>
        </w:rPr>
        <w:t>. The code of business conduct and ethics complies with Item 406 of SEC Regulation S-K and the rules of The Nasdaq Stock Market. Any amendments to or waivers of the code of business conduct and ethics that are of the type described in Item 406(b) and (d) of Regulation S-K, and any waivers of the code of business conduct and ethics for Tree.com's executive officers, directors or senior financial officers, will also be disclosed on Tree.com's website.</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Annual Report on Form 10-K contains "forward 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the adequacy of our current warehouse lines for our current operations and our ability to operate our LendingTree Loans business at a reduced capacity if we were to lose two of these lines; our belief that we will continue to adjust selling and marketing expenditures generally in relation to revenue producing opportunities and that our selling and marketing efforts will continue to represent a high percentage of our revenues; our Compensation Committee's belief that placing a greater emphasis on incentive arrangements and equity compensation will result in the Company's executives and employees being paid for performance and will better align their incentives with the Company's strategic goals; our belief that we will need to make capital and other expenditures in connection with the development and expansion of our overall operations; and our belief that our sources of liquidity are sufficient to fund our operating needs, including debt requirements, commitments and contingencies and capital and investing commitments for the foreseeable future. These forward-looking statements also include statements related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75"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Actual results could differ materially from those contained in the forward looking statements included in this report for a variety of reasons, including, among others, the risk factors set forth below. Other unknown or unpredictable factors that could also adversely affect Tree.com's business, financial condition and results of operations may arise from time to time. In light of these risks and uncertainties, the forward looking statements discussed in this report may not prove to be accurate. Accordingly, you should not place undue reliance on these forward looking statements, which only reflect the views of Tree.com management as of the date of this report. Tree.com does not undertake to update these forward-looking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Tree.com's business, financial condition and results of operations are subject to certain risks that are described below. The risks and uncertainties described below are not the only ones facing Tree.com. Additional risks and uncertainties not presently known or that are currently deemed immaterial may also impair Tree.com's business, financial condition and results of operations.</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primary and secondary mortgage markets, as well as the economy generally, could materially and adversely affect our business, financial condition and results of operations.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primary and secondary mortgage markets have been experiencing unprecedented and continuing disruption, which has had and is expected to continue to have, an adverse effect on our business, financial condition and results of operations. These conditions, coupled with adverse economic conditions and continuing declines in residential real estate prices generally, have resulted in and are expected to continue to result in decreased consumer demand for the lending and real estate offerings provided by our networks and other businesses. Generally, increases in interest rates adversely affect the ability of the Exchanges and Network Lenders to close loans, while adverse economic trends limit the ability of the Exchanges and Network Lenders to offer home loans other than low margin conforming loans. Likewise, adverse economic trends have reduced, and are expected to continue to reduce, the number of prospective home purchasers and home prices, which adversely affects our Real Estate Business. Our businesses may experience a further decline in demand for their offerings due to decreased consumer demand as a result of the conditions described above now or in the future. Conversely, during periods of robust consumer demand, which are typically associated with decreased interest rates, some Network Lenders may have less incentive to use our networks, or in the case of sudden increases in consumer demand, our Network Lenders may lack the ability to support sudden increases in volume. Prolonged declines in demand for offerings of our businesses could have a material adverse effect on our business, financial condition and results of operations.</w:t>
      </w:r>
    </w:p>
    <w:p>
      <w:pPr>
        <w:spacing w:after="0" w:line="18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secondary mortgage markets have also been experiencing unprecedented and continued disruptions resulting from reduced investor demand for mortgage loans and mortgage-backed securities and increased investor yield requirements for those loans and securities. These conditions may continue for a prolonged period of time or worsen in the future. LendingTree Loans/Home Loan Center, Inc. ("HLC") does not have the capital resources or credit necessary to retain the loans it funds and closes and, as a result, sells substantially all such loans within 30 days of funding as discussed above. Accordingly, a prolonged period of secondary market illiquidity may force LendingTree Loans to significantly reduce the volume of loans that it originates and funds, which could have an adverse effect on our business, financial condition and results of operations.</w:t>
      </w:r>
    </w:p>
    <w:p>
      <w:pPr>
        <w:spacing w:after="0" w:line="174"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These disruptions and volatility in the capital and credit markets have resulted in rapid and steep declines in prevailing stock prices, particularly in the financial services sector, as well as downward pressure on credit availability. These adverse conditions adversely affect our Network Lenders, secondary market purchasers, and third-party real estate professionals, and may render them unwilling or unable to continue business relationships with us. If current levels of market disruption and volatility continue or worsen, there can be no assurance that we will not experience an adverse effect on our business relationships and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and Trends—Difficult market conditions have adversely affected our industry.</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Declines in the housing market over the past year, with falling home prices and increasing foreclosures, unemployment and under-employment, have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spreading to other asset-backed securities, credit default swaps and other derivative and cash securities, in turn, have caused many financial institutions to seek additional capital, to merge with larger and stronger institutions and, in some cases, to fail.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Reflecting concern about the stability of the financial markets generally and the strength of counterparties, many lenders and institutional investors have reduced or ceased providing funding to borrowers, including to other financial institutions. This market turmoil and tightening of credit have led to an increased level of commercial and consumer delinquencies, lack of consumer confidence, increased market volatility and widespread reduction of business activity generally. The resulting economic pressure on consumers and lack of confidence in the financial markets may have an adverse effect on our business, financial condition and results of operations.</w:t>
      </w:r>
    </w:p>
    <w:p>
      <w:pPr>
        <w:spacing w:after="0" w:line="197"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We do not expect that the difficult conditions in the financial markets will likely improve materially in the near future. A worsening of these conditions would likely exacerbate the adverse effects of these difficult market conditions on us and others in the financial services industry.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led to market-wide liquidity problems and could lead to losses or defaults by us or by other institutions. Any such losses or defaults could have an adverse effect on our business, financial condition and results of operations.</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LendingTree Loans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7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2009, LendingTree Loans had three committed lines of credit totaling $175 million of borrowing capacity. On February 15, 2010, one of the lines was amended to reduce the borrowing capacity by $10 million. Borrowings under these lines of credit are used to fund, and are secured by, consumer residential loans that are held for sale. Loans under these lines of credit are repaid using proceeds from the sales of loans held for sale by LendingTree Loans. At December 31, 2009, there was $78.5 million outstanding under the committed lines of credit.</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$40.0 million first line is with a lender that is exiting the warehouse lending business, and it expires on June 30, 2010. No advances under the warehouse line may be requested or funded after May 31, 2010. The interest rate under this line is LIBOR plus 3.00%. We do not expect this line to be renewed after June 30, 2010. The Company has anticipated that decision and has factored it into the future liquidity needs.</w:t>
      </w:r>
    </w:p>
    <w:p>
      <w:pPr>
        <w:spacing w:after="0" w:line="161" w:lineRule="exact"/>
        <w:rPr>
          <w:sz w:val="20"/>
          <w:szCs w:val="20"/>
          <w:color w:val="auto"/>
        </w:rPr>
      </w:pPr>
    </w:p>
    <w:p>
      <w:pPr>
        <w:jc w:val="both"/>
        <w:ind w:right="60" w:firstLine="348"/>
        <w:spacing w:after="0" w:line="294" w:lineRule="auto"/>
        <w:rPr>
          <w:sz w:val="20"/>
          <w:szCs w:val="20"/>
          <w:color w:val="auto"/>
        </w:rPr>
      </w:pPr>
      <w:r>
        <w:rPr>
          <w:rFonts w:ascii="Arial" w:cs="Arial" w:eastAsia="Arial" w:hAnsi="Arial"/>
          <w:sz w:val="16"/>
          <w:szCs w:val="16"/>
          <w:color w:val="auto"/>
        </w:rPr>
        <w:t>The $50 million second line is scheduled to expire on April 30, 2010, but can be cancelled at the option of the lender without default upon sixty days notice. This second line includes an additional uncommitted credit facility of $75 million. This second line is also guaranteed by Tree.com, Inc., Lending Tree, LLC and Lending Tree Holdings Corp. The interest rate under the second line is 2.25% plus the greater of (a) the 30-day LIBOR or (b) 2.00%. The interest rate under the $75 million uncommitted line is 30-day LIBOR plus 1.50%. LendingTree Loans is also required to sell at least 50% of the loans it originates to an affiliate of the lender under this line or pay a "pair-off fee" of 0.375% on the difference between the required and actual volume of loans sold.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$75 million third line is scheduled to expire on October 29, 2010. The interest rate under this line is 30-day LIBOR or 2.0% (whichever is greater) plus 2.50% for loans being sold to the lender and 30-day LIBOR or 2.0% (whichever is greater) plus 2.75% for loans not being sold to the lender.</w:t>
      </w:r>
    </w:p>
    <w:p>
      <w:pPr>
        <w:spacing w:after="0" w:line="139"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Although we believe that our existing lines of credit are adequate for our current operations, further reductions in our available credit, or the inability to renew or replace these lines, could have an adverse effect on our business, financial condition and results of operations. LendingTree Loans attempts to mitigate the impact of current conditions and future credit market disruptions by 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LendingTree Loans to operate at profitable levels. Because LendingTree Loans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Adverse Events and Trends—Our financial results fluctuate as a result of seasonality, which may make it difficult to predict our future performance and may affect our common stock price.</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business is generally subject to seasonal trends. These trends reflect the general patterns of housing sales, which typically peak in the spring and summer seasons. As a result, our quarterly operating results may fluctuate, which may negatively impact the price of our common stock.</w:t>
      </w:r>
    </w:p>
    <w:p>
      <w:pPr>
        <w:spacing w:after="0" w:line="13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Contingent Liabilities—Litigation and Indemnification of Secondary Market Purchasers—Litigation and indemnification of secondary market purchasers could have a material adverse effect on our business, financial condition, results of operations and liquidity.</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sale of loans to secondary market purchasers, HLC makes certain representations regarding related borrower credit information, loan documentation and collateral. To the extent that these representations are incorrect, HLC may be required to repurchase loans or indemnify secondary market purchasers for losses due to borrower defaults. While HLC seeks to ensure that loans it originates comply with these representations, secondary market purchasers may take a contrary position. In connection with the sale of loans to secondary market purchasers, HLC also agrees to repurchase loans or indemnify secondary market purchasers for losses due to early payment defaults (</w:t>
      </w:r>
      <w:r>
        <w:rPr>
          <w:rFonts w:ascii="Arial" w:cs="Arial" w:eastAsia="Arial" w:hAnsi="Arial"/>
          <w:sz w:val="16"/>
          <w:szCs w:val="16"/>
          <w:i w:val="1"/>
          <w:iCs w:val="1"/>
          <w:color w:val="auto"/>
        </w:rPr>
        <w:t>i.e.,</w:t>
      </w:r>
      <w:r>
        <w:rPr>
          <w:rFonts w:ascii="Arial" w:cs="Arial" w:eastAsia="Arial" w:hAnsi="Arial"/>
          <w:sz w:val="16"/>
          <w:szCs w:val="16"/>
          <w:color w:val="auto"/>
        </w:rPr>
        <w:t xml:space="preserve"> late payments during a limited time period immediately following HLC's origination of the loan). In connection with the sale of a majority of its loans to secondary market purchasers, HLC also agrees to repay all or a portion of the initial premiums paid by secondary market purchasers in instances where the borrower prepays the loan within a specified period of time. HLC has made payments for these liabilities in the past and expects to make payments for these in the future.</w:t>
      </w:r>
    </w:p>
    <w:p>
      <w:pPr>
        <w:spacing w:after="0" w:line="17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Third-Party Relationships—We depend on relationships with Network Lenders, real estate professionals, credit providers and secondary market investors and any adverse changes in these relationships could adversely affect our business, financial condition and results of operations.</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success depends, in significant part, on the quality and pricing of services provided by, and/or the continued financial stability of, Network Lenders and real estate professionals participating on our networks, credit providers and secondary market investors. Network Lenders or real estate professionals could, for any reason, cease participating on the networks operated by (or otherwise choose not to enter into relationships with) our businesses, fail to pay matching and/or closing fees when due and/or cease providing quality services on competitive terms. In addition, credit providers and/or secondary market investors could, for any reason, choose not to make credit available to (or otherwise enter into relationships with) HLC, and in the case of secondary market investors only, cease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purchasing loans from HLC. In particular, revenues attributable to purchases of loans by two such entities, Bank of America and Wells Fargo, represented approximately 25% and 13%, respectively, of our consolidated revenues in 2009. The occurrence of one of more of these events with a significant number of Network Lenders, real estate professionals, credit providers and/or secondary market investors could, alone or in combination, have a material adverse effect on our business, financial condition and results of operations.</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Network Security—A breach of our network security or the misappropriation or misuse of personal consumer information may have an adverse impact on our business, financial condition and results of operations.</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Any penetration of network security or other misappropriation or misuse of personal consumer information maintained by us could cause interruptions in the operations of our businesses and subject us to increased costs, litigation and other liabilities. Claims could also be made against us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In that regard, on April 21, 2008, we announced that several mortgage companies had gained unauthorized access to LendingTree's customer information database and had used the information to solicit mortgage loans directly from our customers. We promptly reported the situation to the Federal Bureau of Investigation and have been cooperating fully with the FBI's investigation. While LendingTree does not believe this situation resulted in any fraud on the consumer or identity theft, LendingTree notified affected consumers as required by applicable law. Notwithstanding the foregoing, following our announcement, several putative class action lawsuits were filed against LendingTree, seeking to recover damages for consumers allegedly injured by this incident (see Part II, Item 1 above).</w:t>
      </w:r>
    </w:p>
    <w:p>
      <w:pPr>
        <w:spacing w:after="0" w:line="174"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in the case of any financial services company, 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Failure to Provide Competitive Service—Network Lenders and real estate professionals may not provide competitive levels of service to consumers, which could adversely affect our brands and businesses and their ability to attract consumers.</w:t>
      </w:r>
    </w:p>
    <w:p>
      <w:pPr>
        <w:spacing w:after="0" w:line="186"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ability of our businesses to provide consumers with a high-quality experience depends, in part, on consumers receiving competitive levels of convenience, customer service, price and responsiveness from Network Lenders and real estate professionals with whom they are matched through our networks. If Network Lenders and real estate professionals do not provide consumers with competitive levels of convenience, customer service, price and responsiveness, the value of our various brands may be harmed, the ability of our businesses to attract consumers to our websites may be limited and the number of consumers ultimately matched through our networks may decline, which could have a material adverse effect on our business, financial condition and results of operations.</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Brand Recognition—Failure to maintain brand recognition and attract and retain customers in a cost-effective manner could adversely affect our business, financial condition and results of operations.</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order to attract visitors to their websites, convert these visitors into paying customers and capture repeat business from existing customers, our businesses must promote and maintain their various brands successfully, which involves the expenditure of considerable money and resources for online and offline advertising, marketing and related efforts, as well as the continued provision and introduction of high-quality products and services.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continuing to build and maintain the recognition of our various brands is critical to achieving increased demand for the services provided by our businesses, given that brand recognition is a key differentiating factor among providers of online services. Accordingly, we have spent, and expect to continue to spend, significant amounts of money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could adversely affect our business, financial condition and results of operations.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Lastly, publicity from legal proceedings against us or our businesses, particularly governmental proceedings, consumer class action litigation or the disclosure of information security breaches, could negatively impact our various brands, which could adversely affect our business, financial condition and results of operations.</w:t>
      </w:r>
    </w:p>
    <w:p>
      <w:pPr>
        <w:spacing w:after="0" w:line="19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Technology—We depend on search engines and other online sources to attract visitors to our websites, and if we are unable to attract these visitors and convert them into customers in a cost-effective manner, our business and financial results may be harmed.</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will result in the inclusion of our listing, and algorithmic searches that depend upon the searchable content on our sites. Search engines and other online sources revise their algorithms from time to time in an attempt to optimize their search results.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one or more of the search engines or other online sources on which we rely for website traffic were to modify its general methodology for how it displays our websites, resulting in fewer consumers clicking through to our websites, our business, financial condition and results of operations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7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b w:val="1"/>
          <w:bCs w:val="1"/>
          <w:i w:val="1"/>
          <w:iCs w:val="1"/>
          <w:color w:val="auto"/>
        </w:rPr>
        <w:t>Technology—If we are unable to continually enhance our products and services and adapt them to technological changes and customer needs, including the emergence of new computing devices and more sophisticated online services, we may lose market share and revenue and our business could suffer.</w:t>
      </w:r>
    </w:p>
    <w:p>
      <w:pPr>
        <w:spacing w:after="0" w:line="116"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We need to anticipate, develop and introduce new products, services and applications on a timely and cost-effective basis that keeps pace with technological developments and changing customer needs. For example, the number of individuals who access the internet through devices other than a personal computer, such as personal digital assistants, mobile telephones, televisions and set-top box devices, has increased significantly, and this trend is likely to continue. Our websites were designed for rich, graphical environments such as those available on desktop and laptop computers. The lower resolution, functionality and memory associated with alternative devices currently available may make the access and use of our websites through such devices difficult. Because each manufacturer or distributor may establish unique technical standards for its devices, our websites may not be functional or viewable on these devices. Additionally, new devices and new platforms are continually being released. Accordingly, it is difficult to predict the problems we may encounter in improving our websites' functionality with these alternative devices, and we may need to devote significant resources to the improvement, support and maintenance of our websites. If we fail to develop our websites to respond to these or other technological developments and changing customer needs cost effectively, we may lose market share, which could adversely affect our business, financial condition and 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Third-Party Relationships Are Not Exclusive—Network Lenders and real estate professionals affiliated with our networks are not precluded from offering products and services outside of our networks.</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Because our businesses do not have exclusive relationships with Network Lenders and real estate professionals, consumers may obtain loans and real estate offerings directly from these third-party service providers without having to use our networks. Network Lenders can offer loans (and real estate professionals can offer services) directly to consumers through marketing campaigns or other traditional methods of distribution, such as referral arrangements, brick and mortar operations or, in the case of lending, broker agreements. Network Lenders and real estate professionals can also offer loans and services to prospective customers online directly, through one or more online competitors of our businesses, or both. If a significant number of consumers seek loans and services directly from Network Lenders and real estate professionals as opposed to through our networks, our business, financial condition and results of operations would be adversely affected.</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Compliance and Changing Laws, Rules and Regulations—Failure to comply with existing or evolving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failure of our businesses to comply with existing laws, rules and regulations, or to obtain required licenses, could result in administrative fines and/or proceedings against us or our businesses by governmental agencies and/or litigation by consumers, which could adversely affect our business, financial condition and results of operations. Our businesses market and provide services in heavily regulated industries through a number of different online and offline channels across the United States. As a result, our businesses are subject to a variety of statutes, rules, regulations, policies and procedures in various jurisdictions in the United States, which are subject to change at any time.</w:t>
      </w:r>
    </w:p>
    <w:p>
      <w:pPr>
        <w:spacing w:after="0" w:line="170"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and the Federal Trade Commission Act and its accompanying regulations and guidelines, among others. While we believe that the practices of our businesses have been structured in a manner to ensure compliance with these laws and regulations, federal or state regulatory authorities may take a contrary position.</w:t>
      </w:r>
    </w:p>
    <w:p>
      <w:pPr>
        <w:spacing w:after="0" w:line="197"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Additional federal, state and in some instances, local, laws regulate residential lending and real estate brokerage activities in particular. These laws generally regulate the manner in which lending, lending-related and real estate brokerage activities are marketed or made available, including advertising and other consumer disclosures, payments for services and record keeping requirements; these laws include the Real Estate Settlement Procedures Act ("RESPA"), the Fair Credit Reporting Act, the Truth in Lending Act, the Equal Credit Opportunity Act, the Fair Housing Act and various state laws. In addition, state laws often restrict the amount of interest and fees that may be charged by a lender or mortgage broker, or otherwise regulate the manner in which lenders or mortgage brokers operate or advertise. Furthermore, Congress, many state legislatures and state agencies are proposing, or have recently implemented, additional restrictions on mortgage lending practices. Compliance with these new requirements may render it more difficult to operate or may raise our internal costs. Failure to comply with applicable laws and regulatory requirements may result in, among other things, revocation of required licenses or registrations, loss of approval status, termination of contracts without compensation, administrative enforcement actions and fines, class action lawsuits, cease and desist orders and civil and criminal liability. While we believe that our businesses have been structured in such a way so as to comply with existing and new laws, the relevant regulatory authorities may take a contrary position or future legislation may adversely affect our business, financial condition and results of operations.</w:t>
      </w:r>
    </w:p>
    <w:p>
      <w:pPr>
        <w:spacing w:after="0" w:line="18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172"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that jurisdiction. The withdrawal from any jurisdiction due to emerging legal requirements could adversely affect our business, financial condition and results of operations.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 Although we believe that our businesses have been structured in such a way so as to comply with RESPA, the relevant regulatory agency may take a contrary position.</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Real Estate Business is subject to rules and regulations of various real estate boards, as well as the rules of various non-governmental associations and organizations, including but, not limited to, local and regional Multiple Listing Services that provide real estate listing data. Our Real Estate Business is dependent on real estate listing data made available through Multiple Listing Services and other sources. While we believe that our Real Estate Business is structured to comply with these rules and regulations, the relevant organization may take a contrary position, which could adversely affect our business, financial condition and results of operations.</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some states have regulations that prohibit real estate brokers from providing consumers with rebates or other incentives in connection with real estate transactions. Additional states could promulgate similar regulations or interpret existing regulations in a way that limits the ability of online networks to offer consumer incentives in connection with real estate transactions, thereby limiting the attractiveness of real estate brokerage activities offered by our Real Estate Business.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Federal, state and in some instances, local, laws also prohibit unfair and deceptive sales practices generally. While we have adopted appropriate policies and procedures to address these requirements (such as appropriate consumer disclosures and call scripting, call monitoring, and other quality assurance and compliance measures), employees do not always comply with policies and procedures, and therefore, liability and brand injury could result from such employee misconduct.</w:t>
      </w:r>
    </w:p>
    <w:p>
      <w:pPr>
        <w:spacing w:after="0" w:line="197"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As employers, our businesses are subject to federal and state employment laws. In particular, the Fair Labor Standards Act and California wage and hour laws govern the treatment of "non-exempt" employees, which may include loan officers, underwriters, and loan processors at Home Loan Center, Inc. Failure to comply with applicable employment laws may result in, among other things, administrative fines, class action lawsuits, damages awards and injunctions, any of which could adversely affect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Parties through which our businesses conduct business similarly may be subject to federal and state regulation. These parties typically act as independent contractors and not as agents in their solicitations and transactions with consumers. Consequently, we cannot ensure that these entities will comply with applicable laws and regulations at all times. Failure on the part of a lender, secondary market purchaser, real estate professional, website operator or other third party to comply with these laws or regulations could result in, among other things, claims of vicarious liability or a negative impact on the reputation of Tree.com and its businesses. The occurrence of one or more of these events could have an adverse effect on our business, financial condition and results of operations.</w:t>
      </w:r>
    </w:p>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Third Party Compliance—If Network Lenders fail to produce required documents for examination by, or other affiliated parties fail to make certain filings with, state regulators, Tree.com may be subject to fines, forfeitures and the revocation of required licenses.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businesses' licenses to operate in key states, which could have a material adverse affect on our business, financial condition and results of operations.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our businesses may be unable to obtain a license, and existing licensing arrangements may be jeopardized. The inability to obtain, or the loss of, required licenses could have a material adverse effect on our business, financial condition and results of operations.</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Maintenance of Systems and Infrastructure—Our success depends, in part, on the integrity of our systems and infrastructures. System interruption and the lack of integration and redundancy in these systems and infrastructures may have an adverse impact on our business, financial condition and results of operations.</w:t>
      </w:r>
    </w:p>
    <w:p>
      <w:pPr>
        <w:spacing w:after="0" w:line="194"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In addition, any penetration of network security or other misappropriation or misuse of personal consumer information could cause interruptions in the operations of our businesses and subject us to increased costs, litigation and other liabilities. Claims could also be made against us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It is possible that advances in computer capabilities, new discoveries, undetected fraud, inadvertent violations of company policies or procedures or other developments could result in a compromise of information or a breach of the technology and security processes that are used to protect consumer transaction data. As a result, current security measures may not prevent any or all security breaches. 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Any publicized security problems affecting our businesses and/or those of third parties may discourage consumers from doing business with us, which could have an adverse effect on our business, financial condition and results of operations.</w:t>
      </w:r>
    </w:p>
    <w:p>
      <w:pPr>
        <w:spacing w:after="0" w:line="1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Privacy—The processing, storage, use and disclosure of personal data could give rise to liabilities as a result of governmental regulation, conflicting legal requirements or differing views of personal privacy rights.</w:t>
      </w:r>
    </w:p>
    <w:p>
      <w:pPr>
        <w:spacing w:after="0" w:line="186"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In the processing of consumer transactions, our businesses receive, transmit and store a large volume of personally identifiable information and other user data. The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15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businesses may also become exposed to potential liabilities as a result of differing views on the privacy of consumer and other user data collected by these businesses. Our failure, and/or the failure by the various third party vendors and service providers with which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adversely affect our business, financial condition and results of operations.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Intellectual Property—We may fail to adequately protect our intellectual property rights or may be accused of infringing intellectual property rights of third parties.</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may fail to adequately protect our intellectual property rights or may be accused of infringing intellectual property rights of third parties. 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be possible for a third party to copy or otherwise obtain and use trade secret or copyrighted intellectual property without authorization which, if discovered, might require legal action to correct. In addition, third parties may independently and lawfully develop substantially similar intellectual properties.</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17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Some of our businesses have been granted patents and/or have patent applications pending with the United States Patent and Trademark Office and/or various foreign patent authorities for various proprietary technologies and other inventions. We consider applying for patents or for other appropriate statutory protection when we develop valuable new or improved proprietary technologies or inventions are identified, and will continue to consider the appropriateness of filing for patents to protect future proprietary technologies and inventions as circumstances may warrant.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 new products or methods that achieve similar results without infringing upon patents that we own. Likewise, the issuance of a patent to us does not mean that our processes or inventions will be found not to infringe upon patents or other rights previously issued to third parties.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From time to time, in the ordinary course of business we are subjected to legal proceedings and claims, or threatened legal proceedings or 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 as evidenced by the patent litigation settlements the Company announced in the first quarter of 2010.</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spin-off agreements we entered into with IAC were not the result of arm's length negotiations. In addition, the tax sharing agreement restricts our ability to enter into certain transactions that might otherwise be beneficial to us and our stockholders.</w:t>
      </w:r>
    </w:p>
    <w:p>
      <w:pPr>
        <w:spacing w:after="0" w:line="186"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agreements that we entered into with IAC in connection with the spin-off, including the separation and distribution agreement, tax sharing agreement, employee matters agreement and transition services agreement, were established by IAC. Accordingly, the terms for us may not be as favorable as would have resulted from negotiations among unrelated third parties.</w:t>
      </w:r>
    </w:p>
    <w:p>
      <w:pPr>
        <w:spacing w:after="0" w:line="194"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 tax sharing agreement with IAC restricts our ability to enter into certain transactions that might be advantageous to us and our stockholders. In particular, the tax sharing agreement limits our ability to sell or dispose of certain assets, engage in certain merger and acquisition transactions,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voluntarily dissolve or liquidate or engage in certain consolidation or reorganization transactions until at least 24 months after our spin-off from IAC.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The market price for our common stock has been volatile since our spin-off. This volatility has likely been exacerbated by recent market instability. The market price for our common stock could continue to fluctuate significantly for many reasons, including the risks identified herein or reasons unrelated to our performance. These factors may result in short or long-term negative pressure on the value of our common stock.</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Tree.com's principal executive offices, together with certain personnel and operations of its Exchanges and Real Estate businesses, are currently located in approximately 38,000 square feet of office space in Charlotte, North Carolina, approximately 3,000 square feet of office space in New York, New York, and approximately 3,000 square feet of office space in Pasadena, California, under leases that expire through 2015. The operations of LendingTree Loans are currently located in approximately 95,000 square feet of office space in Irvine, California under a lease expiring in 2014. In addition, Real Estate has 28 offices located throughout the United States under leases that expire through 2013.</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ordinary course of business, the Company and its subsidiaries are parties to litigation involving property, contract, intellectual property and a variety of other claims. The amounts that may be recovered in such matters may be subject to insurance coverage.</w:t>
      </w:r>
    </w:p>
    <w:p>
      <w:pPr>
        <w:spacing w:after="0" w:line="186"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Rules of the Securities and Exchange Commission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exceeding 10% of the current assets of the registrant and its subsidiaries on a consolidated basis. In the judgment of management, none of the pending litigation matters which the Company and its subsidiaries are defending, including those described below, involves or is likely to involve amounts of that magnitude. The litigation matters described below involve issues or claims that may be of particular interest to the Company's shareholders, regardless of whether any of these matters may be material to the financial position or operations of the Company based upon the standard set forth in the SEC's 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Privacy/Information Security Litigation</w:t>
      </w:r>
    </w:p>
    <w:p>
      <w:pPr>
        <w:spacing w:after="0" w:line="231" w:lineRule="exact"/>
        <w:rPr>
          <w:sz w:val="20"/>
          <w:szCs w:val="20"/>
          <w:color w:val="auto"/>
        </w:rPr>
      </w:pPr>
    </w:p>
    <w:p>
      <w:pPr>
        <w:jc w:val="both"/>
        <w:ind w:right="220" w:firstLine="351"/>
        <w:spacing w:after="0" w:line="303" w:lineRule="auto"/>
        <w:rPr>
          <w:sz w:val="20"/>
          <w:szCs w:val="20"/>
          <w:color w:val="auto"/>
        </w:rPr>
      </w:pPr>
      <w:r>
        <w:rPr>
          <w:rFonts w:ascii="Arial" w:cs="Arial" w:eastAsia="Arial" w:hAnsi="Arial"/>
          <w:sz w:val="15"/>
          <w:szCs w:val="15"/>
          <w:b w:val="1"/>
          <w:bCs w:val="1"/>
          <w:i w:val="1"/>
          <w:iCs w:val="1"/>
          <w:color w:val="auto"/>
        </w:rPr>
        <w:t>Constance Spinozzi v. LendingTree, LLC, No. 3:08-cv-229 (U.S. Dist. Ct., W.D.N.C.); Sylvia Carson v. LendingTree, LLC, No. 3:08-cv-247 (U.S. Dist. Ct., W.D.N.C.); Mitchell v. Home Loan Center, Inc., No. 08-303-RJC (U.S. Dist. Ct., W.D. N.C.); Miller v. LendingTree, LLC, No. 08cv2300 (U.S. Dist. Ct., N.D. Ill.); Marvin Garcia v. LendingTree, LLC, No. 08 Civ. 4551 (U.S. Dist. Ct., S.D.N.Y.); Amy Bercaw v. LendingTree, LLC, No. SACV08-660 (U.S. Dist.</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i w:val="1"/>
          <w:iCs w:val="1"/>
          <w:color w:val="auto"/>
        </w:rPr>
        <w:t xml:space="preserve">Ct., C.D. Cal.); Shaver v. LendingTree, LLC, et al., SACV08-755 (U.S. Dist. Ct. C.D. Cal.); and Bradley v. LendingTree, LLC, et al., SACV08-755 (U.S. Dist. Ct. C.D. Cal.). </w:t>
      </w:r>
      <w:r>
        <w:rPr>
          <w:rFonts w:ascii="Arial" w:cs="Arial" w:eastAsia="Arial" w:hAnsi="Arial"/>
          <w:sz w:val="16"/>
          <w:szCs w:val="16"/>
          <w:color w:val="auto"/>
        </w:rPr>
        <w:t>The foregoing putative class actions arise out of LendingTree's April 21, 2008 announcement that unauthorized persons had gained access to non-public information relating to its customers. Plaintiffs allege that LendingTree is a "consumer reporting agency" within the meaning of the federal Fair Credit Reporting Act ("FCRA") and has violated the FCRA by failing to maintain reasonable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procedures designed to limit the furnishing of consumer reports. Plaintiff also asserts claims for negligence, breach of implied contract, invasion of privacy and misappropriation of confidential information. Plaintiffs purport to represent all LendingTree customers affected by the information security breach, and seek damages, attorneys' fees and injunctive relief. The cases were transferred for consistent pre-trial treatment into </w:t>
      </w:r>
      <w:r>
        <w:rPr>
          <w:rFonts w:ascii="Arial" w:cs="Arial" w:eastAsia="Arial" w:hAnsi="Arial"/>
          <w:sz w:val="18"/>
          <w:szCs w:val="18"/>
          <w:i w:val="1"/>
          <w:iCs w:val="1"/>
          <w:color w:val="auto"/>
        </w:rPr>
        <w:t>In re LendingTree, LLC Customer Data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Breach Litigation </w:t>
      </w:r>
      <w:r>
        <w:rPr>
          <w:rFonts w:ascii="Arial" w:cs="Arial" w:eastAsia="Arial" w:hAnsi="Arial"/>
          <w:sz w:val="18"/>
          <w:szCs w:val="18"/>
          <w:color w:val="auto"/>
        </w:rPr>
        <w:t>in the Western District of NC Charlotte Division, and the court ordered each case to individual arbitration. The</w:t>
      </w:r>
      <w:r>
        <w:rPr>
          <w:rFonts w:ascii="Arial" w:cs="Arial" w:eastAsia="Arial" w:hAnsi="Arial"/>
          <w:sz w:val="18"/>
          <w:szCs w:val="18"/>
          <w:i w:val="1"/>
          <w:iCs w:val="1"/>
          <w:color w:val="auto"/>
        </w:rPr>
        <w:t xml:space="preserve"> Carson </w:t>
      </w:r>
      <w:r>
        <w:rPr>
          <w:rFonts w:ascii="Arial" w:cs="Arial" w:eastAsia="Arial" w:hAnsi="Arial"/>
          <w:sz w:val="18"/>
          <w:szCs w:val="18"/>
          <w:color w:val="auto"/>
        </w:rPr>
        <w:t>case is proceeding on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(non-class)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Carolina Mortgage Broker Litigation</w:t>
      </w:r>
    </w:p>
    <w:p>
      <w:pPr>
        <w:spacing w:after="0" w:line="225" w:lineRule="exact"/>
        <w:rPr>
          <w:sz w:val="20"/>
          <w:szCs w:val="20"/>
          <w:color w:val="auto"/>
        </w:rPr>
      </w:pPr>
    </w:p>
    <w:p>
      <w:pPr>
        <w:jc w:val="both"/>
        <w:ind w:right="60" w:firstLine="351"/>
        <w:spacing w:after="0" w:line="309" w:lineRule="auto"/>
        <w:rPr>
          <w:sz w:val="20"/>
          <w:szCs w:val="20"/>
          <w:color w:val="auto"/>
        </w:rPr>
      </w:pPr>
      <w:r>
        <w:rPr>
          <w:rFonts w:ascii="Arial" w:cs="Arial" w:eastAsia="Arial" w:hAnsi="Arial"/>
          <w:sz w:val="15"/>
          <w:szCs w:val="15"/>
          <w:b w:val="1"/>
          <w:bCs w:val="1"/>
          <w:i w:val="1"/>
          <w:iCs w:val="1"/>
          <w:color w:val="auto"/>
        </w:rPr>
        <w:t xml:space="preserve">Adams v. LendingTree, </w:t>
      </w:r>
      <w:r>
        <w:rPr>
          <w:rFonts w:ascii="Arial" w:cs="Arial" w:eastAsia="Arial" w:hAnsi="Arial"/>
          <w:sz w:val="15"/>
          <w:szCs w:val="15"/>
          <w:b w:val="1"/>
          <w:bCs w:val="1"/>
          <w:color w:val="auto"/>
        </w:rPr>
        <w:t>No. 2008-CP-04-03021 (S.C. Common Pleas, 10th Judicial Cir. filed Sept. 9, 2008), No. 8:08-cv-03496-HFF (removed Oct. 15,</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 xml:space="preserve">2008); </w:t>
      </w:r>
      <w:r>
        <w:rPr>
          <w:rFonts w:ascii="Arial" w:cs="Arial" w:eastAsia="Arial" w:hAnsi="Arial"/>
          <w:sz w:val="15"/>
          <w:szCs w:val="15"/>
          <w:b w:val="1"/>
          <w:bCs w:val="1"/>
          <w:i w:val="1"/>
          <w:iCs w:val="1"/>
          <w:color w:val="auto"/>
        </w:rPr>
        <w:t>Ariail v. LendingTree</w:t>
      </w:r>
      <w:r>
        <w:rPr>
          <w:rFonts w:ascii="Arial" w:cs="Arial" w:eastAsia="Arial" w:hAnsi="Arial"/>
          <w:sz w:val="15"/>
          <w:szCs w:val="15"/>
          <w:b w:val="1"/>
          <w:bCs w:val="1"/>
          <w:color w:val="auto"/>
        </w:rPr>
        <w:t>, No. 2008-CP-23-5834 (S.C. Common Pleas, 13th Judicial Cir. filed Aug. 1, 2008), No. 6:08-cv-03044-HFF (removed Sept. 3,</w:t>
      </w:r>
    </w:p>
    <w:p>
      <w:pPr>
        <w:ind w:right="60"/>
        <w:spacing w:after="0" w:line="281" w:lineRule="auto"/>
        <w:rPr>
          <w:sz w:val="20"/>
          <w:szCs w:val="20"/>
          <w:color w:val="auto"/>
        </w:rPr>
      </w:pPr>
      <w:r>
        <w:rPr>
          <w:rFonts w:ascii="Arial" w:cs="Arial" w:eastAsia="Arial" w:hAnsi="Arial"/>
          <w:sz w:val="16"/>
          <w:szCs w:val="16"/>
          <w:b w:val="1"/>
          <w:bCs w:val="1"/>
          <w:color w:val="auto"/>
        </w:rPr>
        <w:t xml:space="preserve">2008); </w:t>
      </w:r>
      <w:r>
        <w:rPr>
          <w:rFonts w:ascii="Arial" w:cs="Arial" w:eastAsia="Arial" w:hAnsi="Arial"/>
          <w:sz w:val="16"/>
          <w:szCs w:val="16"/>
          <w:b w:val="1"/>
          <w:bCs w:val="1"/>
          <w:i w:val="1"/>
          <w:iCs w:val="1"/>
          <w:color w:val="auto"/>
        </w:rPr>
        <w:t>Brackett v. LendingTree,</w:t>
      </w:r>
      <w:r>
        <w:rPr>
          <w:rFonts w:ascii="Arial" w:cs="Arial" w:eastAsia="Arial" w:hAnsi="Arial"/>
          <w:sz w:val="16"/>
          <w:szCs w:val="16"/>
          <w:b w:val="1"/>
          <w:bCs w:val="1"/>
          <w:color w:val="auto"/>
        </w:rPr>
        <w:t xml:space="preserve"> No. 2008-CP-46-3450 (S.C. Common Pleas, 16th Judicial Cir. filed Sept. 4, 2008), No. 0:08-cv-03504-HFF (removed Oct. 15, 2008); </w:t>
      </w:r>
      <w:r>
        <w:rPr>
          <w:rFonts w:ascii="Arial" w:cs="Arial" w:eastAsia="Arial" w:hAnsi="Arial"/>
          <w:sz w:val="16"/>
          <w:szCs w:val="16"/>
          <w:b w:val="1"/>
          <w:bCs w:val="1"/>
          <w:i w:val="1"/>
          <w:iCs w:val="1"/>
          <w:color w:val="auto"/>
        </w:rPr>
        <w:t>Clements v. LendingTree,</w:t>
      </w:r>
      <w:r>
        <w:rPr>
          <w:rFonts w:ascii="Arial" w:cs="Arial" w:eastAsia="Arial" w:hAnsi="Arial"/>
          <w:sz w:val="16"/>
          <w:szCs w:val="16"/>
          <w:b w:val="1"/>
          <w:bCs w:val="1"/>
          <w:color w:val="auto"/>
        </w:rPr>
        <w:t xml:space="preserve"> No. 2008-CP-21-1730 (S.C. Common Pleas, 12th Judicial Cir. filed Sept. 4, 2008), No. 4:08-cv-03508-HFF (removed Oct. 15, 2008); </w:t>
      </w:r>
      <w:r>
        <w:rPr>
          <w:rFonts w:ascii="Arial" w:cs="Arial" w:eastAsia="Arial" w:hAnsi="Arial"/>
          <w:sz w:val="16"/>
          <w:szCs w:val="16"/>
          <w:b w:val="1"/>
          <w:bCs w:val="1"/>
          <w:i w:val="1"/>
          <w:iCs w:val="1"/>
          <w:color w:val="auto"/>
        </w:rPr>
        <w:t>Gowdy v. LendingTree,</w:t>
      </w:r>
      <w:r>
        <w:rPr>
          <w:rFonts w:ascii="Arial" w:cs="Arial" w:eastAsia="Arial" w:hAnsi="Arial"/>
          <w:sz w:val="16"/>
          <w:szCs w:val="16"/>
          <w:b w:val="1"/>
          <w:bCs w:val="1"/>
          <w:color w:val="auto"/>
        </w:rPr>
        <w:t xml:space="preserve"> No. 2008-CP-42-4666 (S.C. Common Pleas, 7th Judicial Cir. filed Sept. 4, 2008), No. 7:08-cv-03495-HFF (removed Oct. 15, 2008); </w:t>
      </w:r>
      <w:r>
        <w:rPr>
          <w:rFonts w:ascii="Arial" w:cs="Arial" w:eastAsia="Arial" w:hAnsi="Arial"/>
          <w:sz w:val="16"/>
          <w:szCs w:val="16"/>
          <w:b w:val="1"/>
          <w:bCs w:val="1"/>
          <w:i w:val="1"/>
          <w:iCs w:val="1"/>
          <w:color w:val="auto"/>
        </w:rPr>
        <w:t>Hembree v. LendingTree,</w:t>
      </w:r>
      <w:r>
        <w:rPr>
          <w:rFonts w:ascii="Arial" w:cs="Arial" w:eastAsia="Arial" w:hAnsi="Arial"/>
          <w:sz w:val="16"/>
          <w:szCs w:val="16"/>
          <w:b w:val="1"/>
          <w:bCs w:val="1"/>
          <w:color w:val="auto"/>
        </w:rPr>
        <w:t xml:space="preserve"> No. 2008-CP-26-7100 (S.C. Common Pleas, 15th Judicial Cir. filed Sept. 8, 2008), No. 4:08-cv-03499-HFF (removed Oct. 15, 2008); </w:t>
      </w:r>
      <w:r>
        <w:rPr>
          <w:rFonts w:ascii="Arial" w:cs="Arial" w:eastAsia="Arial" w:hAnsi="Arial"/>
          <w:sz w:val="16"/>
          <w:szCs w:val="16"/>
          <w:b w:val="1"/>
          <w:bCs w:val="1"/>
          <w:i w:val="1"/>
          <w:iCs w:val="1"/>
          <w:color w:val="auto"/>
        </w:rPr>
        <w:t>Hodge v. LendingTree,</w:t>
      </w:r>
      <w:r>
        <w:rPr>
          <w:rFonts w:ascii="Arial" w:cs="Arial" w:eastAsia="Arial" w:hAnsi="Arial"/>
          <w:sz w:val="16"/>
          <w:szCs w:val="16"/>
          <w:b w:val="1"/>
          <w:bCs w:val="1"/>
          <w:color w:val="auto"/>
        </w:rPr>
        <w:t xml:space="preserve"> No. 2008-CP-13-356 (S.C. Common Pleas, 4th Judicial Cir. filed Sept. 4, 2008), No. 4:08-cv-03507-HFF (removed Oct. 15, 2008); </w:t>
      </w:r>
      <w:r>
        <w:rPr>
          <w:rFonts w:ascii="Arial" w:cs="Arial" w:eastAsia="Arial" w:hAnsi="Arial"/>
          <w:sz w:val="16"/>
          <w:szCs w:val="16"/>
          <w:b w:val="1"/>
          <w:bCs w:val="1"/>
          <w:i w:val="1"/>
          <w:iCs w:val="1"/>
          <w:color w:val="auto"/>
        </w:rPr>
        <w:t>Morgan v. LendingTree,</w:t>
      </w:r>
      <w:r>
        <w:rPr>
          <w:rFonts w:ascii="Arial" w:cs="Arial" w:eastAsia="Arial" w:hAnsi="Arial"/>
          <w:sz w:val="16"/>
          <w:szCs w:val="16"/>
          <w:b w:val="1"/>
          <w:bCs w:val="1"/>
          <w:color w:val="auto"/>
        </w:rPr>
        <w:t xml:space="preserve"> No. 2008-CP-02-1529 (S.C. Common Pleas, 2nd Judicial Cir. filed Sept. 8, 2008), No. 1:08-cv-03503-HFF (removed Oct. 15, 2008); </w:t>
      </w:r>
      <w:r>
        <w:rPr>
          <w:rFonts w:ascii="Arial" w:cs="Arial" w:eastAsia="Arial" w:hAnsi="Arial"/>
          <w:sz w:val="16"/>
          <w:szCs w:val="16"/>
          <w:b w:val="1"/>
          <w:bCs w:val="1"/>
          <w:i w:val="1"/>
          <w:iCs w:val="1"/>
          <w:color w:val="auto"/>
        </w:rPr>
        <w:t>Stone v. LendingTree,</w:t>
      </w:r>
      <w:r>
        <w:rPr>
          <w:rFonts w:ascii="Arial" w:cs="Arial" w:eastAsia="Arial" w:hAnsi="Arial"/>
          <w:sz w:val="16"/>
          <w:szCs w:val="16"/>
          <w:b w:val="1"/>
          <w:bCs w:val="1"/>
          <w:color w:val="auto"/>
        </w:rPr>
        <w:t xml:space="preserve"> No. 2008-CP-07-03458 (S.C. Common Pleas, 14th Judicial Cir. filed Sept. 8, 2008), No. 9:08-cv-03505-HFF (removed Oct. 15, 2008); </w:t>
      </w:r>
      <w:r>
        <w:rPr>
          <w:rFonts w:ascii="Arial" w:cs="Arial" w:eastAsia="Arial" w:hAnsi="Arial"/>
          <w:sz w:val="16"/>
          <w:szCs w:val="16"/>
          <w:b w:val="1"/>
          <w:bCs w:val="1"/>
          <w:i w:val="1"/>
          <w:iCs w:val="1"/>
          <w:color w:val="auto"/>
        </w:rPr>
        <w:t>Wilson v. LendingTree,</w:t>
      </w:r>
      <w:r>
        <w:rPr>
          <w:rFonts w:ascii="Arial" w:cs="Arial" w:eastAsia="Arial" w:hAnsi="Arial"/>
          <w:sz w:val="16"/>
          <w:szCs w:val="16"/>
          <w:b w:val="1"/>
          <w:bCs w:val="1"/>
          <w:color w:val="auto"/>
        </w:rPr>
        <w:t xml:space="preserve"> No. 2008-CP-10-5451 (S.C. Common Pleas, 9th Judicial Cir. filed Sept. 24, 2008),</w:t>
      </w:r>
    </w:p>
    <w:p>
      <w:pPr>
        <w:spacing w:after="0" w:line="5"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b w:val="1"/>
          <w:bCs w:val="1"/>
          <w:color w:val="auto"/>
        </w:rPr>
        <w:t xml:space="preserve">No. 2:08-cv-03677-HFF (removed Oct. 20, 2008); </w:t>
      </w:r>
      <w:r>
        <w:rPr>
          <w:rFonts w:ascii="Arial" w:cs="Arial" w:eastAsia="Arial" w:hAnsi="Arial"/>
          <w:sz w:val="15"/>
          <w:szCs w:val="15"/>
          <w:b w:val="1"/>
          <w:bCs w:val="1"/>
          <w:i w:val="1"/>
          <w:iCs w:val="1"/>
          <w:color w:val="auto"/>
        </w:rPr>
        <w:t>Giese v. LendingTree</w:t>
      </w:r>
      <w:r>
        <w:rPr>
          <w:rFonts w:ascii="Arial" w:cs="Arial" w:eastAsia="Arial" w:hAnsi="Arial"/>
          <w:sz w:val="15"/>
          <w:szCs w:val="15"/>
          <w:b w:val="1"/>
          <w:bCs w:val="1"/>
          <w:color w:val="auto"/>
        </w:rPr>
        <w:t xml:space="preserve">, No. 2008-CP-40-6714 (S.C. Common Pleas, 5th Judicial Cir. filed Sept. 17, 2008); </w:t>
      </w:r>
      <w:r>
        <w:rPr>
          <w:rFonts w:ascii="Arial" w:cs="Arial" w:eastAsia="Arial" w:hAnsi="Arial"/>
          <w:sz w:val="15"/>
          <w:szCs w:val="15"/>
          <w:b w:val="1"/>
          <w:bCs w:val="1"/>
          <w:i w:val="1"/>
          <w:iCs w:val="1"/>
          <w:color w:val="auto"/>
        </w:rPr>
        <w:t>Myers v. LendingTree</w:t>
      </w:r>
      <w:r>
        <w:rPr>
          <w:rFonts w:ascii="Arial" w:cs="Arial" w:eastAsia="Arial" w:hAnsi="Arial"/>
          <w:sz w:val="15"/>
          <w:szCs w:val="15"/>
          <w:b w:val="1"/>
          <w:bCs w:val="1"/>
          <w:color w:val="auto"/>
        </w:rPr>
        <w:t>, No. 2008-CP-32-03841 (S.C. Common Pleas, 11th Judicial Cir. filed Sept. 17, 2008);</w:t>
      </w:r>
      <w:r>
        <w:rPr>
          <w:rFonts w:ascii="Arial" w:cs="Arial" w:eastAsia="Arial" w:hAnsi="Arial"/>
          <w:sz w:val="15"/>
          <w:szCs w:val="15"/>
          <w:b w:val="1"/>
          <w:bCs w:val="1"/>
          <w:i w:val="1"/>
          <w:iCs w:val="1"/>
          <w:color w:val="auto"/>
        </w:rPr>
        <w:t xml:space="preserve"> Pascoe v. LendingTree</w:t>
      </w:r>
      <w:r>
        <w:rPr>
          <w:rFonts w:ascii="Arial" w:cs="Arial" w:eastAsia="Arial" w:hAnsi="Arial"/>
          <w:sz w:val="15"/>
          <w:szCs w:val="15"/>
          <w:b w:val="1"/>
          <w:bCs w:val="1"/>
          <w:color w:val="auto"/>
        </w:rPr>
        <w:t>, No. 2008-CP-09-00136</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b w:val="1"/>
          <w:bCs w:val="1"/>
          <w:color w:val="auto"/>
        </w:rPr>
        <w:t xml:space="preserve">(S.C. Common Pleas, 1st Judicial Cir. filed Sept. 18, 2008); </w:t>
      </w:r>
      <w:r>
        <w:rPr>
          <w:rFonts w:ascii="Arial" w:cs="Arial" w:eastAsia="Arial" w:hAnsi="Arial"/>
          <w:sz w:val="17"/>
          <w:szCs w:val="17"/>
          <w:b w:val="1"/>
          <w:bCs w:val="1"/>
          <w:i w:val="1"/>
          <w:iCs w:val="1"/>
          <w:color w:val="auto"/>
        </w:rPr>
        <w:t>Jackson v. LendingTree,</w:t>
      </w:r>
      <w:r>
        <w:rPr>
          <w:rFonts w:ascii="Arial" w:cs="Arial" w:eastAsia="Arial" w:hAnsi="Arial"/>
          <w:sz w:val="17"/>
          <w:szCs w:val="17"/>
          <w:b w:val="1"/>
          <w:bCs w:val="1"/>
          <w:color w:val="auto"/>
        </w:rPr>
        <w:t xml:space="preserve"> No 2009-CP-43-1240 (S.C. Court of Common Pleas, 3</w:t>
      </w:r>
      <w:r>
        <w:rPr>
          <w:rFonts w:ascii="Arial" w:cs="Arial" w:eastAsia="Arial" w:hAnsi="Arial"/>
          <w:sz w:val="28"/>
          <w:szCs w:val="28"/>
          <w:b w:val="1"/>
          <w:bCs w:val="1"/>
          <w:color w:val="auto"/>
          <w:vertAlign w:val="superscript"/>
        </w:rPr>
        <w:t>rd</w:t>
      </w:r>
      <w:r>
        <w:rPr>
          <w:rFonts w:ascii="Arial" w:cs="Arial" w:eastAsia="Arial" w:hAnsi="Arial"/>
          <w:sz w:val="17"/>
          <w:szCs w:val="17"/>
          <w:b w:val="1"/>
          <w:bCs w:val="1"/>
          <w:color w:val="auto"/>
        </w:rPr>
        <w:t xml:space="preserve"> Judicial Cir., filed June 1, 2009); </w:t>
      </w:r>
      <w:r>
        <w:rPr>
          <w:rFonts w:ascii="Arial" w:cs="Arial" w:eastAsia="Arial" w:hAnsi="Arial"/>
          <w:sz w:val="17"/>
          <w:szCs w:val="17"/>
          <w:b w:val="1"/>
          <w:bCs w:val="1"/>
          <w:i w:val="1"/>
          <w:iCs w:val="1"/>
          <w:color w:val="auto"/>
        </w:rPr>
        <w:t>Barfield v. LendingTree</w:t>
      </w:r>
      <w:r>
        <w:rPr>
          <w:rFonts w:ascii="Arial" w:cs="Arial" w:eastAsia="Arial" w:hAnsi="Arial"/>
          <w:sz w:val="17"/>
          <w:szCs w:val="17"/>
          <w:b w:val="1"/>
          <w:bCs w:val="1"/>
          <w:color w:val="auto"/>
        </w:rPr>
        <w:t xml:space="preserve">, No. 2009-CP-29-780 (S.C. Court of Common Pleas, 6th Judicial Cir., filed June 1, 2009); </w:t>
      </w:r>
      <w:r>
        <w:rPr>
          <w:rFonts w:ascii="Arial" w:cs="Arial" w:eastAsia="Arial" w:hAnsi="Arial"/>
          <w:sz w:val="17"/>
          <w:szCs w:val="17"/>
          <w:b w:val="1"/>
          <w:bCs w:val="1"/>
          <w:i w:val="1"/>
          <w:iCs w:val="1"/>
          <w:color w:val="auto"/>
        </w:rPr>
        <w:t>Peace v.</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LendingTree</w:t>
      </w:r>
      <w:r>
        <w:rPr>
          <w:rFonts w:ascii="Arial" w:cs="Arial" w:eastAsia="Arial" w:hAnsi="Arial"/>
          <w:sz w:val="17"/>
          <w:szCs w:val="17"/>
          <w:b w:val="1"/>
          <w:bCs w:val="1"/>
          <w:color w:val="auto"/>
        </w:rPr>
        <w:t>, No. 2009-CP-24-00801 (S.C. Court of Common Pleas, 8th Judicial Cir., filed June 1, 2009)</w:t>
      </w:r>
    </w:p>
    <w:p>
      <w:pPr>
        <w:spacing w:after="0" w:line="21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These sixteen lawsuits were filed between August 1, 2008 and June 1, 2009 by the State of South Carolina, through its various circuit solicitors, against LendingTree. These lawsuits allege that LendingTree failed to provide certain disclosures required by the South Carolina Registration of Mortgage Loan Brokers Act. The complaints seek an award of statutory penalties, forfeiture of all fees paid and recovery of actual costs, including attorneys' fees on behalf of the State.</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6, 2009, the Supreme Court of South Carolina assigned exclusive jurisdiction over these cases and any similar cases that might be subsequently filed in or remanded to the state court system to a single circuit judge to promote the effective and expeditious disposition of the litigation. The judge will supervise and coordinate discovery and dispose of all pretrial motions and other pretrial matters including, where appropriate, motions for summary judgment, but not for trial. The matters remain pending in state court and no trial date has been 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Wisconsin Mortgage Broker Litigation</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Lavette Love v. LendingTree, et al, No. 09cv009598 (Milwaukee County Circuit Court, Milwaukee, WI). </w:t>
      </w:r>
      <w:r>
        <w:rPr>
          <w:rFonts w:ascii="Arial" w:cs="Arial" w:eastAsia="Arial" w:hAnsi="Arial"/>
          <w:sz w:val="18"/>
          <w:szCs w:val="18"/>
          <w:color w:val="auto"/>
        </w:rPr>
        <w:t>This putative class action was filed June 24,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Plaintiff , individually and on behalf of all similarly-situated Wisconsin residents, against LendingTree and HLC. The complaint alleges that LendingTree failed to provide certain disclosures required by the Wisconsin Mortgage Broker Act.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complaint requests an award of statutory penalties, forfeiture of all fees paid and recovery of actual costs, including attorneys' fees. This matter is currently in discovery.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Boschma v. Home Loan Center, Inc., No. SACV07-613 (U.S. Dist. Ct., C.D. Cal.). </w:t>
      </w:r>
      <w:r>
        <w:rPr>
          <w:rFonts w:ascii="Arial" w:cs="Arial" w:eastAsia="Arial" w:hAnsi="Arial"/>
          <w:sz w:val="16"/>
          <w:szCs w:val="16"/>
          <w:color w:val="auto"/>
        </w:rPr>
        <w:t>On May 25, 2007, Plaintiffs filed this putative class action against HLC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 violations of the federal Truth in Lending Act (the "TILA"), violations of the California Unfair Competition Law ("UCL"),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No trial date has been set.</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Gaines v. Home Loan Center, Inc., No. SACV08-667 (U.S. Dist. Ct., C.D. Cal.). </w:t>
      </w:r>
      <w:r>
        <w:rPr>
          <w:rFonts w:ascii="Arial" w:cs="Arial" w:eastAsia="Arial" w:hAnsi="Arial"/>
          <w:sz w:val="16"/>
          <w:szCs w:val="16"/>
          <w:color w:val="auto"/>
        </w:rPr>
        <w:t>On June 13, 2008, Plaintiffs filed this putative class action against HLC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LendingTree in the U.S. District Court for the Central District of California. Plaintiffs allege, in essence, that (1) HLC failed to disclose that the bundled amount for certain loan closing services (called the "TrueCost") that HLC charged to Plaintiffs was greater than HLC's actual costs for those services; (2) HLC's option ARM note failed to tell Plaintiffs that the stated interest rate and payment amounts would change after the first month and that the payment amount stated in the note was not sufficient to pay interest charges, resulting in negative amortization; and (3) HLC misrepresented that Plaintiffs would have to obtain a home equity line of credit in order to obtain a low interest rate on their option ARM loans. Based upon these factual allegations, Plaintiffs assert violations of the federal Racketeer Influenced and Corrupt Organizations Act, the TILA, the California UCL, California Business and Professions Code § 17500, the CLRA, breach of contract, breach of the implied covenant of good faith and fair dealing, unjust enrichment, conversion, and money had and received.</w:t>
      </w:r>
    </w:p>
    <w:p>
      <w:pPr>
        <w:spacing w:after="0" w:line="17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Plaintiffs purport to represent all HLC customers who, since December 14, 2004 (1) were charged by HLC and paid an amount that exceeded HLC's actual costs for those services; and/or (2) entered into option ARM loan agreements with HLC; and/or (3) were misled into taking out a home equity line of credit along with their option ARM mortgage. Plaintiffs seek restitution, disgorgement, damages, attorneys' fees and injunctive relief.</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Plaintiffs have not yet filed a motion for class certification. No trial date has been set.</w:t>
      </w:r>
    </w:p>
    <w:p>
      <w:pPr>
        <w:spacing w:after="0" w:line="225"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b w:val="1"/>
          <w:bCs w:val="1"/>
          <w:i w:val="1"/>
          <w:iCs w:val="1"/>
          <w:color w:val="auto"/>
        </w:rPr>
        <w:t xml:space="preserve">Schnee v. LendingTree, LLC and Home Loan Center, Inc., No. 06CC00211 (Cal. Super. Ct., Orange Cty.). </w:t>
      </w:r>
      <w:r>
        <w:rPr>
          <w:rFonts w:ascii="Arial" w:cs="Arial" w:eastAsia="Arial" w:hAnsi="Arial"/>
          <w:sz w:val="16"/>
          <w:szCs w:val="16"/>
          <w:color w:val="auto"/>
        </w:rPr>
        <w:t>On October 11, 2006, four individual plaintiffs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filed this putative class action against LendingTree and HLC in the California Superior Court for Orange County. Plaintiffs allege that they used the LendingTree.com website to find potential lenders and without their knowledge were referred to LendingTree's direct lender, HLC; that Lending Tree, LLC and HLC did not adequately disclose the relationship between them; and that HLC charged Plaintiffs higher rates and fees than they otherwise would have been charged. Based upon these allegations, Plaintiffs assert that LendingTree and HLC violated the California UCL, California Business and Professions Code</w:t>
      </w:r>
    </w:p>
    <w:p>
      <w:pPr>
        <w:spacing w:after="0" w:line="2" w:lineRule="exact"/>
        <w:rPr>
          <w:sz w:val="20"/>
          <w:szCs w:val="20"/>
          <w:color w:val="auto"/>
        </w:rPr>
      </w:pPr>
    </w:p>
    <w:p>
      <w:pPr>
        <w:ind w:right="220" w:firstLine="8"/>
        <w:spacing w:after="0" w:line="261" w:lineRule="auto"/>
        <w:tabs>
          <w:tab w:leader="none" w:pos="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17500, and the CLRA. Plaintiffs purport to represent a nationwide class of consumers who sought lender referrals from LendingTree and obtained loans from HLC since December 1, 2004. Plaintiffs seek damages, restitution, attorneys' fees and injunctive relief.</w:t>
      </w:r>
    </w:p>
    <w:p>
      <w:pPr>
        <w:spacing w:after="0" w:line="19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September 25, 2009, Plaintiffs' motion for class certification was denied in its entirety, which action has been appealed by Plaintiffs. No trial date has been set.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Mortgage Store, Inc. and Castleview Home Loans, Inc. filed this putative class action against HLC in the California Superior Court for Orange County. Plaintiffs, two former Network Lenders, allege that HLC interfered with LendingTree's contracts with Network Lenders by taking referrals from LendingTree. The complaint is largely based upon the factual allegations made in the </w:t>
      </w:r>
      <w:r>
        <w:rPr>
          <w:rFonts w:ascii="Arial" w:cs="Arial" w:eastAsia="Arial" w:hAnsi="Arial"/>
          <w:sz w:val="16"/>
          <w:szCs w:val="16"/>
          <w:i w:val="1"/>
          <w:iCs w:val="1"/>
          <w:color w:val="auto"/>
        </w:rPr>
        <w:t>Schnee</w:t>
      </w:r>
      <w:r>
        <w:rPr>
          <w:rFonts w:ascii="Arial" w:cs="Arial" w:eastAsia="Arial" w:hAnsi="Arial"/>
          <w:sz w:val="16"/>
          <w:szCs w:val="16"/>
          <w:color w:val="auto"/>
        </w:rPr>
        <w:t xml:space="preserve"> complaint (described above). Based upon these factual allegations, Plaintiffs assert claims for intentional interference with contractual relations, intentional interference with prospective economic advantage, and violation of the UCL and California Business and Professions Code § 17500. Plaintiffs purport to represent all Network Lenders from December 14, 2004 to date, and seek damages, restitution, attorneys' fees, and punitive damages.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Plaintiffs have filed a motion for class certification. No trial date has been set.</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Reserved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540"/>
        <w:spacing w:after="0" w:line="50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Registrant's Common Equity and Related Stockholder Matters</w:t>
      </w:r>
    </w:p>
    <w:p>
      <w:pPr>
        <w:spacing w:after="0" w:line="1"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Tree.com common stock is quoted on the Nasdaq Global Market under the ticker symbol "TREE." The table below sets forth, for the calendar periods indicated, the high and low sales prices per share for Tree.com common stock on the Nasdaq Global Market. Trading in Tree.com common stock began on August 21, 2008 following our spin-off from IAC.</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10.83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12.89</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r>
      <w:tr>
        <w:trPr>
          <w:trHeight w:val="851"/>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High</w:t>
            </w:r>
          </w:p>
        </w:tc>
        <w:tc>
          <w:tcPr>
            <w:tcW w:w="12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w:t>
            </w:r>
          </w:p>
        </w:tc>
      </w:tr>
    </w:tbl>
    <w:p>
      <w:pPr>
        <w:spacing w:after="0" w:line="208"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Company has never declared or paid any cash dividends on its common stock. The Company does not intend to declare or pay any cash dividends on its common stock in the foreseeable future. The declaration, payment and amount of future cash dividends, if any, will be at the discretion of the board of directors.</w:t>
      </w:r>
    </w:p>
    <w:p>
      <w:pPr>
        <w:spacing w:after="0" w:line="116"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of February 24, 2010, there were approximately 1,320 holders of record of the Company's common stock and the closing price of Tree.com common stock was $8.40.</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During the quarter ended December 31, 2009, the Company did not issue or sell any shares of its common stock or other equity securities in transactions that were not registered under the Securities Act of 1933,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did not purchase any shares of its common stock during the quarter ended December 31, 2009. However, on January 11, 2010, the Company announced that its Board of Directors approved a stock repurchase program for an amount up to $10 million. The program authorizes repurchases of common shares in the open market or through privately-negotiated transactions. The Company began this program in February 2010 and expects to use available cash to finance these repurchases and will determine the timing and amount of them based on its evaluation of market conditions, applicable SEC guidelines and regulations and other factors. This program may be suspended or discontinued at any time at the discretion of the Board of Directors.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HISTORICAL FINANCIAL DATA</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following table presents summary selected historical consolidated financial information for Tree.com, Inc. This data was derived, in part, from the historical consolidated financial statements of Tree.com included elsewhere herein and reflects the consolidated operations and financial position of Tree.com at the dates and for the periods indicated. The information in this table should be read in conjunction with the consolidated financial statements and accompanying notes and other financial data pertaining to Tree.com included herein. However, this information does not necessarily reflect what the historical financial position and results of operations of Tree.com for periods prior to the spin-off would have been had Tree.com been a stand-alone company during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11"/>
          </w:tcPr>
          <w:p>
            <w:pPr>
              <w:jc w:val="right"/>
              <w:ind w:right="66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86"/>
              </w:rPr>
              <w:t>2008(1)</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2007(2)</w:t>
            </w: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gridSpan w:val="12"/>
          </w:tcPr>
          <w:p>
            <w:pPr>
              <w:ind w:left="200"/>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216,775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8"/>
              </w:rPr>
              <w:t>$  228,572</w:t>
            </w:r>
          </w:p>
        </w:tc>
        <w:tc>
          <w:tcPr>
            <w:tcW w:w="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346,378</w:t>
            </w: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8"/>
              </w:rPr>
              <w:t>$  476,478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421,355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(24,313)</w:t>
            </w: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(215,030)</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(540,440)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(24,474)</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(202,276)</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(550,402)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8,693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(21.59)</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(59.00)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r>
      <w:tr>
        <w:trPr>
          <w:trHeight w:val="851"/>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8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66,279</w:t>
            </w:r>
          </w:p>
        </w:tc>
        <w:tc>
          <w:tcPr>
            <w:tcW w:w="1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72,482</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(7,380) $</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79,463</w:t>
            </w:r>
          </w:p>
        </w:tc>
        <w:tc>
          <w:tcPr>
            <w:tcW w:w="1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74,754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291,832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284,083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443,587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1,261,045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1,326,961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Long-term obligations, net of current maturities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19,347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138,128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214,624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773,453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766,486</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00" w:hanging="531"/>
        <w:spacing w:after="0" w:line="298" w:lineRule="auto"/>
        <w:tabs>
          <w:tab w:leader="none" w:pos="1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loss in 2008 includes impairment charges of $131.0 million and $33.4 million related to goodwill and an indefinite- lived intangible asset, respectively.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w:t>
      </w:r>
    </w:p>
    <w:p>
      <w:pPr>
        <w:spacing w:after="0" w:line="193" w:lineRule="exact"/>
        <w:rPr>
          <w:rFonts w:ascii="Arial" w:cs="Arial" w:eastAsia="Arial" w:hAnsi="Arial"/>
          <w:sz w:val="16"/>
          <w:szCs w:val="16"/>
          <w:color w:val="auto"/>
        </w:rPr>
      </w:pPr>
    </w:p>
    <w:p>
      <w:pPr>
        <w:ind w:left="1680" w:right="40" w:hanging="531"/>
        <w:spacing w:after="0" w:line="306" w:lineRule="auto"/>
        <w:tabs>
          <w:tab w:leader="none" w:pos="1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loss in 2007 includes impairment charges of $459.5 million and $16.2 million related to goodwill and an indefinite-lived intangible asset, respectively. The charge related to LendingTree Loans was a goodwill impairment charge of $45.6 million. The charges associated with the Exchanges were $413.9 million related to goodwill and $16.2 million related to an indefinite-lived intangible asset.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August 20, 2008, Tree.com, Inc. ("Tree.com") was spun off from its parent company, IAC/InterActiveCorp ("IAC") into a separate publicly traded company. We refer to the separation transaction as the "spin-off." In connection with the spin-off, Tree.com was incorporated as a Delaware corporation in April 2008.</w:t>
      </w:r>
    </w:p>
    <w:p>
      <w:pPr>
        <w:spacing w:after="0" w:line="19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5"/>
          <w:szCs w:val="15"/>
          <w:color w:val="auto"/>
        </w:rPr>
        <w:t>Tree.com is the parent of LendingTree, LLC and the owner of several brands and businesses that provide information, tools, advice, products and services for critical transactions in our customers' lives. Our family of brands includes: LendingTree.com®, GetSmart.com®, RealEstate.com®, DegreeTree.com</w:t>
      </w:r>
      <w:r>
        <w:rPr>
          <w:rFonts w:ascii="Arial" w:cs="Arial" w:eastAsia="Arial" w:hAnsi="Arial"/>
          <w:sz w:val="24"/>
          <w:szCs w:val="24"/>
          <w:color w:val="auto"/>
          <w:vertAlign w:val="superscript"/>
        </w:rPr>
        <w:t>SM</w:t>
      </w:r>
      <w:r>
        <w:rPr>
          <w:rFonts w:ascii="Arial" w:cs="Arial" w:eastAsia="Arial" w:hAnsi="Arial"/>
          <w:sz w:val="15"/>
          <w:szCs w:val="15"/>
          <w:color w:val="auto"/>
        </w:rPr>
        <w:t>,</w:t>
      </w:r>
    </w:p>
    <w:p>
      <w:pPr>
        <w:spacing w:after="0" w:line="2" w:lineRule="exact"/>
        <w:rPr>
          <w:sz w:val="20"/>
          <w:szCs w:val="20"/>
          <w:color w:val="auto"/>
        </w:rPr>
      </w:pPr>
    </w:p>
    <w:p>
      <w:pPr>
        <w:ind w:right="160"/>
        <w:spacing w:after="0" w:line="231" w:lineRule="auto"/>
        <w:rPr>
          <w:sz w:val="20"/>
          <w:szCs w:val="20"/>
          <w:color w:val="auto"/>
        </w:rPr>
      </w:pPr>
      <w:r>
        <w:rPr>
          <w:rFonts w:ascii="Arial" w:cs="Arial" w:eastAsia="Arial" w:hAnsi="Arial"/>
          <w:sz w:val="16"/>
          <w:szCs w:val="16"/>
          <w:color w:val="auto"/>
        </w:rPr>
        <w:t>HealthTree.com</w:t>
      </w:r>
      <w:r>
        <w:rPr>
          <w:rFonts w:ascii="Arial" w:cs="Arial" w:eastAsia="Arial" w:hAnsi="Arial"/>
          <w:sz w:val="26"/>
          <w:szCs w:val="26"/>
          <w:color w:val="auto"/>
          <w:vertAlign w:val="superscript"/>
        </w:rPr>
        <w:t>SM</w:t>
      </w:r>
      <w:r>
        <w:rPr>
          <w:rFonts w:ascii="Arial" w:cs="Arial" w:eastAsia="Arial" w:hAnsi="Arial"/>
          <w:sz w:val="16"/>
          <w:szCs w:val="16"/>
          <w:color w:val="auto"/>
        </w:rPr>
        <w:t>, LendingTreeAutos.com, DoneRight.com, and InsuranceTree.com</w:t>
      </w:r>
      <w:r>
        <w:rPr>
          <w:rFonts w:ascii="Arial" w:cs="Arial" w:eastAsia="Arial" w:hAnsi="Arial"/>
          <w:sz w:val="26"/>
          <w:szCs w:val="26"/>
          <w:color w:val="auto"/>
          <w:vertAlign w:val="superscript"/>
        </w:rPr>
        <w:t>SM</w:t>
      </w:r>
      <w:r>
        <w:rPr>
          <w:rFonts w:ascii="Arial" w:cs="Arial" w:eastAsia="Arial" w:hAnsi="Arial"/>
          <w:sz w:val="16"/>
          <w:szCs w:val="16"/>
          <w:color w:val="auto"/>
        </w:rPr>
        <w:t>. Together, these brands serve as an ally for consumers who are looking to comparison shop for loans, real estate and other services from multiple businesses and professionals who will compete for their business.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businesses and brands are operated under the segments known as LendingTree Loans, the Exchanges and Real Estate.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Following the spin-off from IAC, the new chief operating decision maker began to realign the Tree.com businesses into new operating segments. For the first quarter of 2009, management completed its realignment of staffing and direct revenue and costs for each new segment and created reporting structures to enable the chief operating decision maker and management to evaluate the results of operations for each of these new segments on a comparative basis with prior periods. In prior periods, the segments "Lending" and "Real Estate" were presented, which have been changed to "LendingTree Loans", "Exchanges" and "Real Estate" segments. Additionally, certain shared indirect costs that are described below are reported as "Unallocated—Corporate." All items of segment information for prior periods have been restated to conform to the new reportable segment presentation.</w:t>
      </w:r>
    </w:p>
    <w:p>
      <w:pPr>
        <w:spacing w:after="0" w:line="17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connection with the change in reportable segments, certain prior period amounts have been reclassified to conform with the current year presentation with no effect on net loss or accumulated deficit. Specifically, compensation and other employee-related costs for loan officers within the LendingTree Loans segment totaling $12.4 million and $5.6 million for the years ended December 31, 2008 and 2007, respectively, were reclassified from selling and marketing expense to cost of revenue, and certain other expenses totaling $0.3 million for the year ended December 31, 2008, were reclassified from general and administrative expense to selling and marketing expense.</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jc w:val="both"/>
        <w:ind w:right="880" w:firstLine="348"/>
        <w:spacing w:after="0" w:line="259" w:lineRule="auto"/>
        <w:rPr>
          <w:sz w:val="20"/>
          <w:szCs w:val="20"/>
          <w:color w:val="auto"/>
        </w:rPr>
      </w:pPr>
      <w:r>
        <w:rPr>
          <w:rFonts w:ascii="Arial" w:cs="Arial" w:eastAsia="Arial" w:hAnsi="Arial"/>
          <w:sz w:val="18"/>
          <w:szCs w:val="18"/>
          <w:color w:val="auto"/>
        </w:rPr>
        <w:t>The Exchanges segment consists of online lead generation networks and call centers (principally LendingTree.com, Tree.com, DegreeTree.com, LendingTreeAutos.com and GetSmart.com) that connect consumers and service providers principally in the lending, higher education and automobile marketplaces.</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Real Estate segment consists of a proprietary full-service real estate brokerage (RealEstate.com, REALTORS®) that operates in 20 U.S. markets, as well as an online lead generation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network accessed at </w:t>
      </w: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third party real estate brokerages around the country.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2009, 2008 and 2007:</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940"/>
              <w:spacing w:after="0"/>
              <w:rPr>
                <w:sz w:val="20"/>
                <w:szCs w:val="20"/>
                <w:color w:val="auto"/>
              </w:rPr>
            </w:pPr>
            <w:r>
              <w:rPr>
                <w:rFonts w:ascii="Arial" w:cs="Arial" w:eastAsia="Arial" w:hAnsi="Arial"/>
                <w:sz w:val="14"/>
                <w:szCs w:val="14"/>
                <w:b w:val="1"/>
                <w:bCs w:val="1"/>
                <w:color w:val="auto"/>
                <w:w w:val="85"/>
              </w:rPr>
              <w:t>Years ended December 31,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00" w:type="dxa"/>
            <w:vAlign w:val="bottom"/>
            <w:gridSpan w:val="6"/>
          </w:tcPr>
          <w:p>
            <w:pPr>
              <w:jc w:val="center"/>
              <w:ind w:right="9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110,320</w:t>
            </w:r>
          </w:p>
        </w:tc>
        <w:tc>
          <w:tcPr>
            <w:tcW w:w="160" w:type="dxa"/>
            <w:vAlign w:val="bottom"/>
          </w:tcPr>
          <w:p>
            <w:pPr>
              <w:spacing w:after="0"/>
              <w:rPr>
                <w:sz w:val="18"/>
                <w:szCs w:val="18"/>
                <w:color w:val="auto"/>
              </w:rPr>
            </w:pP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88,968</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Total LendingTree Loans</w:t>
            </w:r>
          </w:p>
        </w:tc>
        <w:tc>
          <w:tcPr>
            <w:tcW w:w="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192"/>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117,670</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97,929</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44,620</w:t>
            </w:r>
          </w:p>
        </w:tc>
        <w:tc>
          <w:tcPr>
            <w:tcW w:w="160" w:type="dxa"/>
            <w:vAlign w:val="bottom"/>
          </w:tcPr>
          <w:p>
            <w:pPr>
              <w:spacing w:after="0"/>
              <w:rPr>
                <w:sz w:val="18"/>
                <w:szCs w:val="18"/>
                <w:color w:val="auto"/>
              </w:rPr>
            </w:pP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57,524</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79,948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2,588</w:t>
            </w:r>
          </w:p>
        </w:tc>
        <w:tc>
          <w:tcPr>
            <w:tcW w:w="160" w:type="dxa"/>
            <w:vAlign w:val="bottom"/>
          </w:tcPr>
          <w:p>
            <w:pPr>
              <w:spacing w:after="0"/>
              <w:rPr>
                <w:sz w:val="18"/>
                <w:szCs w:val="18"/>
                <w:color w:val="auto"/>
              </w:rPr>
            </w:pP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2,827</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revenue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Total Exchanges</w:t>
            </w:r>
          </w:p>
        </w:tc>
        <w:tc>
          <w:tcPr>
            <w:tcW w:w="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132"/>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86,679</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115,962</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170,407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Inter-segment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(16,019)</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(21,246)</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(22,829)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216,775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228,572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LendingTree Loans revenue in 2009 increased $19.7 million, or 20%, from 2008. Revenue generated from the origination and sale of loans in the secondary market increased $21.4 million, or 24%, primarily due to an increase in the number of loans sold, up 21% over 2008, and a 4% increase in the average loan amount originated. The number of loans sold increased primarily due to a historically low mortgage interest rate environment that began late in the fourth quarter of 2008 and continued through the first half of 2009, which increased the number of consumers seeking a loan and increased their propensity to close a loan. The average loan amount increased over 2008, reflecting a higher percentage of refinance loans which carried a higher average loan amount than the purchase loans in 2009. Offsetting these increases, in part, was a higher charge to the provision for previously sold loans, which is recorded as a reduction of revenue. The provision increased from $1.3 million in 2008 to $16.4 million in 2009, reflecting an increase in 2009 in the quantity and amount of losses realized for representation and warranty issues related primarily to second lien position loans previously sold from 2005 through 2007. The Company attributes the increased loan loss experience to relatively higher levels of borrower defaults on loans from that period which were originated with lower underwriting standards (such as stated income, a practice that was discontinued in late 2007).</w:t>
      </w:r>
    </w:p>
    <w:p>
      <w:pPr>
        <w:spacing w:after="0" w:line="177"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LendingTree Loans revenue in 2008 decreased $49.1 million, or 33%, from 2007. Revenue generated from the origination and sale of loans in the secondary market decreased $41.2 million, or 32%. The primary drivers of the change were decreases in the available supply of suitable loan products for a broad variety of consumer credit categories, lower consumer demand resulting in fewer loans being originated and sold into the secondary market, as well as a market driven shift to lower margin conforming loans as compared to the prior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4"/>
                <w:szCs w:val="14"/>
                <w:b w:val="1"/>
                <w:bCs w:val="1"/>
                <w:color w:val="auto"/>
                <w:w w:val="87"/>
              </w:rPr>
              <w:t>Year Ended December 31,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6"/>
          </w:tcPr>
          <w:p>
            <w:pPr>
              <w:jc w:val="center"/>
              <w:ind w:right="1000"/>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16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8"/>
              </w:rPr>
              <w:t>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Purchase mortgages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1160" w:type="dxa"/>
            <w:vAlign w:val="bottom"/>
            <w:gridSpan w:val="3"/>
          </w:tcPr>
          <w:p>
            <w:pPr>
              <w:jc w:val="center"/>
              <w:ind w:left="552"/>
              <w:spacing w:after="0"/>
              <w:rPr>
                <w:sz w:val="20"/>
                <w:szCs w:val="20"/>
                <w:color w:val="auto"/>
              </w:rPr>
            </w:pPr>
            <w:r>
              <w:rPr>
                <w:rFonts w:ascii="Arial" w:cs="Arial" w:eastAsia="Arial" w:hAnsi="Arial"/>
                <w:sz w:val="18"/>
                <w:szCs w:val="18"/>
                <w:color w:val="auto"/>
                <w:w w:val="91"/>
              </w:rPr>
              <w:t>(36)%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469</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02"/>
              <w:spacing w:after="0"/>
              <w:rPr>
                <w:sz w:val="20"/>
                <w:szCs w:val="20"/>
                <w:color w:val="auto"/>
              </w:rPr>
            </w:pPr>
            <w:r>
              <w:rPr>
                <w:rFonts w:ascii="Arial" w:cs="Arial" w:eastAsia="Arial" w:hAnsi="Arial"/>
                <w:sz w:val="18"/>
                <w:szCs w:val="18"/>
                <w:color w:val="auto"/>
                <w:w w:val="93"/>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gridSpan w:val="3"/>
            <w:vMerge w:val="restart"/>
          </w:tcPr>
          <w:p>
            <w:pPr>
              <w:jc w:val="center"/>
              <w:ind w:left="552"/>
              <w:spacing w:after="0"/>
              <w:rPr>
                <w:sz w:val="20"/>
                <w:szCs w:val="20"/>
                <w:color w:val="auto"/>
              </w:rPr>
            </w:pPr>
            <w:r>
              <w:rPr>
                <w:rFonts w:ascii="Arial" w:cs="Arial" w:eastAsia="Arial" w:hAnsi="Arial"/>
                <w:sz w:val="18"/>
                <w:szCs w:val="18"/>
                <w:color w:val="auto"/>
                <w:w w:val="88"/>
              </w:rPr>
              <w:t>21%</w:t>
            </w:r>
          </w:p>
        </w:tc>
        <w:tc>
          <w:tcPr>
            <w:tcW w:w="4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(59)%</w:t>
            </w:r>
          </w:p>
        </w:tc>
        <w:tc>
          <w:tcPr>
            <w:tcW w:w="3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1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3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totaling approximately 11%, 5% and 5% of Tree.com's consolidated revenue for the years ended December 31, 2009, 2008, and 2007, respectively.</w:t>
      </w:r>
    </w:p>
    <w:p>
      <w:pPr>
        <w:spacing w:after="0" w:line="13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Revenue from the Exchanges in 2009 declined $29.3 million, or 25%, due primarily to fewer loan requests from consumers, resulting in fewer matched requests and fewer loans closed through network lenders. Due to five Federal Reserve interest rate cuts during the first quarter of 2008, significant consumer refinance demand was stimulated on our network in the early part of 2008. Although mortgage rates remained near historical lows in 2009, matched requests in 2009 were still down 25% from the peak levels in 2008. The Exchanges have continued to experience a decline in matched requests, particularly for home equity loans, automobile loans and personal loans, reflecting a tight credit market as lenders and secondary credit markets are unable to serve many consumers who do not have sufficient collateral value or are not eligible for conforming prime first-lien position loans. As a result of fewer matched requests, closed loan units through the Exchange also declined, resulting in 34% lower closed loan fees.</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Revenue from the Exchanges in 2008 declined $54.4 million, or 32% from 2007. The primary drivers of the change are decreases in the available supply of suitable loan products for a broad variety of consumer credit categories, and lower consumer demand resulting in fewer loan requests transmitted to and loans closed on the lending networks.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020"/>
              <w:spacing w:after="0"/>
              <w:rPr>
                <w:sz w:val="20"/>
                <w:szCs w:val="20"/>
                <w:color w:val="auto"/>
              </w:rPr>
            </w:pPr>
            <w:r>
              <w:rPr>
                <w:rFonts w:ascii="Arial" w:cs="Arial" w:eastAsia="Arial" w:hAnsi="Arial"/>
                <w:sz w:val="14"/>
                <w:szCs w:val="14"/>
                <w:b w:val="1"/>
                <w:bCs w:val="1"/>
                <w:color w:val="auto"/>
                <w:w w:val="93"/>
              </w:rPr>
              <w:t>Years Ended December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6"/>
          </w:tcPr>
          <w:p>
            <w:pPr>
              <w:jc w:val="right"/>
              <w:ind w:right="1220"/>
              <w:spacing w:after="0" w:line="142" w:lineRule="exact"/>
              <w:rPr>
                <w:sz w:val="20"/>
                <w:szCs w:val="20"/>
                <w:color w:val="auto"/>
              </w:rPr>
            </w:pPr>
            <w:r>
              <w:rPr>
                <w:rFonts w:ascii="Arial" w:cs="Arial" w:eastAsia="Arial" w:hAnsi="Arial"/>
                <w:sz w:val="14"/>
                <w:szCs w:val="14"/>
                <w:b w:val="1"/>
                <w:bCs w:val="1"/>
                <w:color w:val="auto"/>
                <w:w w:val="92"/>
              </w:rPr>
              <w:t>(Dollars in millions)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2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Purchase mortgages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2,549</w:t>
            </w:r>
          </w:p>
        </w:tc>
        <w:tc>
          <w:tcPr>
            <w:tcW w:w="1200" w:type="dxa"/>
            <w:vAlign w:val="bottom"/>
            <w:gridSpan w:val="3"/>
          </w:tcPr>
          <w:p>
            <w:pPr>
              <w:jc w:val="right"/>
              <w:ind w:right="12"/>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4,108</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3"/>
            <w:vMerge w:val="restart"/>
          </w:tcPr>
          <w:p>
            <w:pPr>
              <w:jc w:val="right"/>
              <w:ind w:right="12"/>
              <w:spacing w:after="0"/>
              <w:rPr>
                <w:sz w:val="20"/>
                <w:szCs w:val="20"/>
                <w:color w:val="auto"/>
              </w:rPr>
            </w:pPr>
            <w:r>
              <w:rPr>
                <w:rFonts w:ascii="Arial" w:cs="Arial" w:eastAsia="Arial" w:hAnsi="Arial"/>
                <w:sz w:val="18"/>
                <w:szCs w:val="18"/>
                <w:color w:val="auto"/>
              </w:rPr>
              <w:t>(21)%</w:t>
            </w:r>
          </w:p>
        </w:tc>
        <w:tc>
          <w:tcPr>
            <w:tcW w:w="4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9,890</w:t>
            </w:r>
          </w:p>
        </w:tc>
        <w:tc>
          <w:tcPr>
            <w:tcW w:w="12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12,568</w:t>
            </w:r>
          </w:p>
        </w:tc>
        <w:tc>
          <w:tcPr>
            <w:tcW w:w="148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Real Estate revenue in 2009 decreased $7.5 million, or 21% from 2008, and in 2008 decreased $15.8 million, or 31% from 2007. The changes are principally due to a decrease in closings each year due to the persistent negative real estate market conditions contributing to lower home sales prices and fewer real estate transactions overall, despite the increase in the number of agents as noted below. The dollar value of the Company's real estate closings decreased 35% in 2009, from $1.9 billion in 2008 to $1.2 billion in 2009, and decreased 30% in 2008, from $2.7 billion in 2007 to $1.9 billion in 2008. Real Estate did experience positive growth in the number of agents working for our company-owned brokerage, which increased from 800 in 2007 to 1,200 in 2008 and 2009. The company-owned brokerage also operated in twenty markets in 2009 and 2008, compared to ten markets in 2007.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9"/>
          </w:tcPr>
          <w:p>
            <w:pPr>
              <w:jc w:val="center"/>
              <w:ind w:left="478"/>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gridSpan w:val="8"/>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47,315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41,156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7,640</w:t>
            </w:r>
          </w:p>
        </w:tc>
        <w:tc>
          <w:tcPr>
            <w:tcW w:w="160" w:type="dxa"/>
            <w:vAlign w:val="bottom"/>
          </w:tcPr>
          <w:p>
            <w:pPr>
              <w:spacing w:after="0"/>
              <w:rPr>
                <w:sz w:val="18"/>
                <w:szCs w:val="18"/>
                <w:color w:val="auto"/>
              </w:rPr>
            </w:pP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12,219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18,046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21,293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1,759</w:t>
            </w:r>
          </w:p>
        </w:tc>
        <w:tc>
          <w:tcPr>
            <w:tcW w:w="160" w:type="dxa"/>
            <w:vAlign w:val="bottom"/>
          </w:tcPr>
          <w:p>
            <w:pPr>
              <w:spacing w:after="0"/>
              <w:rPr>
                <w:sz w:val="19"/>
                <w:szCs w:val="19"/>
                <w:color w:val="auto"/>
              </w:rPr>
            </w:pP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2,129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74,760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76,797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78,751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34%</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844"/>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142"/>
        </w:trPr>
        <w:tc>
          <w:tcPr>
            <w:tcW w:w="4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40%</w:t>
            </w:r>
          </w:p>
        </w:tc>
        <w:tc>
          <w:tcPr>
            <w:tcW w:w="920" w:type="dxa"/>
            <w:vAlign w:val="bottom"/>
            <w:gridSpan w:val="5"/>
            <w:shd w:val="clear" w:color="auto" w:fill="CCEEFF"/>
          </w:tcPr>
          <w:p>
            <w:pPr>
              <w:jc w:val="right"/>
              <w:ind w:right="103"/>
              <w:spacing w:after="0"/>
              <w:rPr>
                <w:sz w:val="20"/>
                <w:szCs w:val="20"/>
                <w:color w:val="auto"/>
              </w:rPr>
            </w:pPr>
            <w:r>
              <w:rPr>
                <w:rFonts w:ascii="Arial" w:cs="Arial" w:eastAsia="Arial" w:hAnsi="Arial"/>
                <w:sz w:val="18"/>
                <w:szCs w:val="18"/>
                <w:color w:val="auto"/>
              </w:rPr>
              <w:t>42%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920" w:type="dxa"/>
            <w:vAlign w:val="bottom"/>
            <w:gridSpan w:val="5"/>
          </w:tcPr>
          <w:p>
            <w:pPr>
              <w:jc w:val="right"/>
              <w:ind w:right="103"/>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63%</w:t>
            </w:r>
          </w:p>
        </w:tc>
        <w:tc>
          <w:tcPr>
            <w:tcW w:w="920" w:type="dxa"/>
            <w:vAlign w:val="bottom"/>
            <w:gridSpan w:val="5"/>
            <w:shd w:val="clear" w:color="auto" w:fill="CCEEFF"/>
          </w:tcPr>
          <w:p>
            <w:pPr>
              <w:jc w:val="right"/>
              <w:ind w:right="103"/>
              <w:spacing w:after="0"/>
              <w:rPr>
                <w:sz w:val="20"/>
                <w:szCs w:val="20"/>
                <w:color w:val="auto"/>
              </w:rPr>
            </w:pPr>
            <w:r>
              <w:rPr>
                <w:rFonts w:ascii="Arial" w:cs="Arial" w:eastAsia="Arial" w:hAnsi="Arial"/>
                <w:sz w:val="18"/>
                <w:szCs w:val="18"/>
                <w:color w:val="auto"/>
              </w:rPr>
              <w:t>59%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89"/>
              </w:rPr>
              <w:t>Unallocated—corporate, as a percentage of total 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920" w:type="dxa"/>
            <w:vAlign w:val="bottom"/>
            <w:gridSpan w:val="5"/>
          </w:tcPr>
          <w:p>
            <w:pPr>
              <w:jc w:val="right"/>
              <w:ind w:right="103"/>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real estate network support staff and loan officers, as well as credit scoring fees, consumer incentive costs, real estate agent commissions and website network hosting and server fees.</w:t>
      </w:r>
    </w:p>
    <w:p>
      <w:pPr>
        <w:spacing w:after="0" w:line="19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Cost of revenue in 2009 decreased $2.0 million from 2008 primarily due to decreases of $5.8 million in consumer incentive rebates related to decreased closings at the Exchanges and in Real Estate, $3.2 million in compensation and other employee-related costs and $1.6 million related to closing the settlement services operations in the fourth quarter of 2008. The decrease in compensation and other employee-related costs reflects the net of reduced personnel costs associated with Tree.com's customer call center, settlement services operation and portions of its loan processing department, offset by an increase in commissions paid to loan officers at LendingTree Loans due to higher loan originations.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Offsetting these decreases in cost of revenue was an increase of $6.3 million in costs associated with loan originations in LendingTree Loans and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 million increase in commissions paid to real estate agents. The increase in loan origination costs corresponds to the increases in both revenue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origination and sales of loans and the dollar value of loans closed directly by LendingTree Loans. The increase in commissions paid to real estate agents both in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dollars and as a percentage of revenue is due to an increase in the number of closings from agent-generated leads compared to closings from company-generated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leads. Commissions paid to agents for closings from self-generated leads are typically paid out at a higher percentage of revenue than closings from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generated leads.</w:t>
      </w:r>
    </w:p>
    <w:p>
      <w:pPr>
        <w:spacing w:after="0" w:line="21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Cost of revenue in 2008 decreased $2.0 million from 2007 primarily due to decreases of $6.7 million in consumer incentive rebates related to decreased closings at the Exchanges and in Real Estate, $3.4 million in credit scoring and licensing fees, $3.2 million in direct costs associated with the settlement services business, $3.1 million in compensation and other employee-related costs and $1.9 million in document delivery and credit card processing fees. The decrease in compensation and other employee-related costs is primarily due to reduced personnel costs associated with Tree.com's customer call center, settlement services operation and portions of its loan processing department.</w:t>
      </w:r>
    </w:p>
    <w:p>
      <w:pPr>
        <w:spacing w:after="0" w:line="17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Offsetting these decreases in cost of revenue was an increase of $14.6 million in costs associated with loan originations. This increase in 2008 is related to a change in accounting standards, whereby Tree.com elected to account for all loans held for sale originated after January 1, 2008 at fair value.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Electing the fair value option requires loan origination fees and costs to be recorded in earnings as incurred instead of being deferred until the loan is sold as in prior year periods. In 2008, all loan origination costs are recognized in cost of revenue. Prior to 2008, the loan origination fees and costs were deferred until the underlying loan was sold. Upon sale of the loan, the origination fees and costs were recognized as a component of the gain on sale of the loan in revenue.</w:t>
      </w:r>
    </w:p>
    <w:p>
      <w:pPr>
        <w:spacing w:after="0" w:line="16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Cost of revenue in 2008 also increased as a percentage of revenue due to an increase of $2.2 million in commissions paid to real estate agents. This increase is due to an increase in the number of closings from agent-generated leads compared to closings from company-generated leads. Commissions paid to agents for closings from self-generated leads are typically paid out at a higher percentage of revenue than closings from company-generated leads.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86"/>
              </w:rPr>
              <w:t>Years Ended December 31</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76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7"/>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55,594</w:t>
            </w:r>
          </w:p>
        </w:tc>
        <w:tc>
          <w:tcPr>
            <w:tcW w:w="160" w:type="dxa"/>
            <w:vAlign w:val="bottom"/>
          </w:tcPr>
          <w:p>
            <w:pPr>
              <w:spacing w:after="0"/>
              <w:rPr>
                <w:sz w:val="18"/>
                <w:szCs w:val="18"/>
                <w:color w:val="auto"/>
              </w:rPr>
            </w:pP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88,761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156,924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Inter-segment marketing</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(16,011)</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w w:val="98"/>
              </w:rPr>
              <w:t>(20,040)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(21,418)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97,109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181,975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29%</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844"/>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10"/>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15%</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4"/>
              </w:rPr>
              <w:t>64%</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77%</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17%</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auto"/>
        </w:rPr>
        <w:t>Advertising for the Exchanges is primarily the building and maintaining of the Company's core brands, using both online and offline spending, and generates leads not only for the Exchanges but for our other segments as well. Marketing expense for LendingTree Loans is primarily comprised of inter-segment purchases of leads from the Exchanges, leveraging the LendingTree and GetSmart brands. The remainder of the expense is comprised of lead purchases from third parties. Advertising for Real Estate primarily consists of lead generation through online spending, as well as lead purchases from the Exchanges.</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Overall selling and marketing expense decreased $35.2 million from 2008 primarily due to a decrease of $34.4 million in advertising and promotional expenditures. In 2009, Tree.com decreased its online marketing advertising by $20.2 million, from $56.7 million in 2008 to $36.5 million in 2009. Tree.com also decreased its broadcast advertising by $10.9 million, from $25.7 million in 2008 to $14.8 million in 2009.</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decline in selling and marketing expense for the LendingTree Loans segment, both in dollars and as a percentage of revenue, is related to a decrease in the cost per lead acquired from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Exchanges and receiving "overflow" leads during the early part of 2009 from a partner that received more leads than its capacity could handle.</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decline in selling and marketing expense for the Exchanges segment, both in dollars and as a percentage of revenue, is due to the Exchanges' ability to decrease advertising spend due to naturally higher consumer demand driven by the favorable mortgage rate trends and improvements in organic traffic. 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Selling and marketing expense in 2008 decreased $84.9 million from 2007 primarily due to a decrease of $80.4 million in advertising and promotional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expenditures in order to better align our spending with revenue producing opportunities. In 2008, Tree.com decreased its online marketing advertising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$48.0 million, from $104.7 million in 2007 to $56.7 million in 2008. Tree.com also decreased its broadcast advertising by $14.1 million, from $39.8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to $25.7 million in 2008.</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86"/>
              </w:rPr>
              <w:t>Years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80" w:type="dxa"/>
            <w:vAlign w:val="bottom"/>
            <w:gridSpan w:val="7"/>
          </w:tcPr>
          <w:p>
            <w:pPr>
              <w:jc w:val="center"/>
              <w:ind w:right="1040"/>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20,374</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21,853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 $</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46,207</w:t>
            </w:r>
          </w:p>
        </w:tc>
        <w:tc>
          <w:tcPr>
            <w:tcW w:w="1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9,041</w:t>
            </w:r>
          </w:p>
        </w:tc>
        <w:tc>
          <w:tcPr>
            <w:tcW w:w="1160" w:type="dxa"/>
            <w:vAlign w:val="bottom"/>
            <w:gridSpan w:val="3"/>
          </w:tcPr>
          <w:p>
            <w:pPr>
              <w:jc w:val="right"/>
              <w:ind w:right="3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8,410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10,701</w:t>
            </w:r>
          </w:p>
        </w:tc>
        <w:tc>
          <w:tcPr>
            <w:tcW w:w="1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15,308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14,595</w:t>
            </w:r>
          </w:p>
        </w:tc>
        <w:tc>
          <w:tcPr>
            <w:tcW w:w="16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26,744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27,361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24,101</w:t>
            </w:r>
          </w:p>
        </w:tc>
        <w:tc>
          <w:tcPr>
            <w:tcW w:w="160" w:type="dxa"/>
            <w:vAlign w:val="bottom"/>
          </w:tcPr>
          <w:p>
            <w:pPr>
              <w:spacing w:after="0"/>
              <w:rPr>
                <w:sz w:val="19"/>
                <w:szCs w:val="19"/>
                <w:color w:val="auto"/>
              </w:rPr>
            </w:pPr>
          </w:p>
        </w:tc>
      </w:tr>
      <w:tr>
        <w:trPr>
          <w:trHeight w:val="21"/>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64,901</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72,932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 $</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95,604</w:t>
            </w:r>
          </w:p>
        </w:tc>
        <w:tc>
          <w:tcPr>
            <w:tcW w:w="160" w:type="dxa"/>
            <w:vAlign w:val="bottom"/>
            <w:shd w:val="clear" w:color="auto" w:fill="CCEEFF"/>
          </w:tcPr>
          <w:p>
            <w:pPr>
              <w:spacing w:after="0"/>
              <w:rPr>
                <w:sz w:val="18"/>
                <w:szCs w:val="18"/>
                <w:color w:val="auto"/>
              </w:rPr>
            </w:pPr>
          </w:p>
        </w:tc>
      </w:tr>
      <w:tr>
        <w:trPr>
          <w:trHeight w:val="27"/>
        </w:trPr>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8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3440" w:type="dxa"/>
            <w:vAlign w:val="bottom"/>
          </w:tcPr>
          <w:p>
            <w:pPr>
              <w:jc w:val="right"/>
              <w:ind w:right="1352"/>
              <w:spacing w:after="0"/>
              <w:rPr>
                <w:sz w:val="20"/>
                <w:szCs w:val="20"/>
                <w:color w:val="auto"/>
              </w:rPr>
            </w:pPr>
            <w:r>
              <w:rPr>
                <w:rFonts w:ascii="Arial" w:cs="Arial" w:eastAsia="Arial" w:hAnsi="Arial"/>
                <w:sz w:val="18"/>
                <w:szCs w:val="18"/>
                <w:color w:val="auto"/>
              </w:rPr>
              <w:t>30%</w:t>
            </w:r>
          </w:p>
        </w:tc>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844"/>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3440" w:type="dxa"/>
            <w:vAlign w:val="bottom"/>
          </w:tcPr>
          <w:p>
            <w:pPr>
              <w:spacing w:after="0"/>
              <w:rPr>
                <w:sz w:val="24"/>
                <w:szCs w:val="24"/>
                <w:color w:val="auto"/>
              </w:rPr>
            </w:pPr>
          </w:p>
        </w:tc>
        <w:tc>
          <w:tcPr>
            <w:tcW w:w="230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680" w:type="dxa"/>
            <w:vAlign w:val="bottom"/>
            <w:gridSpan w:val="3"/>
            <w:vMerge w:val="continue"/>
          </w:tcPr>
          <w:p>
            <w:pPr>
              <w:spacing w:after="0"/>
              <w:rPr>
                <w:sz w:val="12"/>
                <w:szCs w:val="12"/>
                <w:color w:val="auto"/>
              </w:rPr>
            </w:pPr>
          </w:p>
        </w:tc>
        <w:tc>
          <w:tcPr>
            <w:tcW w:w="3440" w:type="dxa"/>
            <w:vAlign w:val="bottom"/>
          </w:tcPr>
          <w:p>
            <w:pPr>
              <w:spacing w:after="0"/>
              <w:rPr>
                <w:sz w:val="12"/>
                <w:szCs w:val="12"/>
                <w:color w:val="auto"/>
              </w:rPr>
            </w:pPr>
          </w:p>
        </w:tc>
        <w:tc>
          <w:tcPr>
            <w:tcW w:w="5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3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344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3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344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General and administrative expense in 2009 decreased by $8.0 million from 2008. However, 2008 included a $5.5 million charge to non-cash compensation expense due to the modification of equity-based awards related to the spin-off, which consisted of accelerated vesting of certain restricted stock units and the modification of vested stock options. The overall decrease also reflects a $2.6 million reduction in compensation and other employee-related costs (excluding non-cash compensation) as a result of prior restructuring activities, a $0.7 million decrease in facilities costs due to lower headcount and occupying fewer facilities, and a $0.7 million decrease in franchise and local taxes. Offsetting these reductions were increases in the loss on disposal of fixed assets of $1.1 million, and professional fees of $0.7 million related to various litigation, regulatory and general corporate matters.</w:t>
      </w:r>
    </w:p>
    <w:p>
      <w:pPr>
        <w:spacing w:after="0" w:line="17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General and administrative expense within the LendingTree Loans segment declined $1.5 million primarily due to decreases of $0.9 million in facilities costs and $0.6 million in compensation and other employee-related costs (excluding non-cash compensation), both due to lower headcount.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General and administrative expense within the Exchanges segment increased $0.6 million primarily due to increases of $0.4 million in compensation and other employee-related costs (excluding non-cash compensation) and $0.3 million in software maintenance costs. The increase in compensation is due to additional headcount from business acquisitions completed by the Company in 2009.</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General and administrative expense within the Real Estate segment declined $6.6 million due to a reduction of $3.0 million in non-cash compensation and a decrease of $3.0 million in cash compensation and other employee-related costs as a result of prior restructuring activities.</w:t>
      </w:r>
    </w:p>
    <w:p>
      <w:pPr>
        <w:spacing w:after="0" w:line="139"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General and administrative expense within the Unallocated-corporate segment declined $0.6 million due to reductions of $3.0 million in non-cash compensation and $0.7 million in franchise and local taxes. Offsetting these reductions were increases of $2.4 million in professional fees related to various litigation, regulatory and general corporate matters and $0.6 million in cash compensation and other employee-related costs.</w:t>
      </w:r>
    </w:p>
    <w:p>
      <w:pPr>
        <w:spacing w:after="0" w:line="16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General and administrative expense in 2008 decreased $22.7 million from 2007, primarily in the LendingTree Loans segment. As a result of restructuring activities that occurred in 2008 and 2007, compensation and other employee-related costs, excluding non-cash compensation, decreased $21.0 million and facilities costs decreased $3.6 million. Other significant decreases during 2008 include $1.5 million in professional fees, $1.3 million in bad debt expense, and $1.1 million in software maintenance costs, partially offset by a charge of $1.0 million associated with legal and regulatory costs.</w:t>
      </w:r>
    </w:p>
    <w:p>
      <w:pPr>
        <w:spacing w:after="0" w:line="167"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Additionally, general and administrative expense includes non-cash compensation expense of $3.5 million in 2009, $9.5 million in 2008 and $2.4 million in 2007. Non-cash compensation in 2008 includes a $5.5 million charge due to the modification of equity-based awards related to the spin-off, which consists of the accelerated vesting of certain restricted stock units and the modification of vested stock options. As a result of the spin-off and reductions in base salaries for executives and other employees, the Company has placed greater emphasis on equity compensation than did IAC. In February 2009, the Compensation Committee determined that the Company's compensation programs should have less of a fixed component and, instead, should be much more variable and tied to individual and corporate performance.</w:t>
      </w:r>
    </w:p>
    <w:p>
      <w:pPr>
        <w:spacing w:after="0" w:line="198" w:lineRule="exact"/>
        <w:rPr>
          <w:sz w:val="20"/>
          <w:szCs w:val="20"/>
          <w:color w:val="auto"/>
        </w:rPr>
      </w:pPr>
    </w:p>
    <w:p>
      <w:pPr>
        <w:jc w:val="both"/>
        <w:ind w:right="640" w:firstLine="341"/>
        <w:spacing w:after="0" w:line="306" w:lineRule="auto"/>
        <w:rPr>
          <w:sz w:val="20"/>
          <w:szCs w:val="20"/>
          <w:color w:val="auto"/>
        </w:rPr>
      </w:pPr>
      <w:r>
        <w:rPr>
          <w:rFonts w:ascii="Arial" w:cs="Arial" w:eastAsia="Arial" w:hAnsi="Arial"/>
          <w:sz w:val="16"/>
          <w:szCs w:val="16"/>
          <w:color w:val="auto"/>
        </w:rPr>
        <w:t>As of December 31, 2009, there was approximately $2.8 million, $2.9 million and $1.5 million of unrecognized compensation cost, net of estimated forfeitures, related to stock options, RSUs and restricted stock, respectively. These costs are expected to be recognized over a weighted-average period of approximately 2.8 years for stock options, 2.0 years for RSUs and 3.1 years for restricted stock.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gridSpan w:val="7"/>
          </w:tcPr>
          <w:p>
            <w:pPr>
              <w:jc w:val="right"/>
              <w:ind w:right="940"/>
              <w:spacing w:after="0" w:line="142" w:lineRule="exact"/>
              <w:rPr>
                <w:sz w:val="20"/>
                <w:szCs w:val="20"/>
                <w:color w:val="auto"/>
              </w:rPr>
            </w:pPr>
            <w:r>
              <w:rPr>
                <w:rFonts w:ascii="Arial" w:cs="Arial" w:eastAsia="Arial" w:hAnsi="Arial"/>
                <w:sz w:val="14"/>
                <w:szCs w:val="14"/>
                <w:b w:val="1"/>
                <w:bCs w:val="1"/>
                <w:color w:val="auto"/>
                <w:w w:val="81"/>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Exchanges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2,793</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3,331</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11,139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Unallocated—corporate</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1,305</w:t>
            </w:r>
          </w:p>
        </w:tc>
        <w:tc>
          <w:tcPr>
            <w:tcW w:w="160" w:type="dxa"/>
            <w:vAlign w:val="bottom"/>
          </w:tcPr>
          <w:p>
            <w:pPr>
              <w:spacing w:after="0"/>
              <w:rPr>
                <w:sz w:val="19"/>
                <w:szCs w:val="19"/>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NM</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color w:val="auto"/>
              </w:rPr>
              <w:t>As a percentage of total revenue</w:t>
            </w:r>
          </w:p>
        </w:tc>
        <w:tc>
          <w:tcPr>
            <w:tcW w:w="1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23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6840" w:type="dxa"/>
            <w:vAlign w:val="bottom"/>
            <w:gridSpan w:val="3"/>
            <w:vMerge w:val="continue"/>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4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Product development expense in 2009 decreased $0.7 million from 2008, due to decreased compensation and other employee-related costs, offset by an increase in outsourcing and technology contractors.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Product development expense in 2008 decreased $8.3 million from 2007 due to decreased compensation and other employee-related costs associated with reductions in workforce that occurred in 2008 and 2007.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400" w:firstLine="341"/>
        <w:spacing w:after="0" w:line="259"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For a reconciliation of Adjusted EBITDA to net loss for Tree.com's operating segments, see Note 8 to the consolidated financial statements.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7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40" w:type="dxa"/>
            <w:vAlign w:val="bottom"/>
            <w:gridSpan w:val="7"/>
          </w:tcPr>
          <w:p>
            <w:pPr>
              <w:jc w:val="right"/>
              <w:ind w:right="38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(57)%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30,579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13,229</w:t>
            </w:r>
          </w:p>
        </w:tc>
        <w:tc>
          <w:tcPr>
            <w:tcW w:w="16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440"/>
              <w:spacing w:after="0"/>
              <w:rPr>
                <w:sz w:val="20"/>
                <w:szCs w:val="20"/>
                <w:color w:val="auto"/>
              </w:rPr>
            </w:pPr>
            <w:r>
              <w:rPr>
                <w:rFonts w:ascii="Arial" w:cs="Arial" w:eastAsia="Arial" w:hAnsi="Arial"/>
                <w:sz w:val="18"/>
                <w:szCs w:val="18"/>
                <w:color w:val="auto"/>
                <w:w w:val="99"/>
              </w:rPr>
              <w:t>NM</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(25,475)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w:t>
            </w: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(730)%</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Unallocated—corporate</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(27,051)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(25,434)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(26,359)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NM</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(13,730)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 $</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(22,032)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w w:val="89"/>
              </w:rPr>
              <w:t>As a percentage of total revenue</w:t>
            </w:r>
          </w:p>
        </w:tc>
        <w:tc>
          <w:tcPr>
            <w:tcW w:w="1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continu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79"/>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As a Percentage of Segment Revenue</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40" w:type="dxa"/>
            <w:vAlign w:val="bottom"/>
            <w:gridSpan w:val="12"/>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4%</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89"/>
              </w:rPr>
              <w:t>Unallocated—corporate, as a percentage of total revenue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(11)%</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Adjusted EBITDA in 2009 improved $27.9 million, from a loss of $13.7 million in 2008 to a profit of $14.2 million in 2009. This reflects an increase in the gross margin at LendingTree Loans and decreases in operating costs principally due to the marketing reductions and previous restructuring activities noted above.</w:t>
      </w:r>
    </w:p>
    <w:p>
      <w:pPr>
        <w:spacing w:after="0" w:line="11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Adjusted EBITDA loss in 2008 improved $8.3 million, from a loss of $22.0 million in 2007 to a loss of $13.7 million in 2008, reflecting costs decreasing more rapidly than revenue in 2008 principally due to the marketing reductions and restructuring activities noted above.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9"/>
              </w:rPr>
              <w:t>(Dollars in thousands)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1,282%</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(44,495)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7,561</w:t>
            </w:r>
          </w:p>
        </w:tc>
        <w:tc>
          <w:tcPr>
            <w:tcW w:w="34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8"/>
                <w:szCs w:val="18"/>
                <w:color w:val="auto"/>
                <w:w w:val="95"/>
              </w:rPr>
              <w:t>(105,614)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960" w:type="dxa"/>
            <w:vAlign w:val="bottom"/>
            <w:gridSpan w:val="4"/>
          </w:tcPr>
          <w:p>
            <w:pPr>
              <w:jc w:val="right"/>
              <w:ind w:right="172"/>
              <w:spacing w:after="0"/>
              <w:rPr>
                <w:sz w:val="20"/>
                <w:szCs w:val="20"/>
                <w:color w:val="auto"/>
              </w:rPr>
            </w:pPr>
            <w:r>
              <w:rPr>
                <w:rFonts w:ascii="Arial" w:cs="Arial" w:eastAsia="Arial" w:hAnsi="Arial"/>
                <w:sz w:val="18"/>
                <w:szCs w:val="18"/>
                <w:color w:val="auto"/>
                <w:w w:val="88"/>
              </w:rPr>
              <w:t>(468,118)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(16,481)</w:t>
            </w: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(76,852)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645%</w:t>
            </w: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(10,320)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Unallocated—corporate</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w w:val="98"/>
              </w:rPr>
              <w:t>(44,672)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8"/>
                <w:szCs w:val="18"/>
                <w:color w:val="auto"/>
              </w:rPr>
              <w:t>(34,683)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960" w:type="dxa"/>
            <w:vAlign w:val="bottom"/>
            <w:gridSpan w:val="4"/>
          </w:tcPr>
          <w:p>
            <w:pPr>
              <w:jc w:val="right"/>
              <w:ind w:right="172"/>
              <w:spacing w:after="0"/>
              <w:rPr>
                <w:sz w:val="20"/>
                <w:szCs w:val="20"/>
                <w:color w:val="auto"/>
              </w:rPr>
            </w:pPr>
            <w:r>
              <w:rPr>
                <w:rFonts w:ascii="Arial" w:cs="Arial" w:eastAsia="Arial" w:hAnsi="Arial"/>
                <w:sz w:val="18"/>
                <w:szCs w:val="18"/>
                <w:color w:val="auto"/>
              </w:rPr>
              <w:t>(17,507)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(24,313)</w:t>
            </w: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w w:val="95"/>
              </w:rPr>
              <w:t>(215,030)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w w:val="88"/>
              </w:rPr>
              <w:t>(540,440)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w w:val="89"/>
              </w:rPr>
              <w:t>As a percentage of total revenue</w:t>
            </w:r>
          </w:p>
        </w:tc>
        <w:tc>
          <w:tcPr>
            <w:tcW w:w="1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(156)</w:t>
            </w: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As a Percentage of Segment Revenue</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12"/>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Borders>
              <w:top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25%</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6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(91)%</w:t>
            </w:r>
          </w:p>
        </w:tc>
        <w:tc>
          <w:tcPr>
            <w:tcW w:w="960" w:type="dxa"/>
            <w:vAlign w:val="bottom"/>
            <w:gridSpan w:val="4"/>
          </w:tcPr>
          <w:p>
            <w:pPr>
              <w:jc w:val="right"/>
              <w:ind w:right="52"/>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(58)%</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96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(21)%</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960" w:type="dxa"/>
            <w:vAlign w:val="bottom"/>
            <w:gridSpan w:val="4"/>
          </w:tcPr>
          <w:p>
            <w:pPr>
              <w:jc w:val="right"/>
              <w:ind w:right="52"/>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Operating loss in 2009 improved $190.7 million from 2008, primarily as a result of asset impairment charges totaling $164.3 million that were incurred in 2008. In the second quarter of 2008, Tree.com recorded impairment charges of $131.0 million and $33.4 million related to goodwill and an indefinite-lived intangible asset, respectively.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to the increase in Adjusted EBITDA discussed above, operating loss in 2009 includes impairment charges of $6.1 million related to definite-lived and indefinite-lived intangible assets. In the second quarter of 2009, the new Real Estate operating segment leadership undertook significant changes in management, operational focus and marketing efforts related to the new homes referral services business. These changes combined with the continued deterioration of new housing starts and new homes sales in 2009, caused the Company to reassess the remaining useful lives and the likely future recoverability of the remaining value of certain definite-lived intangible assets. In testing the recoverability of these assets, indications of impairment were determined to exist, and subsequent impairment testing resulted in a $3.9 million charge in Real Estate. Additionally, as part of the annual impairment test in the fourth quarter of 2009, Tree.com recorded impairment charges of $0.5 million in the Exchanges and $1.7 million in Real Estate related to indefinite-lived intangible assets.</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Finally, in the fourth quarter of 2009, Tree.com recorded a $12.8 million charge related to litigation matters that negatively impacted operating loss. The litigation matters were either settled, or a firm offer for settlement was extended by Tree.com in the fourth quarter, thereby establishing an accrual amount that is both probable and reasonably estimable.</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Operating loss in 2008 improved $325.4 million from 2007 to a loss of $215.0 million. In addition to the items noted above, the other primary drivers of the change relate to impairment charges on goodwill and an indefinite-lived intangible asset incurred in 2007. Tree.com recorded impairment charges in 2007 of $45.6 million in LendingTree Loans related to goodwill, $413.9 million in the Exchanges related to goodwill and $16.2 million in the Exchanges related to an indefinite-lived intangible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These impairments resulted from the Company's reassessment of the likely future profitability in light of the persistent adverse mortgage and real estate market realities. These adverse conditions included, among others, constrained liquidity, lender focus on low margin mortgage offerings, the decline in real estate values and a high rate of delinquency for existing mortgages. Tree.com updated its assessment of mortgage and real estate market conditions and Tree.com's responsive operational strategies during these periods, and quantified these considerations in Tree.com's future forecasted results.</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Continued adverse market conditions may cause continued operating losses and require additional restructuring of Tree.com's operations, which could result in additional restructuring charges and additional impairment charges.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For the years ended December 31, 2009, 2008, and 2007, Tree.com recorded a tax benefit (provision) of $0.4 million, $13.3 million and $(10.2) million, respectively, which represents effective tax rates of 1.5%, 6.2%, and 1.9%, respectively. The 2009, 2008 and 2007 tax rate is lower than the federal statutory rate of 35% due principally to non-deductible impairment charges and a full valuation allowance on deferred tax assets.</w:t>
      </w:r>
    </w:p>
    <w:p>
      <w:pPr>
        <w:spacing w:after="0" w:line="16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of December 31, 2009 and 2008, the unrecognized tax benefits, including interest, were $1.0 million and $2.3 million, respectively. Also included in unrecognized tax benefits at December 31, 2009 is approximately $0.6 million related to tax positions for which the ultimate deductibility is highly certain but for which there is uncertainty about the timing of such deductibility. The amount of unrecognized tax benefits that, if recognized, would impact the effective tax rate is approximately $0.3 million.</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Tree.com recognizes interest and, if applicable, penalties related to unrecognized tax benefits in income tax expense. Included in income tax expense for both of the years ended December 31, 2009 and 2008 is $0.1 million for interest on unrecognized tax benefits. At both December 31, 2009 and 2008, Tree.com has accrued $0.1 million for the payment of interest, respectively. There are no material accruals for penalties.</w:t>
      </w:r>
    </w:p>
    <w:p>
      <w:pPr>
        <w:spacing w:after="0" w:line="16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Tree.com believes that it is reasonably possible that its unrecognized tax benefits could decrease by approximately $1.0 million within twelve months of the current reporting, as a result of the following: $0.6 million is due to the reversal of deductible temporary differences which will result in a corresponding increase in net deferred tax liabilities, and approximately $0.4 million may be recognized in the next twelve months due to the expiration of the statute of limitations which could impact the effective tax rate.</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By virtue of previously filed separate company and consolidated tax returns with IAC, Tree.com is routinely under audit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the amount paid upon resolution of issues raised may differ from the amount provided. Differences between the reserves for tax contingencies and the amounts owed by Tree.com are recorded in the period they become known.</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Under the terms of the tax sharing agreement, which was executed in connection with the spin-off, IAC generally retains the liability related to federal and state returns filed on a consolidated or unitary basis for all periods prior to the spin-off.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2009, Tree.com had $98.1 million of cash and cash equivalents and restricted cash and cash equivalents.</w:t>
      </w:r>
    </w:p>
    <w:p>
      <w:pPr>
        <w:spacing w:after="0" w:line="225"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Net cash provided by operating activities was $13.2 million in the year ended December 31, 2009, compared to net cash used of $41.9 million in the same period in 2008. This net $55.1 million increase in cash provided from operations was primarily due to a $29.5 million increase in the amount of net cash proceeds from the origination and sale of loans, which as described above was the result of a 21% increase in the number of loans closed and a 4% increase in the average loan amount at the Company's LendingTree Loans segment. An additional increase in cash from operations was the result of a $15.2 million increase in accounts payable and other current liabilities in 2009 compared to a $23.3 million decrease in 2008. The 2008 decrease was caused by the net payments of certain liabilities that existed as of December 31, 2007, principally a $12.8 million litigation accrual; $2.1 million of accrued severance obligations; $3.9 million of facilities restructuring obligations and a $5.5 million decrease in accrued advertising due to the deteriorating macro-market conditions. The 2009 increase in accounts payable and other current liabilities was caused by a $12.8 million increase in litigation related accruals for settled matters and other contingencies as well as a $2.6 million increase in accrued advertising related to relatively higher spending levels in 2009 compared to 2008. These net increases were offset, in part, by $4.2 million more in payments to for loan losses in 2009 and a $4.5 million decrease in cash provided by prepaid and other current assets.</w:t>
      </w:r>
    </w:p>
    <w:p>
      <w:pPr>
        <w:spacing w:after="0" w:line="163"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Net cash used in investing activities in the year ended December 31, 2009 of $5.6 million primarily resulted from business acquisitions of $5.7 million and capital expenditures of $3.9 million, offset by the release of restricted cash of $4.0 million. Net cash used in investing activities in the year ended December 31, 2008 of $18.8 million primarily resulted from the payment of contingent purchase price consideration associated with the Home Loan Center, Inc. acquisition of $14.5 million and capital expenditures of $4.1 million.</w:t>
      </w:r>
    </w:p>
    <w:p>
      <w:pPr>
        <w:spacing w:after="0" w:line="197" w:lineRule="exact"/>
        <w:rPr>
          <w:sz w:val="20"/>
          <w:szCs w:val="20"/>
          <w:color w:val="auto"/>
        </w:rPr>
      </w:pPr>
    </w:p>
    <w:p>
      <w:pPr>
        <w:ind w:right="260" w:firstLine="351"/>
        <w:spacing w:after="0" w:line="284" w:lineRule="auto"/>
        <w:rPr>
          <w:sz w:val="20"/>
          <w:szCs w:val="20"/>
          <w:color w:val="auto"/>
        </w:rPr>
      </w:pPr>
      <w:r>
        <w:rPr>
          <w:rFonts w:ascii="Arial" w:cs="Arial" w:eastAsia="Arial" w:hAnsi="Arial"/>
          <w:sz w:val="16"/>
          <w:szCs w:val="16"/>
          <w:color w:val="auto"/>
        </w:rPr>
        <w:t>Net cash provided by financing activities in 2009 of $4.8 million was primarily due to net borrowings under warehouse lines of credit of $2.3 million and proceeds from the sale of common stock of $3.4 million. Net cash provided by financing activities in 2008 of $88.4 million was primarily due to capital contributions of $111.5 million from IAC in connection with the spin-off, partially offset by payments on notes payable and capital lease obligations of</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$20.0 million and net repayments of warehouse lines of credit of $3.2 million. The net borrowings and repayments under warehouse lines of credit are related to the change in loans held for sale at LendingTree Loans and are included within cash flows from operations.</w:t>
      </w:r>
    </w:p>
    <w:p>
      <w:pPr>
        <w:spacing w:after="0" w:line="19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2009, LendingTree Loans had three committed lines of credit totaling $175 million of borrowing capacity. On February 15, 2010, one of the lines was amended to reduce the borrowing capacity by $10 million. Borrowings under these lines of credit are used to fund, and are secured by, consumer residential loans that are held for sale. Loans under these lines of credit are repaid using proceeds from the sales of loans held for sale by LendingTree Loans. At December 31, 2009, there was $78.5 million outstanding under the committed lines of credit.</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$40.0 million first line is with a lender that is exiting the warehouse lending business, and it expires on June 30, 2010. No advances under the warehouse line may be requested or funded after May 31, 2010. The interest rate under this line is LIBOR plus 3.00%. We do not expect this line to be renewed after June 30, 2010. The Company has anticipated that decision and has factored it into the future liquidity needs.</w:t>
      </w:r>
    </w:p>
    <w:p>
      <w:pPr>
        <w:spacing w:after="0" w:line="16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$50 million second line is scheduled to expire on April 30, 2010, but can be cancelled at the option of the lender without default upon sixty days notice. This second line includes an additional uncommitted credit facility of $75 million. This second line is also guaranteed by Tree.com, Inc.,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Lending Tree, LLC and Lending Tree Holdings Corp. The interest rate under the second line is 2.25% plus the greater of (a) the 30-day LIBOR or (b) 2.00%. The interest rate under the $75 million uncommitted line is 30-day LIBOR plus 1.50%. LendingTree Loans is also required to sell at least 50% of the loans it originates to an affiliate of the lender under this line or pay a "pair-off fee" of 0.375% on the difference between the required and actual volume of loans sold.</w:t>
      </w:r>
    </w:p>
    <w:p>
      <w:pPr>
        <w:spacing w:after="0" w:line="161"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$75 million third line is scheduled to expire on October 29, 2010. The interest rate under this line is 30-day LIBOR or 2.0% (whichever is greater) plus 2.50% for loans being sold to the lender and 30-day LIBOR or 2.0% (whichever is greater) plus 2.75% for loans not being sold to the lender.</w:t>
      </w:r>
    </w:p>
    <w:p>
      <w:pPr>
        <w:spacing w:after="0" w:line="139"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tangible net worth of $44.0 million, (ii) minimum liquidity, (iii) a minimum current ratio, (iv) a maximum ratio of total liabilities to net worth, (v) a maximum leverage ratio and (vi) pre-tax net income requirements. During the year ended December 31, 2009, LendingTree Loans was in compliance with the covenants under the lines.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two but not all three of the warehouse lines were lost. We expect to renew the lines that are expiring on April 30, 2010 and October 29, 2010.</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the completion of the spin-off, intercompany payable balances with IAC were extinguished and IAC transferred to Tree.com an amount of cash that was sufficient for its initial capitalization. Tree.com has considered its anticipated operating cash flows in 2010, cash and cash equivalents, current capacity under its warehouse lines of credit and access to capital markets, subject to restrictions in the tax sharing agreement, and believes that these are sufficient to fund its operating needs, including debt requirements, commitments, contingencies, capital and investing commitments for the foreseeable future.</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Payments Due by Period</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9"/>
              </w:rPr>
              <w:t>More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Than</w:t>
            </w:r>
          </w:p>
        </w:tc>
      </w:tr>
      <w:tr>
        <w:trPr>
          <w:trHeight w:val="161"/>
        </w:trPr>
        <w:tc>
          <w:tcPr>
            <w:tcW w:w="4400" w:type="dxa"/>
            <w:vAlign w:val="bottom"/>
            <w:gridSpan w:val="4"/>
          </w:tcPr>
          <w:p>
            <w:pPr>
              <w:spacing w:after="0"/>
              <w:rPr>
                <w:sz w:val="20"/>
                <w:szCs w:val="20"/>
                <w:color w:val="auto"/>
              </w:rPr>
            </w:pPr>
            <w:r>
              <w:rPr>
                <w:rFonts w:ascii="Arial" w:cs="Arial" w:eastAsia="Arial" w:hAnsi="Arial"/>
                <w:sz w:val="14"/>
                <w:szCs w:val="14"/>
                <w:b w:val="1"/>
                <w:bCs w:val="1"/>
                <w:color w:val="auto"/>
              </w:rPr>
              <w:t>Contractual Obligations as of December 31, 2009</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5 Years</w:t>
            </w: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borrowings(a)</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Purchase obligations(b)</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loss settlement obligations(c)</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Litigation settlement(d,e)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Preferred stock liquidation value and accreted interest(f)</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131,387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80" w:hanging="531"/>
        <w:spacing w:after="0" w:line="268"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short-term borrowings are the Company's warehouse lines of credit which are used exclusively for funding loans held for sale. These borrowings are collateralized by and are repaid from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proceeds from selling the loans held for sale. Interest on these borrowings as of December 31, 2009 is not significant.</w:t>
      </w:r>
    </w:p>
    <w:p>
      <w:pPr>
        <w:spacing w:after="0" w:line="239"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event contracts in 2010.</w:t>
      </w:r>
    </w:p>
    <w:p>
      <w:pPr>
        <w:spacing w:after="0" w:line="252" w:lineRule="exact"/>
        <w:rPr>
          <w:rFonts w:ascii="Arial" w:cs="Arial" w:eastAsia="Arial" w:hAnsi="Arial"/>
          <w:sz w:val="18"/>
          <w:szCs w:val="18"/>
          <w:color w:val="auto"/>
        </w:rPr>
      </w:pPr>
    </w:p>
    <w:p>
      <w:pPr>
        <w:ind w:left="1680" w:right="60" w:hanging="531"/>
        <w:spacing w:after="0" w:line="259"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fourth quarter of 2009, LendingTree Loans completed settlement negotiations with a buyer of previously purchased stated income second lien position loans. The settlement provides for fixed payments to be made in 2010 by LendingTree Loans as full settlement of all future losses with this investor related to this type of loans.</w:t>
      </w:r>
    </w:p>
    <w:p>
      <w:pPr>
        <w:spacing w:after="0" w:line="207" w:lineRule="exact"/>
        <w:rPr>
          <w:rFonts w:ascii="Arial" w:cs="Arial" w:eastAsia="Arial" w:hAnsi="Arial"/>
          <w:sz w:val="18"/>
          <w:szCs w:val="18"/>
          <w:color w:val="auto"/>
        </w:rPr>
      </w:pPr>
    </w:p>
    <w:p>
      <w:pPr>
        <w:ind w:left="1680" w:right="100" w:hanging="531"/>
        <w:spacing w:after="0" w:line="294"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litigation settlement obligation, as more fully described in a Form 8-K dated January 5, 2010, is the amount due to be paid by Tree.com, Inc., to Source Search Technologies, LLC ("SST"). Under the terms of the settlement agreement, SST will grant LendingTree, LLC (a wholly owned subsidiary of Tree.com) a fully paid-up, irrevocable, worldwide, royalty-free and non-exclusive license under the patent and LendingTree will pay SST $9.5 million ($4.75 million of which is payable when the parties file a stipulation of dismissal with the court and the other $4.75 million of which is payable four months after the date of the first payment).</w:t>
      </w:r>
    </w:p>
    <w:p>
      <w:pPr>
        <w:spacing w:after="0" w:line="183" w:lineRule="exact"/>
        <w:rPr>
          <w:rFonts w:ascii="Arial" w:cs="Arial" w:eastAsia="Arial" w:hAnsi="Arial"/>
          <w:sz w:val="16"/>
          <w:szCs w:val="16"/>
          <w:color w:val="auto"/>
        </w:rPr>
      </w:pPr>
    </w:p>
    <w:p>
      <w:pPr>
        <w:ind w:left="1680" w:hanging="531"/>
        <w:spacing w:after="0" w:line="255"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litigation settlement obligation, as more fully described in a Form 8-K dated February 19, 2010, is the amount due to be paid by LendingTree, LLC, to Block Financial Corporation ("Block"). Under the terms of the settlement agreement, LendingTree will pay Block $3.25 million, and Block will grant LendingTree a fully paid-up, perpetual, irrevocable, non-exclusive, worldwide, right and license under both patents. Both LendingTree and Block will release each other from any claims they may have against the other based on acts or omissions occurring before the date of the settlement.</w:t>
      </w:r>
    </w:p>
    <w:p>
      <w:pPr>
        <w:spacing w:after="0" w:line="223" w:lineRule="exact"/>
        <w:rPr>
          <w:rFonts w:ascii="Arial" w:cs="Arial" w:eastAsia="Arial" w:hAnsi="Arial"/>
          <w:sz w:val="18"/>
          <w:szCs w:val="18"/>
          <w:color w:val="auto"/>
        </w:rPr>
      </w:pPr>
    </w:p>
    <w:p>
      <w:pPr>
        <w:ind w:left="1680" w:right="80" w:hanging="531"/>
        <w:spacing w:after="0" w:line="256"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preferred stock obligation, as more fully described in Note 3 to the consolidated financial statements, represents the obligation the Company has to redeem at maturity the 5,000 shares of preferred stock which the Company's CEO was granted in LendingTree Holdings Corp., a subsidiary of Tree.com at the time of the spin-off from IAC. The shares earn dividends at 12%, vest over 3 years, and have a liquidation preference of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LendingTree Loans, Exchanges and Real Estate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disclosure is provided to supplement the descriptions of Tree.com's accounting policies contained in Note 2 to the consolidated financial statements in regard to significant areas of judgment. Management of the Company is required to make certain estimates and assumptions during the preparation of its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make estimates as to our exposure related to our obligation to repurchase loans previously sold to investors or to repay the premium paid by the buyer. The reserves are required in the cases of underwriting deficiencies, borrower fraud, documentation defects, early payment defaults and early loan payoffs. The exposure is based on historical and projected loss frequency and loss severity using our loss history (as adjusted for recent trends in loss experience), the original principle amount of the loans previously sold, the year the loans were sold, the lien position of the mortgage in the underlying property, and the extent of documentation received. Given current general industry trends in mortgage loans as well as housing prices, market expectations around losses related to the Company's obligations could vary significantly from the obligation of $17.0 million recorded as of December 31, 2009.</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Recoverability of Goodwill and Indefinite-Lived Intangible Assets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review the carrying value of goodwill and indefinite-lived intangible assets on an annual basis as of October 1 or more frequently if an event occurs or circumstances change that would more likely than not reduce the fair value of a reporting unit below its carrying value. We determine the fair value of a reporting unit based upon an evaluation of its expected discounted cash flows. This discounted cash flow analysis utilizes an evaluation of historical and forecasted operating results. The determination of discounted cash flows is based upon forecasted operating results that may not occur. The assessments for 2009, 2008 and 2007 identified impairment charges as more fully described above in "Results of Operations for the Years Ended December 31, 2009, 2008 and 2007". The value of goodwill and indefinite-lived intangible assets that is subject to assessment for impairment is $12.2 million and $52.7 million, respectively, at December 31, 2009.</w:t>
      </w:r>
    </w:p>
    <w:p>
      <w:pPr>
        <w:spacing w:after="0" w:line="20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As of December 31, 2009, the goodwill balance relates to the Exchanges and Real Estate segments. The annual goodwill impairment test as of October 1, 2009 included the following material assumptions: a discounted cash flow model utilizing a discount rate of 16% to 18%, a perpetual growth rate of 4% and Adjusted EBITDA margin growth rates of 5% to 29% of revenue from 2010 to 2019. (See Note 8 for the definition of Adjusted EBITDA.) As of December 31, 2009, the remaining indefinite-lived intangible assets balance relates to the Exchanges and Real Estate segments. The annual indefinite-lived intangible assets impairment test as of October 1, 2009 included the following material assumptions: an assumed relief from royalties model, discount rates of 16% to 18%, perpetual growth rates of 4%, and royalty rates of 1% to 4%. Management of Tree.com believes that the assumptions used in the impairment tests are reasonable. However, Tree.com's reporting units continue to operate in dynamic and challenged industry segments.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Recoverability of Long-Lived Assets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review the carrying value of all long-lived assets, primarily property and equipment and definite-lived intangible assets, for impairment whenever events or changes in circumstances indicate that the carrying value of an asset may be impaired. Impairment is considered to have occurred whenever the carrying value of a long-lived asset exceeds the sum of the undiscounted cash flows that is expected to result from the use and eventual disposition of the asset. The determination of cash flows is based upon assumptions that may not occur. The value of long-lived assets that is subject to assessment for impairment is $17.2 million at December 31, 2009.</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Estimates of deferred income taxes and the significant items giving rise to the deferred assets and liabilities are shown in Note 12, and reflect management's assessment of actual future taxes to be paid on items reflected in the consolidated financial statements, giving consideration to both timing and the probability of realization. Actual income taxes could vary from these estimates due to future changes in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income tax law, state income tax apportionment or the outcome of any review of our tax returns by the IRS, as well as actual operating results of the Company that vary significantly from anticipated results. We also recognize liabilities for uncertain tax positions based on the two-step process prescribed by the accounting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Based Compensation</w:t>
      </w:r>
    </w:p>
    <w:p>
      <w:pPr>
        <w:spacing w:after="0" w:line="231"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As disclosed in the notes to the consolidated financial statements, the Company estimated the fair value of options issued in 2008 using a Black-Scholes option pricing model with the following weighted average assumptions: risk-free interest rates of 3.4%, a dividend yield of zero, a volatility factor of 70% and a weighted average expected life of the options of 6.7 years. There were no significant stock options granted by the Company during the year ended December 31, 2009, and there were no options granted by IAC during the year ended December 31, 2007 (prior to the spin-off). The Company also issues restricted stock units and restricted stock, and the value of the instrument is measured at the grant date as the fair value of common stock and amortized ratably as non-cash compensation expense over the vesting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00" w:firstLine="348"/>
        <w:spacing w:after="0" w:line="291"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which are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Adjusted EBITDA is defined as EBITDA excluding (1) non-cash compensation expense, (2) non-cash intangible asset impairment charges, (3) gain/loss on disposal of assets, (4) restructuring expenses, (5) litigation loss contingencies and settlements, (6) pro forma adjustments for significant acquisitions, and (7) one-time items.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Tree.com will only present EBITDA and Adjusted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EBITDA and Adjusted EBITDA are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Tree.com will include 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EBITDA</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a reconciliation of EBITDA and Adjusted EBITDA to net loss for Tree.com's operating segments for the years ended December 31, 2009, 2008 and 2007, see Note 8 to the consolidated financial statements.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and interest rate lock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mortgage forward delivery contracts. The changes in fair value of the derivative instruments are recognized in current earnings as a component of revenue.</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mortgage forward delivery contracts.</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net change in the fair value of the IRLCs and related forward delivery contracts, including the impact of day one gains and servicing value, for the years ended December 31, 2009 and 2008 resulted in gains of $96.8 million and $55.9 million, respectively, which have been recognized as a component of revenue.</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December 31, 2009, if market interest rates had increased by 1.00%, the aggregate fair value of the derivative financial instruments and the hedged items at LendingTree Loans would have increased by $0.6 million. As of December 31, 2009, if market interest rates had decreased by 1.00%, the aggregate fair value of the derivative financial instruments and the hedged items at LendingTree Loans would have decreased by $1.6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Tree.com, Inc.</w:t>
      </w:r>
    </w:p>
    <w:p>
      <w:pPr>
        <w:spacing w:after="0" w:line="219"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 of Tree.com, Inc. and subsidiaries (the "Company") as of December 31, 2009, and the related consolidated statements of operations, shareholders' equity, and cash flows for the year ended December 31, 2009. Our audit also included the financial statement schedule listed in the Index at Item 15(a). These financial statements and financial schedule are the responsibility of the Company's management. Our responsibility is to express an opinion on these financial statements and financial schedule based on our audit.</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Tree.com, Inc. and subsidiaries as of December 31, 2009, and the results of their operations and their cash flows for the year ended December 31, 2009 in conformity with accounting principles generally accepted in the United States of America. Also, in our opinion, such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discussed in Note 2 to the consolidated financial statements, beginning January 1, 2009, the Company adopted a new accounting standard for business combinations.</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2, 2010 expressed an unqualified opinion on the Company's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2010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Tree.com, Inc. and subsidiaries</w:t>
      </w:r>
    </w:p>
    <w:p>
      <w:pPr>
        <w:spacing w:after="0" w:line="219"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have audited the accompanying consolidated balance sheet of Tree.com, Inc. and subsidiaries (the Company) as of December 31, 2008, and the related consolidated statements of operations, shareholders' equity, and cash flows for each of the two years in the period ended December 31, 2008. Our audits also included the financial statement schedule listed in the Index at Item 15(a). These financial statements and financial statement schedule are the responsibility of the Company's management. Our responsibility is to express an opinion on these financial statements and the financial statement schedule based on our audits.</w:t>
      </w:r>
    </w:p>
    <w:p>
      <w:pPr>
        <w:spacing w:after="0" w:line="15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360" w:firstLine="351"/>
        <w:spacing w:after="0" w:line="32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Tree.com, Inc. and subsidiaries at December 31, 2008, and the consolidated results of their operations and their cash flows for each of the two years in the period ended December 31, 2008,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discussed in Notes 2 and 10 to the consolidated financial statements, Tree.com Inc. and subsidiaries adopted Statement of Financial Accounting Standard</w:t>
      </w:r>
    </w:p>
    <w:p>
      <w:pPr>
        <w:spacing w:after="0" w:line="5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157 "Fair Value Measurements" and Statement of Financial Accounting Standard 159 "The Fair Value Option for Financial Assets and Financial Liabilities Including an Amendment of FASB Statement No. 115" effective January 1, 2008.</w:t>
      </w:r>
    </w:p>
    <w:p>
      <w:pPr>
        <w:spacing w:after="0" w:line="200" w:lineRule="exact"/>
        <w:rPr>
          <w:sz w:val="20"/>
          <w:szCs w:val="20"/>
          <w:color w:val="auto"/>
        </w:rPr>
      </w:pPr>
    </w:p>
    <w:p>
      <w:pPr>
        <w:spacing w:after="0" w:line="2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Ernst and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9"/>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60"/>
              <w:spacing w:after="0"/>
              <w:rPr>
                <w:sz w:val="20"/>
                <w:szCs w:val="20"/>
                <w:color w:val="auto"/>
              </w:rPr>
            </w:pPr>
            <w:r>
              <w:rPr>
                <w:rFonts w:ascii="Arial" w:cs="Arial" w:eastAsia="Arial" w:hAnsi="Arial"/>
                <w:sz w:val="18"/>
                <w:szCs w:val="18"/>
                <w:color w:val="auto"/>
              </w:rPr>
              <w:t>LendingTree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117,670</w:t>
            </w:r>
          </w:p>
        </w:tc>
        <w:tc>
          <w:tcPr>
            <w:tcW w:w="2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97,929</w:t>
            </w:r>
          </w:p>
        </w:tc>
        <w:tc>
          <w:tcPr>
            <w:tcW w:w="160" w:type="dxa"/>
            <w:vAlign w:val="bottom"/>
          </w:tcPr>
          <w:p>
            <w:pPr>
              <w:spacing w:after="0"/>
              <w:rPr>
                <w:sz w:val="18"/>
                <w:szCs w:val="18"/>
                <w:color w:val="auto"/>
              </w:rPr>
            </w:pP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Exchanges and other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51,752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60"/>
              <w:spacing w:after="0"/>
              <w:rPr>
                <w:sz w:val="20"/>
                <w:szCs w:val="20"/>
                <w:color w:val="auto"/>
              </w:rPr>
            </w:pPr>
            <w:r>
              <w:rPr>
                <w:rFonts w:ascii="Arial" w:cs="Arial" w:eastAsia="Arial" w:hAnsi="Arial"/>
                <w:sz w:val="18"/>
                <w:szCs w:val="18"/>
                <w:color w:val="auto"/>
              </w:rPr>
              <w:t>Exchanges and other</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vMerge w:val="restart"/>
          </w:tcPr>
          <w:p>
            <w:pPr>
              <w:ind w:left="120"/>
              <w:spacing w:after="0"/>
              <w:rPr>
                <w:sz w:val="20"/>
                <w:szCs w:val="20"/>
                <w:color w:val="auto"/>
              </w:rPr>
            </w:pPr>
            <w:r>
              <w:rPr>
                <w:rFonts w:ascii="Arial" w:cs="Arial" w:eastAsia="Arial" w:hAnsi="Arial"/>
                <w:sz w:val="18"/>
                <w:szCs w:val="18"/>
                <w:color w:val="auto"/>
              </w:rPr>
              <w:t>Total cost of revenue (exclusive of depreciation shown separately below)</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78,751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142,015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164,335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475,682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166,328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vMerge w:val="restart"/>
          </w:tcPr>
          <w:p>
            <w:pPr>
              <w:ind w:left="26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(24,313)</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(215,030)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(540,440)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(24,842)</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(215,550)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(540,241)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2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(24,474)</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(202,276)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(550,402)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available to common shareholders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(2.32)</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5"/>
              </w:rPr>
              <w:t>December 31, 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jc w:val="right"/>
              <w:ind w:right="373"/>
              <w:spacing w:after="0" w:line="129" w:lineRule="exact"/>
              <w:rPr>
                <w:sz w:val="20"/>
                <w:szCs w:val="20"/>
                <w:color w:val="auto"/>
              </w:rPr>
            </w:pPr>
            <w:r>
              <w:rPr>
                <w:rFonts w:ascii="Arial" w:cs="Arial" w:eastAsia="Arial" w:hAnsi="Arial"/>
                <w:sz w:val="14"/>
                <w:szCs w:val="14"/>
                <w:b w:val="1"/>
                <w:bCs w:val="1"/>
                <w:color w:val="auto"/>
                <w:w w:val="87"/>
              </w:rPr>
              <w:t>except par value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and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86,093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Accounts receivable, net of allowance of $518 and $367, respectively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Loans held for sale ($92,236 and $85,638 measured at fair value, respectively)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Warehouse lines of credit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78,481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trade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Commitments and contingencies (Notes 14 and 15)</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Preferred stock $.01 par value; authorized 5,000,000 shares; none issued or</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$.01 par value; authorized 50,000,000 shares; issued and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10,904,330 and 9,369,381 shares, respectively</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901,818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894,577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(781,017)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120,910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291,832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2"/>
              </w:rPr>
              <w:t>Payables to</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Invested</w:t>
            </w:r>
          </w:p>
        </w:tc>
        <w:tc>
          <w:tcPr>
            <w:tcW w:w="7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IAC and</w:t>
            </w:r>
          </w:p>
        </w:tc>
        <w:tc>
          <w:tcPr>
            <w:tcW w:w="4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Subsidiaries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Balance as of 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773,453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750,331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 ended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(550,402)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(550,402)</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(550,402)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 change in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 principle</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Net transfers to IAC (principally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w w:val="95"/>
              </w:rPr>
              <w:t>tax adjustments related to equity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4"/>
              </w:rPr>
              <w:t>Net change in payables to IAC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(9,059)</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Balance as of December 31, 2007</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214,624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751,923</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(557,366)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Net loss for the year ended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280"/>
              <w:spacing w:after="0"/>
              <w:rPr>
                <w:sz w:val="20"/>
                <w:szCs w:val="20"/>
                <w:color w:val="auto"/>
              </w:rPr>
            </w:pPr>
            <w:r>
              <w:rPr>
                <w:rFonts w:ascii="Arial" w:cs="Arial" w:eastAsia="Arial" w:hAnsi="Arial"/>
                <w:sz w:val="18"/>
                <w:szCs w:val="18"/>
                <w:color w:val="auto"/>
              </w:rPr>
              <w:t>December 31, 2008</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(202,276)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(202,276)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(202,276)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8"/>
              </w:rPr>
              <w:t>Cumulative effect of adoption of a</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change in accounting principle</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Spin-off contribution from IAC,</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net of invested capital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w w:val="97"/>
              </w:rPr>
              <w:t>extinguishment of intercompany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amounts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111,423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(751,923)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883,413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(20,067)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upon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spin off</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w w:val="98"/>
              </w:rPr>
              <w:t>vesting of restricted stock units,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net of withholding taxes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payable in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Balance as of December 31, 2008</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138,128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894,577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(756,543)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Net loss for the year ended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280"/>
              <w:spacing w:after="0"/>
              <w:rPr>
                <w:sz w:val="20"/>
                <w:szCs w:val="20"/>
                <w:color w:val="auto"/>
              </w:rPr>
            </w:pPr>
            <w:r>
              <w:rPr>
                <w:rFonts w:ascii="Arial" w:cs="Arial" w:eastAsia="Arial" w:hAnsi="Arial"/>
                <w:sz w:val="18"/>
                <w:szCs w:val="18"/>
                <w:color w:val="auto"/>
              </w:rPr>
              <w:t>December 31, 2009</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(24,474)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(24,474)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w w:val="98"/>
              </w:rPr>
              <w:t>vesting of restricted stock units,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net of withholding taxes</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Balance as of December 31, 2009</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68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120,910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10,904</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901,818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(781,017)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(24,474)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(202,276)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(550,402)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provided by (used in) operating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impairment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130,957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Non-cash restructuring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Gain on origination and sale of loans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(110,320)</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(88,968)</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impaired loans not sold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Loss on real estate acquired in satisfaction of loans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Origination of loans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(2,855,246)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(2,206,065)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(5,812,047)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Proceeds from sales of loans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2,969,658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2,291,022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6,218,684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received on loans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w w:val="96"/>
              </w:rPr>
              <w:t>Payments to investors for loan repurchases and early payoff obligations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(23,329)</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(41,920)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Contingent acquisition consideration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(14,487)</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Borrowing under warehouse lines of credit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2,475,106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1,993,938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5,651,803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warehouse lines of credit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(2,472,811)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(1,997,179)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(5,910,849)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Principal payments on long-term obligations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(20,045)</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to IAC</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Spin-off capital contributions from IAC</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net of withholding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Excess tax benefits from stock-based awards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restricted cash</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88,384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(275,596)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99,498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0280"/>
          </w:cols>
          <w:pgMar w:left="240" w:top="131" w:right="1379" w:bottom="1440" w:gutter="0" w:footer="0" w:header="0"/>
        </w:sect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businesses that formerly comprised IAC's Lending and Real Estate segments as well as newly acquired or developed brands and businesses. We refer herein to these businesses as the "Tree.com Businesses" as more fully described in the Company Overview below.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conjunction with the spin-off, Tree.com completed the following transactions: (1) extinguished all intercompany payable balances with IAC,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totaled $56.2 million, by recording a non-cash contribution from IAC, (2) recapitalized the invested capital balances with common stock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whereby holders of IAC stock received one-thirtieth of a share of common stock of Tree.com, and (3) received $55.2 million of cash from IAC.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historical consolidated financial statements of Tree.com and its subsidiaries reflect the contribution or other transfer to Tree.com of all of the subsidiaries and assets and the assumption by Tree.com of all of the liabilities relating to the Tree.com Businesses in connection with the spin-off and the allocation to Tree.com of certain IAC corporate expenses relating to the Tree.com Businesses. Accordingly, the historical consolidated financial statements of Tree.com reflect the historical financial position, results of operations and cash flows of the Tree.com Businesses since their respective dates of acquisition by IAC, based on the historical consolidated financial statements and accounting records of IAC and using the historical results of operations and historical bases of the assets and liabilities of the Tree.com Businesses with the exception of accounting for income taxes. For purposes of these financial statements, income taxes have been computed for Tree.com on an as if stand-alone, separate tax return basis. Intercompany transactions and accounts have been eliminated.</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Tree.com's management, the assumptions underlying the historical consolidated financial statements of Tree.com are reasonable. However, this financial information does not necessarily reflect what the historical financial position, results of operations and cash flows of Tree.com would have been had Tree.com been a stand-alone company during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Exchanges segment consists of online lead generation networks and call centers (principally LendingTree.com, Tree.com, DegreeTree.com, LendingTree/Autos and GetSmart.com) that connect consumers and service providers principally in the lending, higher education and automobile marketplaces.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 xml:space="preserve">The Real Estate segment consists of a proprietary full service real estate brokerage (RealEstate.com, REALTORS®) that operates in 20 U.S. markets, as well as an online lead generation network accessed at </w:t>
      </w:r>
      <w:r>
        <w:rPr>
          <w:rFonts w:ascii="Arial" w:cs="Arial" w:eastAsia="Arial" w:hAnsi="Arial"/>
          <w:sz w:val="15"/>
          <w:szCs w:val="15"/>
          <w:i w:val="1"/>
          <w:iCs w:val="1"/>
          <w:color w:val="auto"/>
        </w:rPr>
        <w:t>www.RealEstate.com</w:t>
      </w:r>
      <w:r>
        <w:rPr>
          <w:rFonts w:ascii="Arial" w:cs="Arial" w:eastAsia="Arial" w:hAnsi="Arial"/>
          <w:sz w:val="15"/>
          <w:szCs w:val="15"/>
          <w:color w:val="auto"/>
        </w:rPr>
        <w:t>, that connects consumers with third party real estate brokerages around the country.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2009, Tree.com purchased certain assets of four separate companies, with an aggregate purchase price of $5.7 million in cash and $1.0 million in contingent consideration. The contingent consideration relates to one of the purchases, and the amount is based on a percentage of estimated cumulative earnings over a period of thirty-six months from the date of acquisition. The minimum payout under the arrangement is zero and the maximum payout is unlimited. There have been no changes in the amount recognized or in the range of payouts since the date of acquisition. All four transactions are part of our strategic initiative to diversify our revenue streams outside of the mortgage and real estate industries.</w:t>
      </w:r>
    </w:p>
    <w:p>
      <w:pPr>
        <w:spacing w:after="0" w:line="170"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These purchases are being accounted for under the acquisition method of accounting. Accordingly, the purchase price is allocated to the acquired assets and liabilities based on their estimated fair values at the acquisition date. The purchase price of the purchases has been allocated as $3.9 million to intangible assets with useful lives of five months to thirteen years and $2.9 million to goodwill, all of which are recorded in the Exchanges segment. The goodwill recognized primarily relates to synergies of the combined organizations and intangible assets that do not qualify for separate recognition.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effect of these purchases was not material to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31"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all entities that are wholly-owned by the Company. Intercompany transactions and accounts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connection with the change in reportable segments (see Note 8), certain prior period amounts have been reclassified to conform with the current year presentation with no effect on net loss or accumulated deficit. Specifically, compensation and other employee-related costs for loan officers within the LendingTree Loans segment totaling $12.4 million and $5.6 million for the years ended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December 31, 2008 and 2007, respectively, were reclassified from selling and marketing expense to cost of revenue, and certain other expenses totaling $0.3 million for the year ended December 31, 2008, were reclassified from general and administrative expense to selling and marketing expense.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LendingTree Loans' revenues are primarily derived from the origination and sale of mortgage loans. Loans are funded through warehouse lines of credit and are sold to investors, typically within thirty days. The gain or loss on the sale of loans is realized on the date the loans are sold. The Company sells its loans on a servicing released basis in which the Company gives up the right to service the loans.</w:t>
      </w:r>
    </w:p>
    <w:p>
      <w:pPr>
        <w:spacing w:after="0" w:line="19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Loans funded prior to January 1, 2008 are carried at the lower of cost or market value determined on an aggregate basis except for loans that are impaired, which are assessed on an individual basis. Loans are deemed impaired when they have a significant defect impacting the ability of the Company to sell the loan and recoup substantially all of the balance due. Loan origination fees and certain direct costs related to the origination of loans prior to January 1, 2008 were capitalized and deferred until the loans were sold. Upon sale of the loans, the origination fees and costs were recognized as a component of the gain on sale of loans.</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Subsequent to the adoption of the fair value accounting standards on January 1, 2008 (See Recent Accounting Pronouncements), loans are recorded at fair value at the time of origination. Changes in the fair value of loans are recorded through revenue prior to the sale of the loans to investors. At the time of sale, any difference between the estimated fair value of the loan and the sales price is recorded as an adjustment to the gain.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Exchange revenue principally represents match fees and closed-loan fees paid by lenders that received a transmitted loan request or closed a loan for a consumer that originated through one of LendingTree's websites or affiliates. Exchange revenue also includes match fees paid by institutions of higher education and professionals in the home services industry for a transmitted lead or service request. Match fees are recognized at the time qualification forms are transmitted, while closed-loan fees are recognized at the time the lender reports the closed loan to LendingTree, which may be several months after the loan request is transmitted.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Real Estate earns revenue from commissions paid by consumers for our agents closing a real estate transaction on their behalf and from subscription and cooperative brokerage fees paid by real estate professionals participating on its exchange. Commissions are recognized at the time the real estate transaction is closed. Subscription fees are recognized over the subscription period. Cooperative brokerage fees are recognized when the transmission of a consumer's information results in the purchase or sale of a home and the transaction is reported closed by the participating real estate professional.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include cash and short-term, highly liquid money market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 escrow for future operating lease commitments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Cash in escrow for surety bonds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w w:val="96"/>
              </w:rPr>
              <w:t>Minimum required balances for warehouse lines of credit(a)</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120" w:hanging="550"/>
        <w:spacing w:after="0" w:line="306" w:lineRule="auto"/>
        <w:tabs>
          <w:tab w:leader="none" w:pos="2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additional $0.8 million of restricted cash is required under a warehouse line of credit that has no borrowings outstanding as of December 31, 2009. If the Company were to borrow against this line of credit, the $0.8 million would be transferred from cash and cash equivalents to restricted cash and cash equivalents.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Accounts receivable are stated at amounts due from customers, primarily lending, real estate and higher education service providers participating on our networks, net of an allowance for doubtful accounts.</w:t>
      </w:r>
    </w:p>
    <w:p>
      <w:pPr>
        <w:spacing w:after="0" w:line="186"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Accounts receivable outstanding longer than the contractual payment terms are considered past due. The Company determines its allowance for doubtful accounts by considering a number of factors, including the length of time accounts receivable are past due, the Company's previous loss history, the specific customer's current ability to pay its obligation to the Company and the condition of the general economy and the customer's industry as a whole. The Company writes off accounts receivable when management deems them uncollectible. Write-offs were $0.3 million, $0.6 million and $2.7 million for the years ended December 31, 2009, 2008 and 2007,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and second mortgage loans that are secured by residential real estate throughout the United States.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Effective January 1, 2008 the Company adopted the accounting standard for the fair value option for financial assets and financial liabilities, which permits entities to choose to measure certain financial instruments at fair value with the objective of reducing both the complexity in the accounting for financial instruments and the volatility in earnings caused by measuring related assets and liabilities differently. Upon adoption, the Company elected to account for loans held for sale originated on or after January 1, 2008 at fair value.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did not elect the fair value option on loans held for sale originated prior to January 1, 2008 or on any loans that have been repurchased from investors. As of December 31, 2009 and 2008, $1.4 million and $2.2 million, respectively, of such loans were impaired and carried on the balance sheet at the lower of cost or market value assessed on an individual loan basis.</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fair value of loans held for sale is determined using current secondary market prices for loans with similar coupons, maturities and credit quality. Loans held for sale are pledged as collateral under LendingTree Loans' warehouse lines of credit. LendingTree Loans relies substantially on the secondary mortgage market as all of the loans originated are sold into this market.</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Fees received from borrowers for a commitment to originate a mortgage loan at a specified rate (interest rate lock commitment or "IRLC") are deferred. Such fees are generally credited toward loan origination fees when the loan is funded or recognized as income upon expiration of the commitment in the case of unexercised commitments.</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Interest on mortgage loans held for sale is recognized as earned and is only accrued if deemed collectible. Interest is generally deemed uncollectible when a loan becomes three months or more delinquent or when a loan has a defect affecting its salability. Delinquency is calculated based on the contractual due date of the loan. Loans are written off when deemed uncollectible.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To the extent LendingTree Loans does not comply with such representations or there are early payment defaults, LendingTree Loans may be required to repurchase loans or indemnify the investors for any losses from borrower defaults. The Company initially records the liability for this obligation at fair value as a reduction in revenue. Subsequently, LendingTree Loans maintains a liability for the estimated obligation related to this exposure based, in part, on historical and projected loss frequency and loss severity using its loan loss history (adjusted for recent trends in loan loss experience as well as market pricing information on loans repurchased), the original principal amount of the loans previously sold, the year the loans were sold, and loan type. There are four loan types used in this analysis that are determined based on the extent of the documentation received (full or limited) and the lien position of the mortgage in the underling property (first or second position). In the case of early payoffs, which occur when a borrower prepays a loan prior to the end of a specified period, LendingTree Loans may be required to repay all or a portion of the premium initially paid by the investor. The estimated obligation associated with early payoffs is calculated based on historical loss experience by loan type.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Properties Acquired in Satisfaction of Loans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Real estate properties acquired in satisfaction of loans are recorded at the lower of carrying amount or estimated fair value less selling costs on their acquisition dates. Subsequent write-downs, costs to maintain the property, and gains or losses realized upon disposition are included in operating expenses in the accompanying consolidated statements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Property and equipment, including significant improvements, are recorded at cost less accumulated depreciation. Repairs and maintenance and any gains or losses on dispositions are included in operations.</w:t>
      </w:r>
    </w:p>
    <w:p>
      <w:pPr>
        <w:spacing w:after="0" w:line="186"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Depreciation is recorded on a straight-line basis to allocate the cost of depreciable assets to operations over their estimated service lives. Amortization of assets recorded under capital leases is included in depreciation expense. The following table presents the depreciation period for each asset category:</w:t>
      </w:r>
    </w:p>
    <w:p>
      <w:pPr>
        <w:spacing w:after="0" w:line="13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Depreciation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to 5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Lesser of asset life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or life of lease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 to 7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Software development costs primarily include expenses incurred to develop the software that powers our websites. Certain costs incurred during the application development stage are capitalized, while costs incurred during the preliminary project stage and post-implementation/operation stage are expensed as incurred. Capitalized software development costs are amortized over estimated lives of one to three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acquired in business combinations is assigned to the reporting units that are expected to benefit from the combination as of the acquisition date.</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Goodwill impairment is determined using a two-step process. The first step of the process is to compare the fair value of a reporting unit with its carrying amount, including goodwill. In performing the first step, Tree.com determines the fair value of its reporting units by using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17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impairment test for indefinite-lived intangible assets involves a comparison of the estimated fair value of the intangible asset with its carrying value. If the carrying value of the indefinite-lived intangible asset exceeds its fair value, an impairment loss is recognized in an amount equal to that excess. The estimates of fair value of indefinite-lived intangible assets are determined using a DCF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valuation analysis that employs a "relief from royalty" methodology in estimating the fair value of its trade names and trademarks. Significant judgments inherent in this analysis include the determination of royalty rates, discount rates and the terminal growth rates.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Goodwill and indefinite-lived intangible assets, primarily trade names and trademarks, are tested annually for impairment as of October 1 or earlier upon the occurrence of certain events or substantive changes in circumstances. In light of the substantive changes in the mortgage and real estate markets, Tree.com performed interim tests as of June 30, 2009 and 2008, in addition to the annual test on October 1, 2009 and 2008. Tree.com identified impairments in the interim tests in 2009 and 2008, and in the annual test in 2009, as described in Note 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Long-lived assets, including property and equipment and intangible assets with definite lives, are tested for recoverability whenever events or changes in circumstances indicate that their carrying amount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 Amortization of definite lived intangible assets is recorded on a straight-line basis over their estimated lives.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Tree.com is exposed to certain risks in connection with its mortgage banking operations. LendingTree Loans is exposed to interest rate risk for loans it originates until those loans are sold in the secondary market. The fair value of loans held for sale is subject to change primarily due to changes in market interest rates. LendingTree Loans economically hedges the changes in fair value of certain loans held for sale primarily by entering into mortgage forward delivery contracts. Although LendingTree Loans continues to enter into derivatives for risk management purposes, effective April 1, 2007 it no longer designates these derivative instruments as hedges for accounting purposes and thus the relationships no longer qualify for the hedge accounting provisions. See Note 10 for a description of Tree.com's derivative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and real estate network support staff and loan officers, as well as credit scoring fees, consumer incentive costs, real estate agent commissions and website network hosting and server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Promotional Costs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Company offers certain consumers that utilize our exchange services promotional incentives to complete a transaction. These include cash payments, gift certificates, airline miles or other discounts or coupons in the event a transaction is completed utilizing our services. The liability is estimated for these consumer promotional costs each period based on the number of consumers that are presented such offers, the cost of the item being offered and the historical trends of consumers qualifying for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offer and our payout rates. The estimated costs of the consumer promotional incentives are charged to cost of revenue each period. Consumer promotional expense was $3.6 million, $9.4 million, and $16.1 million for the years ended December 31, 2009, 2008 and 2007, respectively. Consumer promotional costs accrued totaled $0.6 million at both December 31, 2009 and 2008, and are included in accrued expenses and other current liabilities in the accompanying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31"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are not capitalized.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1"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Advertising costs are expensed in the period incurred (when the advertisement first runs for production costs that are initially capitalized) and principally represent offline costs, including television, print and radio advertising, and online advertising costs, including fees paid to search engines and distribution partners. Advertising expense was $57.9 million, $92.0 million, and $172.6 million for the years ended December 31, 2009, 2008 and 2007, respectively. There was no prepaid advertising at December 31, 2009 or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Tree.com accounts for income taxes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other than enactments of changes in the tax law or rates,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Tree.com records interest on potential tax contingencies as a component of income tax expense and records interest net of any applicable related income tax benefit.</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Effective January 1, 2007, Tree.com adopted the provisions of the accounting standard for uncertainty in income taxes. As a result of the standard, Tree.com recognizes liabilities for uncertain tax positions based on the two-step process prescribed by the interpretation.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Tree.com records stock-based compensation in accordance with the accounting standard for share based payments. See Note 3 for further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Tree.com's business is subject to certain risks and concentrations including dependence on third party technology providers, exposure to risks associated with online commerce security and credit card fraud.</w:t>
      </w:r>
    </w:p>
    <w:p>
      <w:pPr>
        <w:spacing w:after="0" w:line="186"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Financial instruments, which potentially subject Tree.com to concentration of credit risk, consist primarily of cash and cash equivalents. Cash and cash equivalents are maintained with quality financial institutions of high credit and are in excess of Federal Deposit Insurance Corporation insurance limits.</w:t>
      </w:r>
    </w:p>
    <w:p>
      <w:pPr>
        <w:spacing w:after="0" w:line="116"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Due to the nature of the mortgage lending industry, changes in interest rates may significantly impact revenue from originating mortgages and subsequent sales of loans to investors, which are the primary source of income for LendingTree Loans. LendingTree Loans originates mortgage loans on property located throughout the United States, with revenue from loans originated for property located in California totaling approximately 11%, 5%, and 5% of Tree.com's consolidated revenue in 2009, 2008 and 2007, respectively.</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LendingTree Loan's two largest investors (purchasers of the loans originated) represented approximately 25% and 13% of Tree.com's revenue for 2009, 12% and 11% of Tree.com's revenue for 2008, and 28% and 13% of Tree.com's revenue for 2007. LendingTree Loans monitors its relationships with investors and, from time to time, makes adjustments in the amount it sells to any one investor based upon a number of factors, including but not limited to, price, loan review time and funding turnaround, underwriting guidelines and the overall efficiency of its relationship with the investor.</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LendingTree Loans funds loans through warehouse lines of credit. As of December 31, 2009 and 2008, 56% and 65%, respectively, of the total balance due on the lines of credit was payable to one lender. The decision regarding how to allocate this balance amongst lenders is based on several factors, including the interest rate and commitment fee.</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Due to the nature of the mortgage lending industry, interest rate increases may negatively impact future revenue from our lending networks as well as revenue from originating and selling loans.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Further, lenders participating on our lending networks can offer their products directly to consumers through brokers, mass marketing campaigns, or through other traditional methods of credit distribution. These lenders can also offer their products online, either directly to prospective borrowers, through one or more of our online competitors, or both. If a significant number of potential consumers are able to obtain loans from our participating lenders without utilizing our service, our ability to generate revenue may be limited. Because we do not have exclusive relationships with the lenders whose loan offerings are offered on our online marketplace, consumers may obtain offers and loans from these lenders without using our service.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On July 1, 2009, the Financial Accounting Standards Board ("FASB") issued guidance with the objective of establishing the Accounting Standards Codification as the source of authoritative nongovernmental GAAP. All existing accounting standards have been superseded and all other accounting literature not included in the codification will be considered non-authoritative. Accordingly, all references to accounting standards have been conformed to the new codification hierarchy.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1, 2009, Tree.com adopted the accounting standard for business combinations, which establishes principles and requirements for how an acquirer recognizes and measures in its financial statements the identifiable assets acquired, the liabilities assumed, any non-controlling interest in the acquiree and the goodwill acquired. This standard also establishes disclosure requirements that will enable users to evaluate the nature and financial effects of the business combination. The standard applies prospectively to business combinations in fiscal years beginning after December 15, 2008. The Company applied this standard to its business combinations made subsequent to January 1, 2009. See Note 1 for further information.</w:t>
      </w:r>
    </w:p>
    <w:p>
      <w:pPr>
        <w:spacing w:after="0" w:line="170"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January 1, 2009, Tree.com adopted the updated accounting standard for derivatives and hedging. This standard amends and expands the existing disclosure requirements with the intent to provide users of financial statements with an enhanced understanding of: (i) how and why an entity uses derivative instruments; (ii) how derivative instruments and related hedged items are accounted for; and (iii) how derivative instruments and related hedged items affect an entity's financial position, financial performance and cash flows. The adoption of this standard did not have a material impact on the Company's consolidated financial statements. See Note 10 for further information.</w:t>
      </w:r>
    </w:p>
    <w:p>
      <w:pPr>
        <w:spacing w:after="0" w:line="19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On April 9, 2009, the FASB issued and Tree.com adopted the updated accounting standards for financial instruments and interim reporting. The new standards require disclosures about fair value of financial instruments for interim reporting periods of publicly traded companies as well as in annual financial statements. The new standards also require those disclosures in summarized financial information at interim reporting periods. See Note 10 for further information.</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On May 28, 2009, the FASB issued and Tree.com adopted the accounting standard for subsequent events. This standard establishes principles and requirements for subsequent events, in particular: (i) the period after the balance sheet date during which management of a reporting entity shall evaluate events or transactions that may occur for potential recognition or disclosure in the financial statements; (ii) the circumstances under which an entity shall recognize events or transactions occurring after the balance sheet date in its financial statements; and (iii) the disclosures that an entity shall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make about events or transactions that occurred after the balance sheet date. See Note 1 for further information.</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On June 12, 2009, the FASB issued the accounting standard for transfers and servicing of financial assets. The objective is to improve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This standard is effective for annual reporting periods beginning after November 15, 2009. The Company is evaluating the impact of adopting this standard.</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February 2007, the FASB issued the accounting standard for the fair value option for financial assets and financial liabilities. The standard permits entities to choose to measure many financial instruments and certain other assets and liabilities at fair value with the objective of reducing both the complexity in the accounting for financial instruments and the volatility in earnings caused by measuring related assets and liabilities differently. This standard is effective for fiscal years beginning after November 15, 2007. Tree.com adopted this standard effective January 1, 2008 and elected the fair value option on loans funded after December 31, 2007. Therefore, there was no cumulative effect related to the adoption of this standard.</w:t>
      </w:r>
    </w:p>
    <w:p>
      <w:pPr>
        <w:spacing w:after="0" w:line="17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September 2006, the FASB issued the accounting standard for fair value measurements, which provides enhanced guidance for using fair value to measure assets and liabilities. This standard is effective for fiscal years beginning after November 15, 2007, and interim periods within those fiscal years. This standard defines fair value, establishes a framework for measuring fair value and expands disclosures about fair value measurements and the effect of the measurements on earnings or changes in net assets. Among other things, this standard clarifies the principle that fair value should be based on the assumptions that market participants would use when pricing the asset or liability and establishes a fair value hierarchy that prioritizes the information used to develop those assumptions. The most significant financial impact of adopting the provisions of this standard is related to the valuing of interest rate lock commitments (related to loans intended to be held for sale). Under this standard, the fair value of a closed loan includes the embedded cash flows that are ultimately realized as servicing value or through the sale of a loan on a servicing released basis. The valuation of loan commitments includes assumptions related to the likelihood that a commitment will ultimately result in a closed loan ("expected close rates"). These expected close rates are based on Tree.com's historical data, which is a significant unobservable assumption. Prior accounting requirements precluded the recognition of any day one gains and losses if fair value was not based on observable market data. Rather, these gains and losses were recognized when the underlying loan was ultimately sold. The change in valuation methodology under this standard accelerates the recognition of these day one gains and losses. The cumulative effect of adopting the provisions of this standard is required to be reported as an adjustment to beginning retained earnings in the year of adoption. Accordingly, upon adoption of this standard on January 1, 2008, Tree.com recorded a $3.1 million reduction to accumulated deficit.</w:t>
      </w:r>
    </w:p>
    <w:p>
      <w:pPr>
        <w:spacing w:after="0" w:line="18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November 2007, the SEC issued the accounting bulletin for written loan commitments recorded at fair value through earnings. This accounting bulletin supersedes the previous accounting standard for application of accounting principles to loan commitments. It clarifies that the expected net future cash flows related to the associated servicing of a loan should be included in the measurement of all written loan commitments that are accounted for at fair value through earnings. However, it retains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guidance in the previous accounting bulletin that internally-developed intangible assets should not be recorded as part of the fair value of a derivative loan commitment. The guidance is effective on a prospective basis to derivative loan commitments issued or modified in fiscal quarters beginning after December 15, 2007.</w:t>
      </w:r>
    </w:p>
    <w:p>
      <w:pPr>
        <w:spacing w:after="0" w:line="19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adoption of the fair value accounting standards above generally results in higher fair values of interest rate lock commitments and loans held for sale being recorded at loan origination. Prior to adoption certain aspects of the loan value associated with the cash flows related to the servicing of a loan, origination fees and day one gains on derivative transactions would be deferred until the sale of the loan. However, as loans are typically sold within thirty days of origination, Tree.com has determined that adoption of the above mentioned accounting standards did not have a material impact on its consolidated financial position, results of operations or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Tree.com currently has one active plan ("Tree.com 2008 Stock and Annual Incentive Plan") under which future awards may be granted, which currently covers outstanding stock options to acquire shares of Tree.com common stock and restricted stock units ("RSUs"), and provides for the future grant of these and other equity awards. Under the Tree.com 2008 Stock and Annual Incentive Plan, the Company is authorized to grant stock options, RSUs and other equity based awards for up to 2.75 million shares of Tree.com common stock. The active plan described above authorizes the Company to grant awards to its employees, officers and directors. Finally, this active plan also governs certain equity awards of IAC that were converted into equity awards of Tree.com in connection with the spin-off.</w:t>
      </w:r>
    </w:p>
    <w:p>
      <w:pPr>
        <w:spacing w:after="0" w:line="198"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In addition, the plan described above has a stated term of ten years and provides that the exercise price of stock options granted will not be less than the market price of the Company's common stock on the grant date. The plan does not specify grant dates or vesting schedules as those determinations have been delegated to the Compensation Committee of Tree.com's Board of Directors (the "Committee"). Each grant agreement reflects the vesting schedule for that particular grant as determined by the Committee.</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Prior to the spin-off, Tree.com employees received equity awards that were granted under various IAC stock and annual incentive plans. Upon spin-off, these IAC awards were converted into awards of both Tree.com and other former IAC companies. Tree.com will continue to recognize non-cash compensation expense for all of these awards granted to Tree.com employees.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Non-cash stock-based compensation expense related to equity awards is included in the following line items in the accompanying consolidated statements of operations for the years ended December 31, 2009, 2008 and 2007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2,403</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stock-based compensation expense before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3,892</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11,237</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(4,438)</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r>
      <w:tr>
        <w:trPr>
          <w:trHeight w:val="21"/>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Non-cash stock-based compensation expense after income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1,697</w:t>
            </w:r>
          </w:p>
        </w:tc>
      </w:tr>
      <w:tr>
        <w:trPr>
          <w:trHeight w:val="27"/>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Non-cash stock-based compensation in 2008 includes a $6.6 million charge due to the modification of equity-based awards related to the spin-off, which consists of the accelerated vesting of certain restricted stock units and the modification of vested stock options.</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Tax benefits resulting from tax deductions in excess of the stock-based compensation expense recognized in the consolidated statement of operations are reported as a component of financing cash flows. For the years ended December 31, 2009, 2008 and 2007, excess tax benefits from stock-based compensation of $-0-, $0.4 million, and $1.7 million, respectively, are included as a component of financing cash flows.</w:t>
      </w:r>
    </w:p>
    <w:p>
      <w:pPr>
        <w:spacing w:after="0" w:line="161" w:lineRule="exact"/>
        <w:rPr>
          <w:sz w:val="20"/>
          <w:szCs w:val="20"/>
          <w:color w:val="auto"/>
        </w:rPr>
      </w:pPr>
    </w:p>
    <w:p>
      <w:pPr>
        <w:jc w:val="both"/>
        <w:ind w:right="600" w:firstLine="341"/>
        <w:spacing w:after="0" w:line="306" w:lineRule="auto"/>
        <w:rPr>
          <w:sz w:val="20"/>
          <w:szCs w:val="20"/>
          <w:color w:val="auto"/>
        </w:rPr>
      </w:pPr>
      <w:r>
        <w:rPr>
          <w:rFonts w:ascii="Arial" w:cs="Arial" w:eastAsia="Arial" w:hAnsi="Arial"/>
          <w:sz w:val="16"/>
          <w:szCs w:val="16"/>
          <w:color w:val="auto"/>
        </w:rPr>
        <w:t>As of December 31, 2009, there was approximately $2.8 million, $2.9 million and $1.5 million of unrecognized compensation cost, net of estimated forfeitures, related to stock options, RSUs and restricted stock, respectively. These costs are expected to be recognized over a weighted-average period of approximately 2.8 years for stock options, 2.0 years for RSUs and 3.1 years for restricted stock.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1,870,707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21,250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(646,722)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2009</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1,070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8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240,582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9.17</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Substantially all options outstanding at December 31, 2009 are vested or are expected to vest over a weighted-average period of approximately 2.8 years.</w:t>
      </w:r>
    </w:p>
    <w:p>
      <w:pPr>
        <w:spacing w:after="0" w:line="248"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fair value of each stock option award is estimated on the grant date using the Black-Scholes option pricing model. There were 21,250 stock options granted by the Company during the year ended December 31, 2009. There were 364,696 stock options converted from IAC options to Tree.com options in connection with the spin-off and 1,558,950 stock options granted by the Company during the year ended December 31, 2008. There were no options granted by IAC during the year ended December 31, 2007.</w:t>
      </w:r>
    </w:p>
    <w:p>
      <w:pPr>
        <w:spacing w:after="0" w:line="197"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Black-Scholes option pricing model incorporates various assumptions, including expected volatility and expected term. For purposes of this model, no dividends have been assumed. Expected stock price volatilities are estimated based on the historical volatility of similar companies, as the stock of Tree.com began trading on August 21, 2008, and there was insufficient data at the 2008 grant date to calculate its own historical volatility. The risk-free interest rates are based on U.S. Treasury yields for notes with comparable terms as the awards, in effect at the grant date. The expected term of options granted is based on analyses of historical employee termination rates and option exercise patterns, giving consideration to expectations of future employee behavior. The following are the weighted average assumptions used in the Black-Scholes option pricing model for both years ended December 31, 2009 and 2008: volatility factor of 70%, risk-free interest rate of 3.4%, expected term of 6.7 years, and a dividend yield of zero.</w:t>
      </w:r>
    </w:p>
    <w:p>
      <w:pPr>
        <w:spacing w:after="0" w:line="17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weighted average grant date fair value of stock options granted during the year ended December 31, 2008 at market prices equal to Tree.com's common stock on the grant date was $5.04. The stock options granted during the year ended December 31, 2009 were not significant.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connection with the spin-off, the Chairman and CEO was awarded two grants of 589,950 stock options, each of which represents the right to acquire 2.5% of the fully diluted equity at exercise prices representing a total equity value of the Company of $100 million and $300 million. The stock options all cliff vest at the end of five years. The weighted average exercise price and the weighted average fair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value related to these stock option grants were $16.95 and $4.19, respectively. In 2009, the Company entered into an Option Cancellation Agreement with the Chairman and CEO, in which he surrendered for cancellation in its entirety one stock option award to purchase 589,850 shares of the Company's common stock at an exercise price of $25.43 per share.</w:t>
      </w:r>
    </w:p>
    <w:p>
      <w:pPr>
        <w:spacing w:after="0" w:line="19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Tree.com's closing stock price on the last trading day of 2009 and the exercise price, multiplied by the number of in-the-money options) that would have been received by the option holders had all option holders exercised their options on December 31, 2009. This amount changes based on the fair market value of Tree.com's common stock. The total intrinsic value of stock options exercised during the years ended December 31, 2009 and 2008 was $33,000 and $10,000, respectively.</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Cash received from stock option exercises and the related actual tax benefit realized were $95,000 and $14,000 for the year ended December 31, 2009 and $7,000 and $4,000 for the year ended December 31, 2008,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December 31,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20" w:type="dxa"/>
            <w:vAlign w:val="bottom"/>
            <w:tcBorders>
              <w:bottom w:val="single" w:sz="8" w:color="auto"/>
            </w:tcBorders>
            <w:gridSpan w:val="4"/>
          </w:tcPr>
          <w:p>
            <w:pPr>
              <w:ind w:left="1140"/>
              <w:spacing w:after="0"/>
              <w:rPr>
                <w:sz w:val="20"/>
                <w:szCs w:val="20"/>
                <w:color w:val="auto"/>
              </w:rPr>
            </w:pPr>
            <w:r>
              <w:rPr>
                <w:rFonts w:ascii="Arial" w:cs="Arial" w:eastAsia="Arial" w:hAnsi="Arial"/>
                <w:sz w:val="14"/>
                <w:szCs w:val="14"/>
                <w:b w:val="1"/>
                <w:bCs w:val="1"/>
                <w:color w:val="auto"/>
                <w:w w:val="90"/>
              </w:rPr>
              <w:t>Options Outstanding</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5"/>
          </w:tcPr>
          <w:p>
            <w:pPr>
              <w:ind w:left="640"/>
              <w:spacing w:after="0" w:line="142" w:lineRule="exact"/>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300" w:type="dxa"/>
            <w:vAlign w:val="bottom"/>
          </w:tcPr>
          <w:p>
            <w:pPr>
              <w:jc w:val="right"/>
              <w:ind w:right="184"/>
              <w:spacing w:after="0" w:line="149" w:lineRule="exact"/>
              <w:rPr>
                <w:sz w:val="20"/>
                <w:szCs w:val="20"/>
                <w:color w:val="auto"/>
              </w:rPr>
            </w:pPr>
            <w:r>
              <w:rPr>
                <w:rFonts w:ascii="Arial" w:cs="Arial" w:eastAsia="Arial" w:hAnsi="Arial"/>
                <w:sz w:val="14"/>
                <w:szCs w:val="14"/>
                <w:b w:val="1"/>
                <w:bCs w:val="1"/>
                <w:color w:val="auto"/>
              </w:rPr>
              <w:t>Exercisable 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December 31, 2009</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Life in Years</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300" w:type="dxa"/>
            <w:vAlign w:val="bottom"/>
          </w:tcPr>
          <w:p>
            <w:pPr>
              <w:jc w:val="right"/>
              <w:ind w:right="44"/>
              <w:spacing w:after="0"/>
              <w:rPr>
                <w:sz w:val="20"/>
                <w:szCs w:val="20"/>
                <w:color w:val="auto"/>
              </w:rPr>
            </w:pPr>
            <w:r>
              <w:rPr>
                <w:rFonts w:ascii="Arial" w:cs="Arial" w:eastAsia="Arial" w:hAnsi="Arial"/>
                <w:sz w:val="14"/>
                <w:szCs w:val="14"/>
                <w:b w:val="1"/>
                <w:bCs w:val="1"/>
                <w:color w:val="auto"/>
                <w:w w:val="91"/>
              </w:rPr>
              <w:t>December 31, 2009</w:t>
            </w:r>
          </w:p>
        </w:tc>
        <w:tc>
          <w:tcPr>
            <w:tcW w:w="1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280" w:type="dxa"/>
            <w:vAlign w:val="bottom"/>
          </w:tcPr>
          <w:p>
            <w:pPr>
              <w:jc w:val="right"/>
              <w:spacing w:after="0"/>
              <w:rPr>
                <w:sz w:val="20"/>
                <w:szCs w:val="20"/>
                <w:color w:val="auto"/>
              </w:rPr>
            </w:pPr>
            <w:r>
              <w:rPr>
                <w:rFonts w:ascii="Arial" w:cs="Arial" w:eastAsia="Arial" w:hAnsi="Arial"/>
                <w:sz w:val="18"/>
                <w:szCs w:val="18"/>
                <w:color w:val="auto"/>
              </w:rPr>
              <w:t>18,767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18,767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905,123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280" w:type="dxa"/>
            <w:vAlign w:val="bottom"/>
          </w:tcPr>
          <w:p>
            <w:pPr>
              <w:jc w:val="right"/>
              <w:spacing w:after="0"/>
              <w:rPr>
                <w:sz w:val="20"/>
                <w:szCs w:val="20"/>
                <w:color w:val="auto"/>
              </w:rPr>
            </w:pPr>
            <w:r>
              <w:rPr>
                <w:rFonts w:ascii="Arial" w:cs="Arial" w:eastAsia="Arial" w:hAnsi="Arial"/>
                <w:sz w:val="18"/>
                <w:szCs w:val="18"/>
                <w:color w:val="auto"/>
              </w:rPr>
              <w:t>102,548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102,548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280" w:type="dxa"/>
            <w:vAlign w:val="bottom"/>
          </w:tcPr>
          <w:p>
            <w:pPr>
              <w:jc w:val="right"/>
              <w:spacing w:after="0"/>
              <w:rPr>
                <w:sz w:val="20"/>
                <w:szCs w:val="20"/>
                <w:color w:val="auto"/>
              </w:rPr>
            </w:pPr>
            <w:r>
              <w:rPr>
                <w:rFonts w:ascii="Arial" w:cs="Arial" w:eastAsia="Arial" w:hAnsi="Arial"/>
                <w:sz w:val="18"/>
                <w:szCs w:val="18"/>
                <w:color w:val="auto"/>
              </w:rPr>
              <w:t>48,342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$25.00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9.34</w:t>
            </w:r>
          </w:p>
        </w:tc>
        <w:tc>
          <w:tcPr>
            <w:tcW w:w="1460" w:type="dxa"/>
            <w:vAlign w:val="bottom"/>
            <w:gridSpan w:val="2"/>
          </w:tcPr>
          <w:p>
            <w:pPr>
              <w:spacing w:after="0"/>
              <w:rPr>
                <w:sz w:val="2"/>
                <w:szCs w:val="2"/>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1,177,319</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240,582</w:t>
            </w:r>
          </w:p>
        </w:tc>
        <w:tc>
          <w:tcPr>
            <w:tcW w:w="3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Committee at the time of grant. Each RSU and restricted stock grant is subject to service-based vesting, where a specific period of continued employment must pass before an award vests. Tree.com recognizes expense for all RSUs and restricted stock grants for which vesting is considered probable. For RSU and restricted stock grants the accounting charge is measured at the grant date as the fair value of Tree.com common stock and expensed ratably as non-cash compensation over the vesting term.</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December 31, 2009 and changes during the year ended December 31, 2009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6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Grant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Date Fair</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380,205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117,970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503,229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(117,970)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(144,231)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704,938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weighted average grant date fair value of RSUs granted during the years ended December 31, 2009 and 2008 at market prices equal to Tree.com's common stock on the grant date was $5.29 and $5.43,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fair value of RSUs that vested during the years ended December 31, 2009 and 2008 was $0.3 million and $1.2 million, respectively.</w:t>
      </w:r>
    </w:p>
    <w:p>
      <w:pPr>
        <w:spacing w:after="0" w:line="248"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In connection with the spin-off, the Chairman and CEO was granted 117,970 shares of restricted stock in 2008, which were equal to 1% of the fully diluted equity of the Company at the spin-off date. These shares of restricted stock vested during the year ended December 31, 2009, had a total fair value of</w:t>
      </w:r>
    </w:p>
    <w:p>
      <w:pPr>
        <w:ind w:right="160"/>
        <w:spacing w:after="0" w:line="254" w:lineRule="auto"/>
        <w:rPr>
          <w:sz w:val="20"/>
          <w:szCs w:val="20"/>
          <w:color w:val="auto"/>
        </w:rPr>
      </w:pPr>
      <w:r>
        <w:rPr>
          <w:rFonts w:ascii="Arial" w:cs="Arial" w:eastAsia="Arial" w:hAnsi="Arial"/>
          <w:sz w:val="18"/>
          <w:szCs w:val="18"/>
          <w:color w:val="auto"/>
        </w:rPr>
        <w:t>$0.9 million, and their weighted average grant date fair value was $7.46. The Chairman and CEO was also granted 350,000 shares of restricted stock in 2009, which was treated as a modification of the cancelled stock option award of 589,850 shares discussed above. These shares of restricted stock had a weighted average grant date fair value of $5.42. The incremental non-cash compensation expense for this modification is $0.7 million, which will be recognized over the vesting period of four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connection with the spin-off, the Chairman and CEO was granted 5,000 shares of preferred stock in LendingTree Holdings Corp., a subsidiary of Tree.com. The shares earn dividends at 12%, vest over 3 years, and have a liquidation preference of $5.0 million. During the years ended December 31, 2009 and 2008, $1.7 million and $0.6 million, respectively, was recognized as cash compensation expense, and $0.6 million and $0.2 million, respectively, was recognized as interest expense related to accreting the preferred stock to its redemption value. The related liability is required to be settled in cash in 2013 for $8.0 million.</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December 31, 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55,229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7"/>
        </w:trPr>
        <w:tc>
          <w:tcPr>
            <w:tcW w:w="3940" w:type="dxa"/>
            <w:vAlign w:val="bottom"/>
            <w:vMerge w:val="restart"/>
          </w:tcPr>
          <w:p>
            <w:pPr>
              <w:ind w:left="120"/>
              <w:spacing w:after="0"/>
              <w:rPr>
                <w:sz w:val="20"/>
                <w:szCs w:val="20"/>
                <w:color w:val="auto"/>
              </w:rPr>
            </w:pPr>
            <w:r>
              <w:rPr>
                <w:rFonts w:ascii="Arial" w:cs="Arial" w:eastAsia="Arial" w:hAnsi="Arial"/>
                <w:sz w:val="18"/>
                <w:szCs w:val="18"/>
                <w:color w:val="auto"/>
              </w:rPr>
              <w:t>Total goodwill and intangible assets, net</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69,778</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Intangible assets with indefinite lives relate principally to trade names and trademarks acquired in various acquisitions. At December 31, 2009, intangible assets with definite lives relate to the following ($ in thousands):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76,352</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(74,657)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(29,396)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(8,467)</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r>
      <w:tr>
        <w:trPr>
          <w:trHeight w:val="21"/>
        </w:trPr>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124,044</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(119,151)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5780" w:type="dxa"/>
            <w:vAlign w:val="bottom"/>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8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5960" w:type="dxa"/>
            <w:vAlign w:val="bottom"/>
            <w:gridSpan w:val="4"/>
          </w:tcPr>
          <w:p>
            <w:pPr>
              <w:jc w:val="right"/>
              <w:spacing w:after="0"/>
              <w:rPr>
                <w:sz w:val="20"/>
                <w:szCs w:val="20"/>
                <w:color w:val="auto"/>
              </w:rPr>
            </w:pPr>
            <w:r>
              <w:rPr>
                <w:rFonts w:ascii="Arial" w:cs="Arial" w:eastAsia="Arial" w:hAnsi="Arial"/>
                <w:sz w:val="18"/>
                <w:szCs w:val="18"/>
                <w:color w:val="auto"/>
                <w:w w:val="89"/>
              </w:rPr>
              <w:t>At December 31, 2008, intangible assets with definite lives relate to the following ($</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88"/>
              </w:rPr>
              <w:t>in thousands):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8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76,117</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(68,898)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(29,100)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(7,297)</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r>
      <w:tr>
        <w:trPr>
          <w:trHeight w:val="21"/>
        </w:trPr>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121,336</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(111,902)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8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December 31, 2009 balances, such amortization is estimated to be as follows (in thousands):</w:t>
      </w:r>
    </w:p>
    <w:p>
      <w:pPr>
        <w:sectPr>
          <w:pgSz w:w="11900" w:h="16838" w:orient="portrait"/>
          <w:cols w:equalWidth="0" w:num="1">
            <w:col w:w="11160"/>
          </w:cols>
          <w:pgMar w:left="240" w:top="131" w:right="4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-103505</wp:posOffset>
            </wp:positionV>
            <wp:extent cx="434784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2011</w:t>
      </w:r>
    </w:p>
    <w:p>
      <w:pPr>
        <w:spacing w:after="0" w:line="4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2013</w:t>
      </w:r>
    </w:p>
    <w:p>
      <w:pPr>
        <w:spacing w:after="0" w:line="4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3943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220" w:hanging="219"/>
        <w:spacing w:after="0"/>
        <w:tabs>
          <w:tab w:leader="none" w:pos="2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2,712</w:t>
      </w:r>
    </w:p>
    <w:p>
      <w:pPr>
        <w:spacing w:after="0" w:line="42"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5"/>
          <w:szCs w:val="15"/>
          <w:color w:val="auto"/>
        </w:rPr>
        <w:t>1,086</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411</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144</w:t>
      </w:r>
    </w:p>
    <w:p>
      <w:pPr>
        <w:spacing w:after="0" w:line="43"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84</w:t>
      </w:r>
    </w:p>
    <w:p>
      <w:pPr>
        <w:spacing w:after="0" w:line="3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3943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4,893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3943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3943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2800"/>
          </w:cols>
          <w:pgMar w:left="240" w:top="131" w:right="499" w:bottom="1440" w:gutter="0" w:footer="0" w:header="0"/>
          <w:type w:val="continuous"/>
        </w:sectPr>
      </w:pP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presents the balance of goodwill by segment, including changes in the carrying amount of goodwill, for the years ended December 31, 2009, 2008 and 2007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LendingTree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Exchanges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Estate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2007</w:t>
            </w:r>
          </w:p>
        </w:tc>
        <w:tc>
          <w:tcPr>
            <w:tcW w:w="1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27,612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485,793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68,890</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582,295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485,793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582,295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year</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Impairment losses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(45,628)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(413,835)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(459,463)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deductions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2007</w:t>
            </w: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(45,628)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(413,835)</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(459,463)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Goodwill acquired during the year</w:t>
            </w: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(60,806)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(130,957)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deductions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483,088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599,705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(483,088)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(60,806)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(590,420)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year</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Impairment losses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deductions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2009</w:t>
            </w: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(46,526)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(483,088)</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(60,806)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(590,420)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principally relate to business combinations. See Note 1.</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Deductions principally relate to the establishment of deferred tax assets related to acquired tax attributes and the income tax benefit realized pursuant to the exercise of stock options assumed in a business acquisition that were vested at the transaction date and are treated as a reduction in goodwill when the income tax deductions are realized. The impairments are described below.</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annual impairment assessment as of October 1, 2009, Tree.com performed an interim impairment test in the second quarter of 2009 and recorded impairment charges of $3.9 million related to definite-lived intangible assets within the new homes referral service business of Real Estate. In the second quarter of 2009, the new Real Estate operating segment leadership undertook significant changes in management, operational focus and marketing efforts related to the new homes referral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service business. These changes combined with the continued deterioration of new housing starts and new homes sales during the first half of 2009 caused the Company to reassess the remaining useful lives and the likely future recoverability of the remaining value of these intangible assets. In testing the recoverability of these assets, indications of impairment were determined to exist, and subsequent impairment testing resulted in the charge noted above. In connection with the annual impairment test as of October 1, 2009, Tree.com recorded impairment charges of $0.5 million and $1.7 million related to trademarks within the Exchanges and Real Estate segments, respectively.</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addition to the annual impairment assessment as of October 1, 2008, Tree.com performed an interim impairment test in the second quarter of 2008 in light of continued adverse developments in the mortgage and real estate markets. In the second quarter of 2008, Tree.com recorded impairment charges of</w:t>
      </w:r>
    </w:p>
    <w:p>
      <w:pPr>
        <w:ind w:right="20"/>
        <w:spacing w:after="0" w:line="254" w:lineRule="auto"/>
        <w:rPr>
          <w:sz w:val="20"/>
          <w:szCs w:val="20"/>
          <w:color w:val="auto"/>
        </w:rPr>
      </w:pPr>
      <w:r>
        <w:rPr>
          <w:rFonts w:ascii="Arial" w:cs="Arial" w:eastAsia="Arial" w:hAnsi="Arial"/>
          <w:sz w:val="18"/>
          <w:szCs w:val="18"/>
          <w:color w:val="auto"/>
        </w:rPr>
        <w:t>$131.0 million and $33.4 million related to goodwill and an indefinite-lived intangible asset, respectively.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 No further impairment was indicated in the test as of October 1, 2008.</w:t>
      </w:r>
    </w:p>
    <w:p>
      <w:pPr>
        <w:spacing w:after="0" w:line="198"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In connection with its annual impairment assessment as of October 1, 2007, Tree.com identified and recorded impairment charges related to goodwill and an indefinite-lived intangible asset of $459.5 million and $16.2 million, respectively. The charge related to LendingTree Loans was a goodwill impairment charge of $45.6 million. The charges associated with the Exchanges were $413.9 million related to goodwill and $16.2 million related to an indefinite-lived intangible asset.</w:t>
      </w:r>
    </w:p>
    <w:p>
      <w:pPr>
        <w:spacing w:after="0" w:line="142"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impairments resulted from the Company's reassessment of its likely future profitability in light of the adverse developments in the mortgage and real estate market conditions and the operational strategies Tree.com has undertaken in response to these market realities. These adverse conditions include, among others, constrained liquidity, lender focus on low margin conforming loans, uncertainty as to the eventuality and timing of the return of higher margin mortgage offerings, the decline in real estate values and a high rate of delinquency for existing mortgages. Tree.com updated its assessment of mortgage and real estate market conditions and Tree.com's responsive operational strategies and quantified these considerations in the future forecasted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December 31, 2008</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3,184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Projects in progress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3,169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(32,140)</w:t>
            </w: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(28,800)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gridSpan w:val="2"/>
            <w:vMerge w:val="restart"/>
          </w:tcPr>
          <w:p>
            <w:pPr>
              <w:jc w:val="right"/>
              <w:ind w:right="35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 (Continued)</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Company capitalized $2.7 million, $2.1 million, and $4.4 million of internal software development costs during the years ended December 31, 2009, 2008 and 2007, respectively. Unamortized capitalized software development costs were $4.8 million and $5.0 million at December 31, 2009 and 2008, respectively. Capitalized software development amortization expense was $2.0 million, $1.7 million, and $1.4 million for the years ended December 31, 2009, 2008 and 2007,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01"/>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loan loss liability related to loans previously</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08"/>
        </w:trPr>
        <w:tc>
          <w:tcPr>
            <w:tcW w:w="3940" w:type="dxa"/>
            <w:vAlign w:val="bottom"/>
          </w:tcPr>
          <w:p>
            <w:pPr>
              <w:spacing w:after="0"/>
              <w:rPr>
                <w:sz w:val="20"/>
                <w:szCs w:val="20"/>
                <w:color w:val="auto"/>
              </w:rPr>
            </w:pPr>
            <w:r>
              <w:rPr>
                <w:rFonts w:ascii="Arial" w:cs="Arial" w:eastAsia="Arial" w:hAnsi="Arial"/>
                <w:sz w:val="18"/>
                <w:szCs w:val="18"/>
                <w:color w:val="auto"/>
              </w:rPr>
              <w:t>Loan loss settlement liability related to loans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ind w:left="180"/>
              <w:spacing w:after="0"/>
              <w:rPr>
                <w:sz w:val="20"/>
                <w:szCs w:val="20"/>
                <w:color w:val="auto"/>
              </w:rPr>
            </w:pPr>
            <w:r>
              <w:rPr>
                <w:rFonts w:ascii="Arial" w:cs="Arial" w:eastAsia="Arial" w:hAnsi="Arial"/>
                <w:sz w:val="18"/>
                <w:szCs w:val="18"/>
                <w:color w:val="auto"/>
              </w:rPr>
              <w:t>previously sold</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and escrows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7"/>
        </w:trPr>
        <w:tc>
          <w:tcPr>
            <w:tcW w:w="3940" w:type="dxa"/>
            <w:vAlign w:val="bottom"/>
            <w:vMerge w:val="restart"/>
          </w:tcPr>
          <w:p>
            <w:pPr>
              <w:ind w:left="120"/>
              <w:spacing w:after="0"/>
              <w:rPr>
                <w:sz w:val="20"/>
                <w:szCs w:val="20"/>
                <w:color w:val="auto"/>
              </w:rPr>
            </w:pPr>
            <w:r>
              <w:rPr>
                <w:rFonts w:ascii="Arial" w:cs="Arial" w:eastAsia="Arial" w:hAnsi="Arial"/>
                <w:sz w:val="18"/>
                <w:szCs w:val="18"/>
                <w:color w:val="auto"/>
                <w:w w:val="93"/>
              </w:rPr>
              <w:t>Total accrued expenses and other current liabilities</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54,694</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other category above reflects an estimated earnout payable related to an acquisition, franchise taxes, self-insured health claims and other miscellaneous accrued expenses.</w:t>
      </w:r>
    </w:p>
    <w:p>
      <w:pPr>
        <w:spacing w:after="0" w:line="186"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An additional $6.4 million and $6.5 million of accrued loan loss liability related to loans previously sold is classified in other long term liabilities at December 31, 2009 and December 31,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7—WAREHOUSE LINES OF CREDIT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$78.5 million and $76.2 million at December 31, 2009 and December 31, 2008, respectively.</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December 31, 2009, LendingTree Loans had three committed lines of credit totaling $175 million of borrowing capacity. On February 15, 2010, one of the lines was amended to reduce the borrowing capacity by $10 million. Borrowings under these lines of credit are used to fund, and are secured by, consumer residential loans that are held for sale. Loans under these lines of credit are repaid using proceeds from the sales of loans held for sale by LendingTree Loans.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7—WAREHOUSE LINES OF CREDIT (Continued)</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$40 million first line is with a lender that is exiting the warehouse lending business, and it expires on June 30, 2010. No advances under the warehouse line may be requested or funded after May 31, 2010. The interest rate under this line is LIBOR plus 3.00%. We do not expect this line to be renewed after June 30, 2010. The Company has anticipated that decision and has factored it into the future liquidity needs.</w:t>
      </w:r>
    </w:p>
    <w:p>
      <w:pPr>
        <w:spacing w:after="0" w:line="161" w:lineRule="exact"/>
        <w:rPr>
          <w:sz w:val="20"/>
          <w:szCs w:val="20"/>
          <w:color w:val="auto"/>
        </w:rPr>
      </w:pPr>
    </w:p>
    <w:p>
      <w:pPr>
        <w:jc w:val="both"/>
        <w:ind w:right="60" w:firstLine="348"/>
        <w:spacing w:after="0" w:line="294" w:lineRule="auto"/>
        <w:rPr>
          <w:sz w:val="20"/>
          <w:szCs w:val="20"/>
          <w:color w:val="auto"/>
        </w:rPr>
      </w:pPr>
      <w:r>
        <w:rPr>
          <w:rFonts w:ascii="Arial" w:cs="Arial" w:eastAsia="Arial" w:hAnsi="Arial"/>
          <w:sz w:val="16"/>
          <w:szCs w:val="16"/>
          <w:color w:val="auto"/>
        </w:rPr>
        <w:t>The $50 million second line is scheduled to expire on April 30, 2010, but can be cancelled at the option of the lender without default upon sixty days notice. This second line includes an additional uncommitted credit facility of $75 million. This second line is also guaranteed by Tree.com, Inc., Lending Tree, LLC and Lending Tree Holdings Corp. The interest rate under the second line is 2.25% plus the greater of (a) the 30-day LIBOR or (b) 2.00%. The interest rate under the $75 million uncommitted line is 30-day LIBOR plus 1.50%. LendingTree Loans is also required to sell at least 50% of the loans it originates to an affiliate of the lender under this line or pay a "pair-off fee" of 0.375% on the difference between the required and actual volume of loans sold.</w:t>
      </w:r>
    </w:p>
    <w:p>
      <w:pPr>
        <w:spacing w:after="0" w:line="170"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$75 million third line is scheduled to expire on October 29, 2010. The interest rate under this line is 30-day LIBOR or 2.0% (whichever is greater) plus 2.50% for loans being sold to the lender and 30-day LIBOR or 2.0% (whichever is greater) plus 2.75% for loans not being sold to the lender.</w:t>
      </w:r>
    </w:p>
    <w:p>
      <w:pPr>
        <w:spacing w:after="0" w:line="139"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tangible net worth of $44.0 million, (ii) minimum liquidity, (iii) a minimum current ratio, (iv) a maximum ratio of total liabilities to net worth, (v) a maximum leverage ratio and (vi) pre-tax net income requirements. During the year ended December 31, 2009, LendingTree Loans was in compliance with the covenants under the lines.</w:t>
      </w:r>
    </w:p>
    <w:p>
      <w:pPr>
        <w:spacing w:after="0" w:line="197"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two, but not all three, of the warehouse lines were lost. We expect to renew the lines that are expiring on April 30, 2010 and October 29, 2010.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Following the spin-off from IAC, the new chief operating decision maker began to realign the Tree.com Businesses into new operating segments. During the first quarter of 2009, management completed its realignment of staffing and direct revenue and costs for each new segment and created reporting structures to enable the chief operating decision maker and management to evaluate the results of operations for each of these new segments on a comparative basis with prior periods. In prior periods, the segments "Lending" and "Real Estate" were presented, which have been changed to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"LendingTree Loans", "Exchanges" and "Real Estate" segments. Additionally, certain shared indirect costs that are described below are reported as "Unallocated —Corporate". All items of segment information for prior periods have been restated to conform to the new reportable segment presentation.</w:t>
      </w:r>
    </w:p>
    <w:p>
      <w:pPr>
        <w:spacing w:after="0" w:line="13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460" w:firstLine="348"/>
        <w:spacing w:after="0" w:line="286" w:lineRule="auto"/>
        <w:rPr>
          <w:sz w:val="20"/>
          <w:szCs w:val="20"/>
          <w:color w:val="auto"/>
        </w:rPr>
      </w:pPr>
      <w:r>
        <w:rPr>
          <w:rFonts w:ascii="Arial" w:cs="Arial" w:eastAsia="Arial" w:hAnsi="Arial"/>
          <w:sz w:val="16"/>
          <w:szCs w:val="16"/>
          <w:color w:val="auto"/>
        </w:rPr>
        <w:t>Tree.com's primary performance metrics are EBITDA and Adjusted EBITDA. EBITDA is defined as earnings before interest, taxes, depreciation and amortization. Adjusted EBITDA is defined as EBITDA excluding (1) non-cash compensation expense, (2) non-cash intangible asset impairment charges,</w:t>
      </w:r>
    </w:p>
    <w:p>
      <w:pPr>
        <w:ind w:right="100" w:firstLine="8"/>
        <w:spacing w:after="0" w:line="287"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gain/loss on disposal of assets, (4) restructuring expenses, (5) litigation loss contingencies and settlements, (6) pro forma adjustments for significant acquisitions, and (7) one-time items, which are truly one-time in nature and non-recurring, infrequent or unusual, and have not occurred in the past two years or are not expected to recur in the next two years, in accordance with SEC rules. For the periods presented in this report, there are no one-time items.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EBITDA and Adjusted EBITDA have certain limitations in that they do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information by segment and reconciliations to EBITDA, Adjusted EBITDA and net loss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88"/>
              </w:rPr>
              <w:t>For the Year Ended December 31, 2009:</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6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LendingTree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Real 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216,775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74,760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142,015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64,901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13,208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166,328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(16,481)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(44,672)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(24,313)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 and Adjusted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32,471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(11,696)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(43,001)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32,136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(24,313)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(24,842)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(24,474)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center"/>
              <w:ind w:right="133"/>
              <w:spacing w:after="0"/>
              <w:rPr>
                <w:sz w:val="20"/>
                <w:szCs w:val="20"/>
                <w:color w:val="auto"/>
              </w:rPr>
            </w:pPr>
            <w:r>
              <w:rPr>
                <w:rFonts w:ascii="Arial" w:cs="Arial" w:eastAsia="Arial" w:hAnsi="Arial"/>
                <w:sz w:val="18"/>
                <w:szCs w:val="18"/>
                <w:color w:val="auto"/>
                <w:w w:val="89"/>
              </w:rPr>
              <w:t>68</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 2008:</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LendingTree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4"/>
              </w:rPr>
              <w:t>Unallocated—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Exchanges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Real Estate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2"/>
              </w:rPr>
              <w:t>Corporate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228,572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76,797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(23,375)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151,775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(20,040)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72,932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102,630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164,335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366,805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(105,614)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(76,852)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(215,030)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 and Adjusted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(71,551)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(32,732)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(197,005)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102,630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164,335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(215,030)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(215,550)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(202,276)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 2007:</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2"/>
              </w:rPr>
              <w:t>LendingTree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4"/>
              </w:rPr>
              <w:t>Unallocated—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Exchanges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Real Estate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2"/>
              </w:rPr>
              <w:t>Corporate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78,751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(25,119)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(21,418)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181,975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95,604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(14,937)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(11,360)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18,250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430,054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475,682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808,067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(44,495)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(468,118)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(10,320)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(540,440)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 and Adjusted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18,250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(37,302)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(457,365)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(512,132)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430,054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475,682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Loss/(gain) on disposal of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30,579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(26,359)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(540,440)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(540,241)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(550,402)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years ended December 31, 2009, 2008, and 2007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Origination and sale of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110,320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88,968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130,151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Other(a)</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16,897</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LendingTree Loans revenue</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117,670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97,929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Match fees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44,620</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57,524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79,948</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23,452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65,223</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2,588</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2,827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Inter-segment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16,019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20,673</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Exchanges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86,679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115,962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170,407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revenue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28,445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35,927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51,752</w:t>
            </w: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(16,019)</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(21,246)</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(22,829)</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216,775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228,572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346,378</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20" w:hanging="550"/>
        <w:spacing w:after="0" w:line="332" w:lineRule="auto"/>
        <w:tabs>
          <w:tab w:leader="none" w:pos="2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revenue within the LendingTree Loans segment includes $1.2 million and $2.2 million of inter-segment revenue for the years ended December 31, 2008 and 2007, respectively, which is also included in the inter-segment elimination.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at December 31, 2009 and 2008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167,976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149,310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28,031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38,085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 and Unallocated—Corporate(a)</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96,688</w:t>
            </w: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291,832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284,083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840" w:hanging="550"/>
        <w:spacing w:after="0" w:line="268"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Assets are jointly used by the Exchanges and Unallocated—Corporate segments, and it is not practicable to allocate assets between these segments.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expenditures by segment during the years ended December 31, 2009 and 2008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LendingTree Loans(b)</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r>
      <w:tr>
        <w:trPr>
          <w:trHeight w:val="216"/>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Real Estate(b)</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w:t>
            </w:r>
          </w:p>
        </w:tc>
      </w:tr>
      <w:tr>
        <w:trPr>
          <w:trHeight w:val="222"/>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Exchanges and Unallocated—Corporate(b)</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1,707</w:t>
            </w:r>
          </w:p>
        </w:tc>
      </w:tr>
      <w:tr>
        <w:trPr>
          <w:trHeight w:val="21"/>
        </w:trPr>
        <w:tc>
          <w:tcPr>
            <w:tcW w:w="2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4,131</w:t>
            </w:r>
          </w:p>
        </w:tc>
      </w:tr>
      <w:tr>
        <w:trPr>
          <w:trHeight w:val="27"/>
        </w:trPr>
        <w:tc>
          <w:tcPr>
            <w:tcW w:w="24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840" w:hanging="550"/>
        <w:spacing w:after="0" w:line="259" w:lineRule="auto"/>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capital expenditures for the LendingTree Loans, Real Estate, and Exchanges and Unallocated—Corporate segments for the year ended December 31, 2007 was $9.4 million. It was impracticable to allocate capital expenditures between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computation of basic and diluted earnings per share for the years ended December 31, 2009, 2008 and 2007: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Basic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2"/>
              </w:rPr>
              <w:t>Diluted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Basic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Diluted</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Basic</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Diluted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320" w:type="dxa"/>
            <w:vAlign w:val="bottom"/>
            <w:gridSpan w:val="6"/>
          </w:tcPr>
          <w:p>
            <w:pPr>
              <w:jc w:val="right"/>
              <w:ind w:right="23"/>
              <w:spacing w:after="0" w:line="142" w:lineRule="exact"/>
              <w:rPr>
                <w:sz w:val="20"/>
                <w:szCs w:val="20"/>
                <w:color w:val="auto"/>
              </w:rPr>
            </w:pPr>
            <w:r>
              <w:rPr>
                <w:rFonts w:ascii="Arial" w:cs="Arial" w:eastAsia="Arial" w:hAnsi="Arial"/>
                <w:sz w:val="14"/>
                <w:szCs w:val="14"/>
                <w:b w:val="1"/>
                <w:bCs w:val="1"/>
                <w:color w:val="auto"/>
                <w:w w:val="80"/>
              </w:rPr>
              <w:t>except per share data)</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89"/>
              </w:rPr>
              <w:t>Net loss available to common shareholders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(24,474)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(24,474)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(202,276)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(202,276)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(550,402)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(550,402)</w:t>
            </w: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Weighted average common shares(a)</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9,328</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(59.00)</w:t>
            </w: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1680" w:right="180" w:hanging="531"/>
        <w:spacing w:after="0" w:line="268" w:lineRule="auto"/>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weighted average common shares for the year ended December 31, 2007 and for the period from January 1, 2008 until the spin-off from IAC is equal to the number of shares outstanding immediately following the spin-off from IAC.</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Equity awards that could potentially dilute basic earnings per share in the future were not included in the computation of diluted earnings per share because to do so would have been anti-dilutive for the periods presented. See Note 3 for a full description of outstanding equity awards.</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February 2009, the Chairman and CEO purchased 935,000 newly issued shares of unregistered restricted common stock from the Company at $3.91 per share, based on the February 6, 2009 closing share price.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Tree.com elected the fair value method of accounting effective January 1, 2008, and categorizes its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The following disclosures represent assets and liabilities that are measured at fair value on a non-recurring basis. In connection with its annual impairment testing of indefinite-lived intangibles during the fourth quarter of 2009, Tree.com recorded impairment charges of $0.5 million and $1.7 million related to trademarks within the Exchanges and Real Estate segments, respectively. In addition to the annual impairment assessment as of October 1, 2009, Tree.com performed an interim impairment test in the second quarter of 2009 and recorded impairment charges of $3.9 million related to definite-lived intangible assets within the new homes referral service business of the Real Estate segment. The fair value was determined by applying an estimated royalty rate to projected revenues with the resulting cash flows discounted at a rate of return that reflects current market conditions, which are unobservable inputs (Level 3). See Note 4 for additional information on the above impairment charges.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presents Tree.com's assets and liabilities that are measured at fair value on a recurring basis at December 31, 2009 and 2008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w w:val="94"/>
              </w:rPr>
              <w:t>As of December 31, 2009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9"/>
          </w:tcPr>
          <w:p>
            <w:pPr>
              <w:ind w:left="82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98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center"/>
              <w:ind w:right="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94,196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73</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4"/>
              </w:rPr>
              <w:t>As of December 31, 2008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gridSpan w:val="11"/>
          </w:tcPr>
          <w:p>
            <w:pPr>
              <w:ind w:left="90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Total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years ended December 31, 2009 and 2008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gridSpan w:val="7"/>
          </w:tcPr>
          <w:p>
            <w:pPr>
              <w:ind w:left="140"/>
              <w:spacing w:after="0"/>
              <w:rPr>
                <w:sz w:val="20"/>
                <w:szCs w:val="20"/>
                <w:color w:val="auto"/>
              </w:rPr>
            </w:pPr>
            <w:r>
              <w:rPr>
                <w:rFonts w:ascii="Arial" w:cs="Arial" w:eastAsia="Arial" w:hAnsi="Arial"/>
                <w:sz w:val="14"/>
                <w:szCs w:val="14"/>
                <w:b w:val="1"/>
                <w:bCs w:val="1"/>
                <w:color w:val="auto"/>
              </w:rPr>
              <w:t>Year Ended December 31, 2009</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Interest Rate Lock</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Commitments and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Forward Delivery</w:t>
            </w:r>
          </w:p>
        </w:tc>
        <w:tc>
          <w:tcPr>
            <w:tcW w:w="3280" w:type="dxa"/>
            <w:vAlign w:val="bottom"/>
            <w:gridSpan w:val="4"/>
          </w:tcPr>
          <w:p>
            <w:pPr>
              <w:jc w:val="center"/>
              <w:ind w:right="2460"/>
              <w:spacing w:after="0" w:line="149" w:lineRule="exact"/>
              <w:rPr>
                <w:sz w:val="20"/>
                <w:szCs w:val="20"/>
                <w:color w:val="auto"/>
              </w:rPr>
            </w:pPr>
            <w:r>
              <w:rPr>
                <w:rFonts w:ascii="Arial" w:cs="Arial" w:eastAsia="Arial" w:hAnsi="Arial"/>
                <w:sz w:val="14"/>
                <w:szCs w:val="14"/>
                <w:b w:val="1"/>
                <w:bCs w:val="1"/>
                <w:color w:val="auto"/>
                <w:w w:val="87"/>
              </w:rPr>
              <w:t>Loans Held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5"/>
              </w:rPr>
              <w:t>for 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Total net gains (realized and unrealized) included in</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92,539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(55,413)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Purchase, sales, issuances and settlements, net</w:t>
            </w: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(38,523)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or out of Level 3,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December 31, 2009</w:t>
            </w: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7"/>
          </w:tcPr>
          <w:p>
            <w:pPr>
              <w:ind w:left="140"/>
              <w:spacing w:after="0"/>
              <w:rPr>
                <w:sz w:val="20"/>
                <w:szCs w:val="20"/>
                <w:color w:val="auto"/>
              </w:rPr>
            </w:pPr>
            <w:r>
              <w:rPr>
                <w:rFonts w:ascii="Arial" w:cs="Arial" w:eastAsia="Arial" w:hAnsi="Arial"/>
                <w:sz w:val="14"/>
                <w:szCs w:val="14"/>
                <w:b w:val="1"/>
                <w:bCs w:val="1"/>
                <w:color w:val="auto"/>
              </w:rPr>
              <w:t>Year Ended December 31, 2008</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Interest Rate Lock</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Commitments and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Forward Delivery</w:t>
            </w:r>
          </w:p>
        </w:tc>
        <w:tc>
          <w:tcPr>
            <w:tcW w:w="3280" w:type="dxa"/>
            <w:vAlign w:val="bottom"/>
            <w:gridSpan w:val="4"/>
          </w:tcPr>
          <w:p>
            <w:pPr>
              <w:jc w:val="center"/>
              <w:ind w:right="2460"/>
              <w:spacing w:after="0" w:line="149" w:lineRule="exact"/>
              <w:rPr>
                <w:sz w:val="20"/>
                <w:szCs w:val="20"/>
                <w:color w:val="auto"/>
              </w:rPr>
            </w:pPr>
            <w:r>
              <w:rPr>
                <w:rFonts w:ascii="Arial" w:cs="Arial" w:eastAsia="Arial" w:hAnsi="Arial"/>
                <w:sz w:val="14"/>
                <w:szCs w:val="14"/>
                <w:b w:val="1"/>
                <w:bCs w:val="1"/>
                <w:color w:val="auto"/>
                <w:w w:val="87"/>
              </w:rPr>
              <w:t>Loans Held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5"/>
              </w:rPr>
              <w:t>for 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Total net gains (realized and unrealized) included in</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62,705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Purchase, sales, issuances and settlements, net</w:t>
            </w: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(24,023)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or out of Level 3,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December 31, 2008</w:t>
            </w: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00" w:type="dxa"/>
            <w:vAlign w:val="bottom"/>
            <w:gridSpan w:val="2"/>
            <w:vMerge w:val="restart"/>
          </w:tcPr>
          <w:p>
            <w:pPr>
              <w:jc w:val="right"/>
              <w:ind w:right="81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presents the gains included in earnings for the years ended December 31, 2009 and 2008 relating to Tree.com's assets and liabilities that are measured at fair value on a recurring basis using significant unobservable inputs (Level 3)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Year Ended December 31, 2009</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Interest Rate Lock</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Commitments and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Forward Delivery</w:t>
            </w: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Loans Held</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Contracts</w:t>
            </w: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net gains (losses) included in earnings, which are</w:t>
            </w: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92,539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400" w:type="dxa"/>
            <w:vAlign w:val="bottom"/>
            <w:vMerge w:val="restart"/>
          </w:tcPr>
          <w:p>
            <w:pPr>
              <w:spacing w:after="0"/>
              <w:rPr>
                <w:sz w:val="20"/>
                <w:szCs w:val="20"/>
                <w:color w:val="auto"/>
              </w:rPr>
            </w:pPr>
            <w:r>
              <w:rPr>
                <w:rFonts w:ascii="Arial" w:cs="Arial" w:eastAsia="Arial" w:hAnsi="Arial"/>
                <w:sz w:val="18"/>
                <w:szCs w:val="18"/>
                <w:color w:val="auto"/>
                <w:w w:val="94"/>
              </w:rPr>
              <w:t>Change in unrealized gains (losses) relating to assets and</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liabilities still held at December 31, 2009, which are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180"/>
              <w:spacing w:after="0"/>
              <w:rPr>
                <w:sz w:val="20"/>
                <w:szCs w:val="20"/>
                <w:color w:val="auto"/>
              </w:rPr>
            </w:pPr>
            <w:r>
              <w:rPr>
                <w:rFonts w:ascii="Arial" w:cs="Arial" w:eastAsia="Arial" w:hAnsi="Arial"/>
                <w:sz w:val="18"/>
                <w:szCs w:val="18"/>
                <w:color w:val="auto"/>
              </w:rPr>
              <w:t>included in revenue from LendingTree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4,167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Year Ended December 31, 2008</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Interest Rate Lock</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Commitments and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Forward Delivery</w:t>
            </w: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Loans Held</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Contracts</w:t>
            </w: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net gains (losses) included in earnings, which are</w:t>
            </w: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4400" w:type="dxa"/>
            <w:vAlign w:val="bottom"/>
            <w:vMerge w:val="restart"/>
          </w:tcPr>
          <w:p>
            <w:pPr>
              <w:spacing w:after="0"/>
              <w:rPr>
                <w:sz w:val="20"/>
                <w:szCs w:val="20"/>
                <w:color w:val="auto"/>
              </w:rPr>
            </w:pPr>
            <w:r>
              <w:rPr>
                <w:rFonts w:ascii="Arial" w:cs="Arial" w:eastAsia="Arial" w:hAnsi="Arial"/>
                <w:sz w:val="18"/>
                <w:szCs w:val="18"/>
                <w:color w:val="auto"/>
                <w:w w:val="94"/>
              </w:rPr>
              <w:t>Change in unrealized gains (losses) relating to assets and</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liabilities still held at December 31, 2008, which are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180"/>
              <w:spacing w:after="0"/>
              <w:rPr>
                <w:sz w:val="20"/>
                <w:szCs w:val="20"/>
                <w:color w:val="auto"/>
              </w:rPr>
            </w:pPr>
            <w:r>
              <w:rPr>
                <w:rFonts w:ascii="Arial" w:cs="Arial" w:eastAsia="Arial" w:hAnsi="Arial"/>
                <w:sz w:val="18"/>
                <w:szCs w:val="18"/>
                <w:color w:val="auto"/>
              </w:rPr>
              <w:t>included in revenue from LendingTree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5,884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LendingTree Loans economically hedges the changes in fair value of certain loans held for sale primarily by entering into mortgage forward delivery contracts. Although LendingTree Loans continued to enter into forward delivery contracts for risk management purposes, effective April 1, 2007 it no longer designated these derivatives as hedges for accounting purposes. When hedge accounting was discontinued, the affected loans held for sale were no longer adjusted for changes in fair value. However, the changes in fair value of the forward delivery contracts continued to be recognized in current earnings as a component of LendingTree Loans revenue.</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Accordingly, LendingTree Loans determines the fair value of IRLCs using current secondary market prices for underlying loans with similar coupons, term and credit quality, subject to the anticipated loan funding probability. The fair value of IRLCs is subject to change primarily due to changes in interest rates and the loan funding probability. Under LendingTree Loans' risk management policy, LendingTree Loans economically hedges the changes in fair value of IRLCs primarily by entering into mortgage forward delivery contracts which can reduce the volatility of economic outcomes. LendingTree Loans determines the fair value of mandatory forward delivery contracts using current market prices for similar coupon forward settlement "to be announced" mortgage-backed securities. LendingTree Loans determines the fair value of best efforts forward delivery contracts using current investor pricing tables for loans with similar coupons, term and credit</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quality. IRLCs and the related hedging instruments are recorded at fair value with changes in fair value being recorded in current earnings as a component of revenue from the origination and sale of loans in the consolidated statement of operations. At December 31, 2009 and 2008, there were $258.4 million and $252.9 million, respectively, of IRLCs notional value outstanding.</w:t>
      </w:r>
    </w:p>
    <w:p>
      <w:pPr>
        <w:spacing w:after="0" w:line="194"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as of December 31, 2009 and 2008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As of December 31, 2009</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As of December 31, 2008</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4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2"/>
                <w:szCs w:val="12"/>
                <w:color w:val="auto"/>
              </w:rPr>
            </w:pPr>
          </w:p>
        </w:tc>
        <w:tc>
          <w:tcPr>
            <w:tcW w:w="2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2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Interest Rate Lock</w:t>
            </w:r>
          </w:p>
        </w:tc>
        <w:tc>
          <w:tcPr>
            <w:tcW w:w="2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Prepaid and other current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Prepaid and other current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4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Forward Delivery</w:t>
            </w: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Prepaid and other current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Prepaid and other 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82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3,341</w:t>
            </w:r>
          </w:p>
        </w:tc>
        <w:tc>
          <w:tcPr>
            <w:tcW w:w="14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Rate Lock</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Forward Delivery</w:t>
            </w:r>
          </w:p>
        </w:tc>
        <w:tc>
          <w:tcPr>
            <w:tcW w:w="2820" w:type="dxa"/>
            <w:vAlign w:val="bottom"/>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820" w:type="dxa"/>
            <w:vAlign w:val="bottom"/>
          </w:tcPr>
          <w:p>
            <w:pPr>
              <w:jc w:val="center"/>
              <w:spacing w:after="0"/>
              <w:rPr>
                <w:sz w:val="20"/>
                <w:szCs w:val="20"/>
                <w:color w:val="auto"/>
              </w:rPr>
            </w:pPr>
            <w:r>
              <w:rPr>
                <w:rFonts w:ascii="Arial" w:cs="Arial" w:eastAsia="Arial" w:hAnsi="Arial"/>
                <w:sz w:val="18"/>
                <w:szCs w:val="18"/>
                <w:color w:val="auto"/>
                <w:w w:val="96"/>
              </w:rPr>
              <w:t>liabilities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2820" w:type="dxa"/>
            <w:vAlign w:val="bottom"/>
          </w:tcPr>
          <w:p>
            <w:pPr>
              <w:jc w:val="center"/>
              <w:spacing w:after="0"/>
              <w:rPr>
                <w:sz w:val="20"/>
                <w:szCs w:val="20"/>
                <w:color w:val="auto"/>
              </w:rPr>
            </w:pPr>
            <w:r>
              <w:rPr>
                <w:rFonts w:ascii="Arial" w:cs="Arial" w:eastAsia="Arial" w:hAnsi="Arial"/>
                <w:sz w:val="18"/>
                <w:szCs w:val="18"/>
                <w:color w:val="auto"/>
                <w:w w:val="96"/>
              </w:rPr>
              <w:t>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r>
      <w:tr>
        <w:trPr>
          <w:trHeight w:val="29"/>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gain recognized in the consolidated statements of operations for derivatives for the years ended December 31, 2009 and 2008 was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4"/>
              </w:rPr>
              <w:t>Location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4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Gain Recognized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49"/>
        </w:trPr>
        <w:tc>
          <w:tcPr>
            <w:tcW w:w="24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Income</w:t>
            </w: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40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on Derivative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r>
      <w:tr>
        <w:trPr>
          <w:trHeight w:val="201"/>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LendingTree Loans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55,194</w:t>
            </w: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LendingTree Loans revenue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5,070</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r>
      <w:tr>
        <w:trPr>
          <w:trHeight w:val="21"/>
        </w:trPr>
        <w:tc>
          <w:tcPr>
            <w:tcW w:w="2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55,880</w:t>
            </w:r>
          </w:p>
        </w:tc>
      </w:tr>
      <w:tr>
        <w:trPr>
          <w:trHeight w:val="27"/>
        </w:trPr>
        <w:tc>
          <w:tcPr>
            <w:tcW w:w="2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Tree.com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 did not elect the fair value option on loans held for sale originated prior to January 1, 2008 and on loans that were repurchased from investors on or subsequent to that date. As of December 31, 2009 and 2008, 29 and 60 such loans, respectively, all of which were impaired, were included in loans held for sale and were carried at the lower of cost or market ("LOCOM") value assessed on an individual loan basis. The market value (or fair value) of these impaired loans at December 31, 2009 and 2008, measured on a non-recurring basis using significant unobservable inputs (Level 3), was $1.4 million and $2.2 million, respectively. This fair value measurement is management's best estimate of the market value of such loans and considers the lien position and loan status.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December 31, 2009 and 2008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As of December 31, 2009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7"/>
              </w:rPr>
              <w:t>Loans Held for Sale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 for Sale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—Measured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—Measured at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9"/>
              </w:rPr>
              <w:t>LOCOM</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3"/>
              </w:rPr>
              <w:t>Held For 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95,041</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As of December 31, 2008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7"/>
              </w:rPr>
              <w:t>Loans Held for Sale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 for Sale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—Measured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—Measured at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9"/>
              </w:rPr>
              <w:t>LOCOM</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3"/>
              </w:rPr>
              <w:t>Held For 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89,043</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2,544</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w:t>
            </w: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During the years ended December 31, 2009 and 2008, the change in fair value of loans held for sale for which the fair value option has been elected were losses of $0.3 million and $1.2 million, respectively, and are included as a component of LendingTree Loans revenue in the accompanying consolidated statements of operations.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disclosures represent financial instruments in which the ending balances at December 31, 2009 and 2008 are not carried at fair value in their entirety on the Company's consolidated balance sheets. The additional disclosure below of the estimated fair value of financial instruments has been determined by the Company using available market information and appropriate valuation methodologies. However, considerable judgment is necessarily required to interpret market data to develop the estimates of fair value. Accordingly, the estimates presented herein are not necessarily indicative of the amounts that could be realized in a current market exchange. The use of different market assumptions or estimation methodologies may have a material impact on the estimated fair value amounts. The Company's financial instruments also include letters of credit and surety bonds, for which the Company had $5.0 million in restricted cash at December 31, 2009 and 2008 as collateral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for the surety bonds. These commitments remain in place to facilitate the commercial operations of certain Tree.com subsidiaries.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 2009</w:t>
            </w: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0"/>
              </w:rPr>
              <w:t>Carrying</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86,093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Loans held for sale, net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87,835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Warehouse lines of credit</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(78,481)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(78,481)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(76,186)</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Accounts payable</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(5,905)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(3,541)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(54,694)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(54,694)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(37,146)</w:t>
            </w: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Surety bonds and letters of credit</w:t>
            </w:r>
          </w:p>
        </w:tc>
        <w:tc>
          <w:tcPr>
            <w:tcW w:w="14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(10,222)</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(7,732)</w:t>
            </w:r>
          </w:p>
        </w:tc>
      </w:tr>
    </w:tbl>
    <w:p>
      <w:pPr>
        <w:spacing w:after="0" w:line="20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carrying amounts of cash and cash equivalents and restricted cash and cash equivalents reflected in the accompanying consolidated balance sheets approximate fair value as they are maintained with various high-quality financial institutions or in short-term duration high-quality debt securities. Accounts receivable, net, are short-term in nature and are generally settled shortly after the sale, and therefore the carrying amount approximates fair value. The fair value of loans held for sale, net, was estimated using current secondary market prices for underlying loans with similar coupons, maturity and credit quality. The carrying amounts for the remaining warehouse lines of credit and all other financial instruments approximate their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 and Sale of Loans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LendingTree Loans' revenues are primarily derived from the origination and sale of loans. Mortgage loans are funded through warehouse lines of credit and are recorded at fair value.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years ended December 31, 2009, 2008 and 2007 is presented below ($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4,210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FHA and Alt-A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Subprime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2,846</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2,206</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6,073</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held for sale by type of loan as of December 31, 2009 and 2008 ($ amounts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left="220"/>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left="220"/>
              <w:spacing w:after="0"/>
              <w:rPr>
                <w:sz w:val="20"/>
                <w:szCs w:val="20"/>
                <w:color w:val="auto"/>
              </w:rPr>
            </w:pPr>
            <w:r>
              <w:rPr>
                <w:rFonts w:ascii="Arial" w:cs="Arial" w:eastAsia="Arial" w:hAnsi="Arial"/>
                <w:sz w:val="14"/>
                <w:szCs w:val="14"/>
                <w:b w:val="1"/>
                <w:bCs w:val="1"/>
                <w:color w:val="auto"/>
                <w:w w:val="85"/>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3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220"/>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200"/>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FHA and Alt-A</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16,596</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11,497</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Subprime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87,835</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unpaid principal amount of loans on nonaccrual status at December 31, 2009 and 2008 was $4.5 million and $7.0 million, respectively. These loans have a net book value (net of lower of cost or market valuation allowances and fair value adjustments) of $2.1 million and $3.0 million at December 31, 2009 and 2008, respectively. Included within the loans on nonaccrual status are repurchased loans with a net book value of $0.7 million and $1.1 million at December 31, 2009 and 2008, respectively. During the year ended December 31, 2009 LendingTree Loans repurchased one loan with an unpaid principal balance of $0.1 million. During the year ended December 31, 2008, LendingTree Loans repurchased 16 loans with $1.3 million of unpaid principal balances.</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Real estate properties acquired in satisfaction of loans totaled $0.9 million, net of estimated selling expenses, at both December 31, 2009 and 2008, and are included in prepaid and other current assets in the accompanying consolidated balance sheets.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1580"/>
        <w:spacing w:after="0" w:line="504" w:lineRule="auto"/>
        <w:rPr>
          <w:sz w:val="20"/>
          <w:szCs w:val="20"/>
          <w:color w:val="auto"/>
        </w:rPr>
      </w:pPr>
      <w:r>
        <w:rPr>
          <w:rFonts w:ascii="Arial" w:cs="Arial" w:eastAsia="Arial" w:hAnsi="Arial"/>
          <w:sz w:val="18"/>
          <w:szCs w:val="18"/>
          <w:b w:val="1"/>
          <w:bCs w:val="1"/>
          <w:color w:val="auto"/>
        </w:rPr>
        <w:t>NOTE 11—ORIGINATION AND SALE OF LOANS, LOANS HELD FOR SALE AND LOAN LOSS OBLIGATIONS (Continued) Loan Loss Obligations</w:t>
      </w:r>
    </w:p>
    <w:p>
      <w:pPr>
        <w:spacing w:after="0" w:line="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In the case of early loan payoffs and early defaults on certain loans, LendingTree Loans may be required to repay all or a portion of the premium initially paid by the investor. The estimated obligation associated with early loan payoffs and early defaults is calculated based on historical loss experience by type of loan.</w:t>
      </w:r>
    </w:p>
    <w:p>
      <w:pPr>
        <w:spacing w:after="0" w:line="19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segment as well as analyses of losses in process to estimate its exposure to losses on loans previously sold. The Company maintains a liability related to this exposure based, in part, on historical and projected loss frequency and loss severity using its loan loss history (adjusted for recent trends in loan loss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below.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8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the year ended December 31, 2009, LendingTree Loans sold approximately 12,800 loans with an original principal balance of $2.8 billion. Through December 31, 2009 there had been no loans from this group which had experienced losses.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2008, LendingTree Loans sold approximately 11,000 loans with an original principal balance of $2.2 billion. Through December 31, 2009 there had been 12 loans from this group with an original balance of $2.4 million which had experienced aggregate losses of $0.3 million.</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For 2007, LendingTree Loans sold approximately 36,300 loans with an original principal balance of $6.1 billion. Through December 31, 2009 there had been 120 loans from this group with an original balance of $14.7 million which had experienced aggregate losses of $4.4 million.</w:t>
      </w:r>
    </w:p>
    <w:p>
      <w:pPr>
        <w:spacing w:after="0" w:line="139"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For 2006, LendingTree Loans sold approximately 55,000 loans with an original principal balance of $7.9 billion. Through December 31, 2009 there had been 162 loans from this group with an original balance of $18.1 million which had experienced aggregate losses of $9.4 million.</w:t>
      </w:r>
    </w:p>
    <w:p>
      <w:pPr>
        <w:spacing w:after="0" w:line="13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For 2005 and prior years, LendingTree Loans sold approximately 86,700 loans with an original principal balance of $13.0 billion. Through December 31, 2009 there had been 80 loans from this group with an original balance of $10.5 million which had experienced aggregate losses of $4.0 million.</w:t>
      </w:r>
    </w:p>
    <w:p>
      <w:pPr>
        <w:spacing w:after="0" w:line="13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pipeline of 166 loan repurchase requests and indemnifications as of December 31, 2009 was considered in determining the appropriate reserve amount. The status of these 166 loans varied from an initial review stage, which may result in a rescission of the request, to in process, where the probability of incurring a loss is high, to indemnification, whereby the Company has agreed to reimburse the purchaser of that loan if and when losses are incurred. The indemnification may have a specific term, thereby limiting the Company's exposure. The original principal amount of these loans is approximately $19.5 million, comprised of approximately 35% full documentation first liens, 3% full documentation second liens, 26% low documentation first liens, and 36% low documentation second liens.</w:t>
      </w:r>
    </w:p>
    <w:p>
      <w:pPr>
        <w:spacing w:after="0" w:line="198"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This amount was not determined on an individual loan basis and is, therefore, not included in the loss amounts disclosed above based on the year such loans were sold. The settlement was included as a charge off to the reserve in 2009. Negotiations with the second buyer were completed in January 2010. This settlement of $4.5 million, to be paid in four equal quarterly installments in 2010, relates to all future losses on limited documentation second lien loans and the current pipeline of 75 repurchase requests of all loan types from this buyer. The pipeline of 166 repurchase requests and indemnifications at December 31, 2009 included these 75 items. This settlement amount is included in the $16.4 million loan loss provision (shown in the table below) and is part of the $17.0 million liability as of December 31, 2009.</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Based on historical experience, it is anticipated that the Company will continue to receive repurchase requests and incur losses on loans sold in prior years. However, the two settlements discussed above will eliminate future repurchase requests from those buyers for the loan types included in those settlements. As of December 31, 2009 LendingTree Loans estimated the range of remaining possible losses due to representations and warranty issues based on the methodology described above, excluding the $4.5 million settlement to be paid in 2010, as $9 million to $15 million. The Company believes that it has adequately reserved for these losses.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years ended December 31, 2009, 2008 and 2007, is as follows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13,886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16,420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15,539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end of year</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16,985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10,451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13,886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Based on an analysis of the Company's historical loan loss experience, it has been determined that a portion of the loan losses expected to be made by investors will be made more than twelve months following the initial sale of the underlying loan. Accordingly, the Company has estimated the portion of its Loans Sold Reserve that it anticipates it will be liable for after twelve months and has classified that portion of the reserve as a long-term liability. The liability for losses on previously sold loans is presented in the accompanying consolidated balance sheet as of December 31, 2009 and 2008 as follows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Current portion related to settlement above, included</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 accrued expenses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20"/>
                <w:szCs w:val="20"/>
                <w:color w:val="auto"/>
              </w:rPr>
            </w:pPr>
            <w:r>
              <w:rPr>
                <w:rFonts w:ascii="Arial" w:cs="Arial" w:eastAsia="Arial" w:hAnsi="Arial"/>
                <w:sz w:val="18"/>
                <w:szCs w:val="18"/>
                <w:color w:val="auto"/>
                <w:w w:val="92"/>
              </w:rPr>
              <w:t>Other current portion, included in accrued expenses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tcPr>
          <w:p>
            <w:pPr>
              <w:ind w:left="180"/>
              <w:spacing w:after="0"/>
              <w:rPr>
                <w:sz w:val="20"/>
                <w:szCs w:val="20"/>
                <w:color w:val="auto"/>
              </w:rPr>
            </w:pPr>
            <w:r>
              <w:rPr>
                <w:rFonts w:ascii="Arial" w:cs="Arial" w:eastAsia="Arial" w:hAnsi="Arial"/>
                <w:sz w:val="18"/>
                <w:szCs w:val="18"/>
                <w:color w:val="auto"/>
              </w:rPr>
              <w:t>and other current liabilities</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6,115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included in other long-term</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income tax provision (benefit)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gridSpan w:val="9"/>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income tax provision:</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Federal</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gridSpan w:val="2"/>
            <w:vMerge w:val="restart"/>
          </w:tcPr>
          <w:p>
            <w:pPr>
              <w:ind w:left="2300"/>
              <w:spacing w:after="0"/>
              <w:rPr>
                <w:sz w:val="20"/>
                <w:szCs w:val="20"/>
                <w:color w:val="auto"/>
              </w:rPr>
            </w:pPr>
            <w:r>
              <w:rPr>
                <w:rFonts w:ascii="Arial" w:cs="Arial" w:eastAsia="Arial" w:hAnsi="Arial"/>
                <w:sz w:val="18"/>
                <w:szCs w:val="18"/>
                <w:color w:val="auto"/>
              </w:rPr>
              <w:t>Current income tax provision</w:t>
            </w: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300" w:type="dxa"/>
            <w:vAlign w:val="bottom"/>
          </w:tcPr>
          <w:p>
            <w:pPr>
              <w:spacing w:after="0"/>
              <w:rPr>
                <w:sz w:val="24"/>
                <w:szCs w:val="24"/>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Deferred income tax provision (benefit):</w:t>
            </w: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Federal</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(11,266)</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6,327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gridSpan w:val="2"/>
            <w:vMerge w:val="restart"/>
          </w:tcPr>
          <w:p>
            <w:pPr>
              <w:ind w:left="2300"/>
              <w:spacing w:after="0"/>
              <w:rPr>
                <w:sz w:val="20"/>
                <w:szCs w:val="20"/>
                <w:color w:val="auto"/>
              </w:rPr>
            </w:pPr>
            <w:r>
              <w:rPr>
                <w:rFonts w:ascii="Arial" w:cs="Arial" w:eastAsia="Arial" w:hAnsi="Arial"/>
                <w:sz w:val="18"/>
                <w:szCs w:val="18"/>
                <w:color w:val="auto"/>
              </w:rPr>
              <w:t>Deferred income tax provision (benefit)</w:t>
            </w: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(13,274)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(13,274)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10,161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40" w:type="dxa"/>
            <w:vAlign w:val="bottom"/>
            <w:vMerge w:val="restart"/>
          </w:tcPr>
          <w:p>
            <w:pPr>
              <w:jc w:val="right"/>
              <w:ind w:right="612"/>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tax effects of cumulative temporary differences that give rise to significant portions of the deferred tax assets and deferred tax liabilities at December 31, 2009 and 2008 are presented below (in thousands). The valuation allowance is related to items for which it is more likely than not that the tax benefit will not be realized.</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15,107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38,015</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47,804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(46,858)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(62,062)</w:t>
            </w:r>
          </w:p>
        </w:tc>
        <w:tc>
          <w:tcPr>
            <w:tcW w:w="0" w:type="dxa"/>
            <w:vAlign w:val="bottom"/>
          </w:tcPr>
          <w:p>
            <w:pPr>
              <w:spacing w:after="0"/>
              <w:rPr>
                <w:sz w:val="1"/>
                <w:szCs w:val="1"/>
                <w:color w:val="auto"/>
              </w:rPr>
            </w:pPr>
          </w:p>
        </w:tc>
      </w:tr>
      <w:tr>
        <w:trPr>
          <w:trHeight w:val="27"/>
        </w:trPr>
        <w:tc>
          <w:tcPr>
            <w:tcW w:w="498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Intangible and other assets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(16,261)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deferred tax liabilities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(18,537)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(17,973)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 are presented in the accompanying consolidated balance sheets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(17,591)</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(17,973)</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(17,973)</w:t>
            </w:r>
          </w:p>
        </w:tc>
      </w:tr>
      <w:tr>
        <w:trPr>
          <w:trHeight w:val="27"/>
        </w:trPr>
        <w:tc>
          <w:tcPr>
            <w:tcW w:w="4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1"/>
        <w:spacing w:after="0" w:line="291" w:lineRule="auto"/>
        <w:rPr>
          <w:sz w:val="20"/>
          <w:szCs w:val="20"/>
          <w:color w:val="auto"/>
        </w:rPr>
      </w:pPr>
      <w:r>
        <w:rPr>
          <w:rFonts w:ascii="Arial" w:cs="Arial" w:eastAsia="Arial" w:hAnsi="Arial"/>
          <w:sz w:val="16"/>
          <w:szCs w:val="16"/>
          <w:color w:val="auto"/>
        </w:rPr>
        <w:t>At December 31, 2009 and December 31, 2008, Tree.com had consolidated federal net operating losses ("NOLs") of $12.7 million and $75.4 million, respectively. At December 31, 2008, the Company estimated that $45.4 million of its total NOLs of $75.4 million would be available to IAC subsequent to the spin-off. Due to the uncertainty of the amount that would be available to IAC, the full amount of the deferred tax assets related to the NOLs and the related full valuation allowance were included in the consolidated balance sheet at December 31, 2008. In 2009, the actual amount available to IAC was determined to be $56 million. This decrease in the NOL has been reflected in the amounts of NOL deferred tax asset and related valuation allowance in the table above as of December 31, 2009. In addition, Tree.com had separate state NOLs of $241 million that will expire at various times between 2010 and 2028.</w:t>
      </w:r>
    </w:p>
    <w:p>
      <w:pPr>
        <w:spacing w:after="0" w:line="17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During 2009, the valuation allowance decreased by $15.2 million, primarily resulting from IAC utilizing the NOL generated before the spin date. At December 31, 2009, Tree.com had a valuation allowance of $46.9 million related to the portion of tax operating loss carryforwards and other deferred tax assets for which it is more likely than not that the tax benefit will not be realized.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31"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 reconciliation of total income tax provision to the amounts computed by applying the statutory federal income tax rate to earnings from continuing operations before income taxes and minority interest is shown as follows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tax benefit at the federal statutory rate of 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(8,660)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(75,443)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(189,084)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4"/>
              </w:rPr>
              <w:t>State income taxes, net of effect of federal tax benefit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effective tax rate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Non-deductible non-cash compensation expense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5"/>
              </w:rPr>
              <w:t>Impairment of non-deductible goodwill and intangible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145,665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8,147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54,960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(13,274)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9"/>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2"/>
              </w:rPr>
              <w:t>Additions based on tax positions related to the current year</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vMerge w:val="restart"/>
          </w:tcPr>
          <w:p>
            <w:pPr>
              <w:spacing w:after="0"/>
              <w:rPr>
                <w:sz w:val="20"/>
                <w:szCs w:val="20"/>
                <w:color w:val="auto"/>
              </w:rPr>
            </w:pPr>
            <w:r>
              <w:rPr>
                <w:rFonts w:ascii="Arial" w:cs="Arial" w:eastAsia="Arial" w:hAnsi="Arial"/>
                <w:sz w:val="18"/>
                <w:szCs w:val="18"/>
                <w:color w:val="auto"/>
              </w:rPr>
              <w:t>Balance, end of the period</w:t>
            </w: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December 31, 2009 and 2008, the unrecognized tax benefits, including interest, were $1.0 million and $2.3 million, respectively. The 2008 unrecognized beginning tax benefit included approximately $1.0 million for tax positions included in IAC's consolidated tax return filings. In 2009, unrecognized tax benefits decreased by this amount as IAC retained the liability after the spin-off. Also included in unrecognized tax benefits at December 31, 2009 is approximately $0.6 million for tax positions which the ultimate deductibility is highly certain but for which there is uncertainty about the timing of such deductibility. The amount of unrecognized tax benefits that, if recognized, would impact the effective tax rate is approximately $0.3 million.</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Tree.com recognizes interest and, if applicable, penalties related to unrecognized tax benefits in income tax expense. Included in income tax expense for both of the years ended December 31, 2009 and 2008 is $0.07 million for interest on unrecognized tax benefits. At December 31, 2009 and 2008,</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Tree.com has accrued $0.07 million and $0.1 million for the payment of interest, respectively. There are no material accruals for penalties.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By virtue of previously filed separate company and consolidated tax returns with IAC, Tree.com is routinely under audit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the amount paid upon resolution of issues raised may differ from the amount provided. Differences between the reserves for tax contingencies and the amounts owed by Tree.com are recorded in the period they become known.</w:t>
      </w:r>
    </w:p>
    <w:p>
      <w:pPr>
        <w:spacing w:after="0" w:line="197" w:lineRule="exact"/>
        <w:rPr>
          <w:sz w:val="20"/>
          <w:szCs w:val="20"/>
          <w:color w:val="auto"/>
        </w:rPr>
      </w:pPr>
    </w:p>
    <w:p>
      <w:pPr>
        <w:jc w:val="both"/>
        <w:ind w:right="60" w:firstLine="348"/>
        <w:spacing w:after="0" w:line="255" w:lineRule="auto"/>
        <w:rPr>
          <w:sz w:val="20"/>
          <w:szCs w:val="20"/>
          <w:color w:val="auto"/>
        </w:rPr>
      </w:pPr>
      <w:r>
        <w:rPr>
          <w:rFonts w:ascii="Arial" w:cs="Arial" w:eastAsia="Arial" w:hAnsi="Arial"/>
          <w:sz w:val="18"/>
          <w:szCs w:val="18"/>
          <w:color w:val="auto"/>
        </w:rPr>
        <w:t>The Internal Revenue Service ("IRS") is currently examining the IAC consolidated tax returns for the years ended December 31, 2001 through 2006, which includes the operations of LendingTree from August 8, 2003, its date of acquisition by IAC. The statute of limitations for the years 2001-2004 has been extended to December 31, 2010. Various IAC consolidated tax returns filed with state and local jurisdictions are currently under examination, the most significant of which are California, Florida, New York State and New York City, for various tax years after December 31, 2001. These examinations are expected to be completed by early 2011.</w:t>
      </w:r>
    </w:p>
    <w:p>
      <w:pPr>
        <w:spacing w:after="0" w:line="197"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Tree.com believes that it is reasonably possible that its unrecognized tax benefits could decrease by approximately $1.0 million within twelve months of the current reporting, as a result of the following: $0.6 million is due to the reversal of deductible temporary differences which will result in a corresponding increase in net deferred tax liabilities, and approximately $0.4 million may be recognized in the next twelve months due to the expiration of the statute of limitations which could impact the effective tax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CASH FLOW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Interest(a)</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1,264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  2,246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  14,888</w:t>
            </w:r>
          </w:p>
        </w:tc>
      </w:tr>
      <w:tr>
        <w:trPr>
          <w:trHeight w:val="208"/>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tax payments (including amounts paid to IAC for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Tree.com's share of IAC's consolidated tax liability in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2007)</w:t>
            </w:r>
          </w:p>
        </w:tc>
        <w:tc>
          <w:tcPr>
            <w:tcW w:w="2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6,426</w:t>
            </w: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Income tax refunds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24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840" w:right="40" w:hanging="550"/>
        <w:spacing w:after="0" w:line="259" w:lineRule="auto"/>
        <w:tabs>
          <w:tab w:leader="none" w:pos="2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interest expense related to borrowings under warehouse lines of credit. This expense is netted with interest income earned on loans held for sale, both of which are included in revenue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14—COMMITMENTS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 leases office space, equipment and services used in connection with its operations under various operating leases, many of which contain escalation clauses.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14—COMMITMENTS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payments under operating lease agreements are as follows (in thousands):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w w:val="89"/>
              </w:rPr>
              <w:t>Years Ending December 31,</w:t>
            </w: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4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2011</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4,408</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4,057</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2013</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3,738</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3,763</w:t>
            </w: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1,487</w:t>
            </w: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22,213</w:t>
            </w: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 also subleases certain office space to third parties. The total amount of minimum rentals to be received in the future under non-cancelable subleases is $1.2 million as of December 31, 2009.</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Expenses charged to operations under these agreements were $5.1 million, $5.4 million, and $6.9 million, for the years ended December 31, 2009, 2008, and 2007, respectively, and are included in general and administrative expense in the consolidated statements of operations.</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also has funding commitments that could potentially require its performance in the event of demands by third parties or contingent events, such as under letters of credit extended or under guarantees of debt,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Amounts</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Less Than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More Than</w:t>
            </w: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Committed</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1 year</w:t>
            </w:r>
          </w:p>
        </w:tc>
        <w:tc>
          <w:tcPr>
            <w:tcW w:w="180" w:type="dxa"/>
            <w:vAlign w:val="bottom"/>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1–3 years</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3–5 years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5 years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Surety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obligations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commercial commitments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total commercial commitments above primarily consist of surety bonds relating to guarantees with mortgage brokers. The purchase obligations primarily relate to marketing event contracts in 2010.</w:t>
      </w:r>
    </w:p>
    <w:p>
      <w:pPr>
        <w:spacing w:after="0" w:line="186"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In conducting its operations, Home Loan Center, Inc., through its wholly-owned subsidiary, HLC Escrow and Settlement Services, Inc., routinely holds customers' assets in escrow pending completion of real estate financing transactions. These amounts are maintained in segregated bank accounts and are offset with the related liabilities resulting in no amounts reported in the accompanying consolidated balance sheets. The balances held for LendingTree Loans' customers totaled $1.3 million and $0.8 million at December 31, 2009 and 2008,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15—CONTINGENCIES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2009, 2008 and 2007, provisions for litigation settlements of $13.2 million, $2.0 million, and $3.6 million, respectively, were recorded in litigation settlements and contingencies in the accompanying consolidated statements of operations. The balance of the related liability was $12.8 million and $2.0 million at December 31, 2009 and 2008, respectively. The litigation matters in 2009 were either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settled, or a firm offer for settlement was extended by the Company, thereby establishing an accrual amount that is both probable and reasonably estimable. One matter was settled in 2009 and one matter was settled in February 2010, and will require cash payments totaling $12.8 million to be paid in 2010.</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During 2007, the Company settled a lawsuit (as the plaintiff) and received a payment of $15.0 million, which is reflected in the accompanying consolidated statements of operations.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 See Note 12 for a discussion related to income tax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16—RELATED PARTY TRANSACTIONS</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While affiliated with IAC, Tree.com's expenses included allocations from IAC of costs associated with IAC's accounting, treasury, legal, tax, corporate support, human resources and internal audit functions. These expenses were allocated based on the ratio of Tree.com's revenue as a percentage of IAC's total revenue. Allocated costs were $0.3 million, and $1.0 million for the years ended December 31, 2008 and 2007, respectively and are included in general and administrative expense in the accompanying consolidated statements of operations. It is not practicable to determine the amounts of these expenses that would have been incurred had Tree.com operated as an unaffiliated entity. In the opinion of management, the allocation method was reasonable.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governing certain of the ongoing relationships between Tree.com and IAC at and after the spin-off, and to provide for an orderly transition,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Tree.com and IAC entered into a separation agreement, a tax sharing agreement, an employee matters agreement and a transition services agreement (the "Spin-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 Agreements"), among other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17—BENEFIT PLANS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Effective January 1, 2009, Tree.com established a retirement savings plan in the United States that pending approval, will be qualified under Section 401(k) of the Internal Revenue Code. The net assets available for benefits of the employees of Tree.com were transferred from the IAC plan described below to the newly created Tree.com plan. Employees are eligible to enroll in the plan upon date of hire. Participating employees may contribute up to 50% of their pretax earnings, but not more than statutory limits (generally $16,500 for 2009). Tree.com's match is fifty cents for each dollar a participant contributes to the plan, with a maximum contribution of 3% of a participant's eligible earnings. Matching contributions are invested in the same manner as each participant's voluntary contributions in the investment options provided under the plan. Tree.com stock is not included in the available investment options or the plan assets. Funds contributed to the Tree.com plan vest according to the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17—BENEFIT PLANS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participant's years of service, with less than three years of service vesting at 0%, and three years or more of service vesting at 100%. Matching contributions were approximately $1.0 million in 2009.</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During the years ended December 31, 2008 and 2007, Tree.com participated in a retirement savings plan sponsored by IAC that was qualified under Section 401(k) of the Internal Revenue Code. Under the IAC plan, participating employees could contribute up to 16% of their pretax earnings, but not more than statutory limits. Tree.com's match under the IAC plan was fifty cents for each dollar a participant contributes in this plan, with a maximum contribution of 3% of a participant's eligible earnings. Matching contributions were approximately $1.1 million and $2.7 million in 2008 and 2007, respectively. The decrease in matching contributions in 2008 is primarily due to the reduction in workforce associated with the 2007 and 2008 restructuring actions. Matching contributions were invested in the same manner as each participant's voluntary contributions in the investment options provided under the plan. Investment options in the plan include IAC common stock, but neither participant nor matching contributions were required to be invested in IAC common stock. Funds contributed prior to December 31, 2008 were subject to the vesting schedule established by the IAC plan. This vesting schedule is based on the participant's years of service, with less than two years of service vesting at 0% and two years or more of service vesting at 100%.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18—RESTRUCTURING CHARGES</w:t>
      </w:r>
    </w:p>
    <w:p>
      <w:pPr>
        <w:spacing w:after="0" w:line="231" w:lineRule="exact"/>
        <w:rPr>
          <w:sz w:val="20"/>
          <w:szCs w:val="20"/>
          <w:color w:val="auto"/>
        </w:rPr>
      </w:pPr>
    </w:p>
    <w:p>
      <w:pPr>
        <w:jc w:val="both"/>
        <w:ind w:right="140" w:firstLine="348"/>
        <w:spacing w:after="0" w:line="256" w:lineRule="auto"/>
        <w:rPr>
          <w:sz w:val="20"/>
          <w:szCs w:val="20"/>
          <w:color w:val="auto"/>
        </w:rPr>
      </w:pPr>
      <w:r>
        <w:rPr>
          <w:rFonts w:ascii="Arial" w:cs="Arial" w:eastAsia="Arial" w:hAnsi="Arial"/>
          <w:sz w:val="18"/>
          <w:szCs w:val="18"/>
          <w:color w:val="auto"/>
        </w:rPr>
        <w:t>The restructuring charges in 2009 primarily relate to Tree.com's segment reorganizations and aligning the cost structure with future revenue opportunities. The restructuring charges in 2008 and 2007 primarily relate to Tree.com's significant reduction in its mortgage origination operations in response to the adverse developments in mortgage market conditions. Costs that relate to ongoing operations are not part of restructuring charges. Restructuring charges by segment and type are as follows (in thousands):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3"/>
              </w:rPr>
              <w:t>For The Year Ended December 31, 2009</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87"/>
              </w:rPr>
              <w:t>Employee</w:t>
            </w:r>
          </w:p>
        </w:tc>
        <w:tc>
          <w:tcPr>
            <w:tcW w:w="16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Asset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Exchanges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Unallocated-Corporate</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center"/>
              <w:ind w:right="12"/>
              <w:spacing w:after="0"/>
              <w:rPr>
                <w:sz w:val="20"/>
                <w:szCs w:val="20"/>
                <w:color w:val="auto"/>
              </w:rPr>
            </w:pPr>
            <w:r>
              <w:rPr>
                <w:rFonts w:ascii="Arial" w:cs="Arial" w:eastAsia="Arial" w:hAnsi="Arial"/>
                <w:sz w:val="14"/>
                <w:szCs w:val="14"/>
                <w:b w:val="1"/>
                <w:bCs w:val="1"/>
                <w:color w:val="auto"/>
                <w:w w:val="87"/>
              </w:rPr>
              <w:t>For The Year Ended December 31, 2008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3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Exchanges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Unallocated-Corporate</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3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vMerge w:val="restart"/>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18—RESTRUCTURING CHARGES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right"/>
              <w:ind w:right="52"/>
              <w:spacing w:after="0"/>
              <w:rPr>
                <w:sz w:val="20"/>
                <w:szCs w:val="20"/>
                <w:color w:val="auto"/>
              </w:rPr>
            </w:pPr>
            <w:r>
              <w:rPr>
                <w:rFonts w:ascii="Arial" w:cs="Arial" w:eastAsia="Arial" w:hAnsi="Arial"/>
                <w:sz w:val="14"/>
                <w:szCs w:val="14"/>
                <w:b w:val="1"/>
                <w:bCs w:val="1"/>
                <w:color w:val="auto"/>
                <w:w w:val="91"/>
              </w:rPr>
              <w:t>For The Year Ended December 31, 2007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19,568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Unallocated-Corporate</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1,403</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22,867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 and spending against liabilities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w w:val="87"/>
              </w:rPr>
              <w:t>For The Year Ended December 31, 2009</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Employee</w:t>
            </w:r>
          </w:p>
        </w:tc>
        <w:tc>
          <w:tcPr>
            <w:tcW w:w="8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w:t>
            </w:r>
          </w:p>
        </w:tc>
      </w:tr>
      <w:tr>
        <w:trPr>
          <w:trHeight w:val="222"/>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88"/>
              </w:rPr>
              <w:t>For The Year Ended December 31, 2008</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4"/>
              </w:rPr>
              <w:t>Employee</w:t>
            </w:r>
          </w:p>
        </w:tc>
        <w:tc>
          <w:tcPr>
            <w:tcW w:w="60" w:type="dxa"/>
            <w:vAlign w:val="bottom"/>
          </w:tcPr>
          <w:p>
            <w:pPr>
              <w:spacing w:after="0"/>
              <w:rPr>
                <w:sz w:val="11"/>
                <w:szCs w:val="11"/>
                <w:color w:val="auto"/>
              </w:rPr>
            </w:pP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Asset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5"/>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(7,033)</w:t>
            </w:r>
          </w:p>
        </w:tc>
      </w:tr>
      <w:tr>
        <w:trPr>
          <w:trHeight w:val="222"/>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December 31, 2009, restructuring liabilities of $1.8 million are included in accrued expenses and other current liabilities and $0.7 million are included in other long-term liabilities in the accompanying consolidated balance sheet. At December 31, 2008, restructuring liabilities of $3.3 million are included in accrued expenses and other current liabilities and $0.8 million are included in other long-term liabilities in the accompanying consolidated balance sheet. Tree.com expects to incur $2.6 million of additional costs in the first quarter of 2010 related to the prior restructurings noted above that primarily relate to continuing lease obligations on facilities for which management has a plan to exit, but the cease-use date did not occur before December 31, 2009.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19—QUARTERLY RESULTS (UNAUDITED)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Quarter Ended</w:t>
            </w:r>
          </w:p>
        </w:tc>
        <w:tc>
          <w:tcPr>
            <w:tcW w:w="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Quarter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Quarter Ended</w:t>
            </w: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0"/>
              </w:rPr>
              <w:t>June 30,(a)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3"/>
              </w:rPr>
              <w:t>December 31,(b)</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57,260</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60,973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50,716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47,826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income/(loss)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(7,442)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(21,303)</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(20,976)</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Basic earnings/(loss) per share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earnings/(loss) per share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2008</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31,976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(176,754)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(6,333)</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(162,920)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(22,551)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(7,006)</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r>
      <w:tr>
        <w:trPr>
          <w:trHeight w:val="102"/>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second quarter of 2008 includes an impairment charge of $164.3 million related to the write-down of goodwill and intangible assets.</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fourth quarter of 2009 includes a litigation settlement and contingencies charge of $12.8 million.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the Company's Disclosure Controls and Procedures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monitors and evaluates on an ongoing basis its disclosure controls and procedures in order to improve their overall effectiveness. In the course of these evaluations, the Company modifies and refines its internal processes as conditions warrant.</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required by Rule 13a-15(b) of the Exchange Act, Tree.com management, including the Chief Executive Officer and Chief Financial Officer, conducted an evaluation, as of the end of the period covered by this report, of the effectiveness of the Company's disclosure controls and procedures as defined in Exchange Act Rule 13a-15(e). Based on this evaluation, the Chief Executive Officer and Chief Financial Officer concluded that the Company's disclosure controls and procedures were effective as of the end of the period covered by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defined in Rule 13a-15(f) under the Exchange Act) for the Company.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Management assessed the effectiveness of the Company's internal control over financial reporting as of December 31, 2009. In making this assessment, our management used the criteria for effective internal control over financial reporting described in "Internal Control—Integrated Framework" issued by the Committee of Sponsoring Organizations of the Treadway Commission. Based on this assessment, management has determined that, as of December 31, 2009, the Company's internal control over financial reporting is effective. The effectiveness of our internal control over financial reporting as of December 31, 2009 has been audited by Deloitte &amp; Touche LLP, an independent registered public accounting firm, as stated in their attestation report, included herein.</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monitors and evaluates on an ongoing basis its internal control over financial reporting in order to improve its overall effectiveness. In the course of these evaluations, the Company modifies and refines its internal processes as conditions warrant. As required by Rule 13a-15(d), Tree.com management, including the Chief Executive Officer and the Chief Financial Officer, also conducted an evaluation of the Company's internal control over financial reporting to determine whether any changes occurred during the quarter ended December 31, 2009 that have materially affected, or are reasonably likely to materially affect, the Company's internal control over financial reporting. Based on that evaluation, there has been no such change during the period covered by this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Tree.com, Inc.</w:t>
      </w:r>
    </w:p>
    <w:p>
      <w:pPr>
        <w:spacing w:after="0" w:line="21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Tree.com, Inc. and subsidiaries (the "Company")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139"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2009 of the Company and our report dated March 2, 2010 expressed an unqualified opinion on those financial statements and financial statement schedule and included an explanatory paragraph relating to the adoption of a new accounting standard.</w:t>
      </w:r>
    </w:p>
    <w:p>
      <w:pPr>
        <w:spacing w:after="0" w:line="200" w:lineRule="exact"/>
        <w:rPr>
          <w:sz w:val="20"/>
          <w:szCs w:val="20"/>
          <w:color w:val="auto"/>
        </w:rPr>
      </w:pPr>
    </w:p>
    <w:p>
      <w:pPr>
        <w:spacing w:after="0" w:line="24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2010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February 25, 2010, the Compensation Committee of Tree.com, Inc. (the "Company") approved certain amendments to the change in control severance benefits provided to Douglas Lebda, David Norris and Greg Hanson. These changes were made because the Compensation Committee believes it is in the best interests of the Company and its stockholders to assure that the Company will have the continued dedication of its executive officers notwithstanding the possibility, threat or occurrence of a change of control. As a result of the amendments, upon the occurrence of a "change in control" (as defined in the applicable employment agreement), all restricted stock, restricted stock unit, stock option and other equity awards held by Messrs. Lebda, Norris and Hanson would automatically vest in full. In addition, as a result of the amendments:</w:t>
      </w:r>
    </w:p>
    <w:p>
      <w:pPr>
        <w:spacing w:after="0" w:line="188" w:lineRule="exact"/>
        <w:rPr>
          <w:sz w:val="20"/>
          <w:szCs w:val="20"/>
          <w:color w:val="auto"/>
        </w:rPr>
      </w:pPr>
    </w:p>
    <w:p>
      <w:pPr>
        <w:ind w:left="1080" w:hanging="532"/>
        <w:spacing w:after="0" w:line="302"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upon termination without "cause" or for "good reason" within one year following the occurrence of a "change in control" (as defined in the applicable employment agreement), (1) Mr. Lebda would receive continued payment of his base salary for three years from the date of termination (which would not be reduced by the amount of compensation earned from other employment during the severance period) and (2) to the extent applicable to business activities unrelated to online lending, the period of the non-competition and non-solicitation covenants applicable to</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Mr. Lebda would be reduced from two years following termination to one; and</w:t>
      </w:r>
    </w:p>
    <w:p>
      <w:pPr>
        <w:spacing w:after="0" w:line="245"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termination without "cause" or upon the Company's material breach of the agreement within one year following the occurrence of a "change in control" (as defined in the applicable employment agreement) each of Mr. Norris and Mr. Hanson would receive continued payment of his base salary for two years from the date of termination (which would not be reduced by the amount of compensation earned from other employment during the severance period).</w:t>
      </w:r>
    </w:p>
    <w:p>
      <w:pPr>
        <w:spacing w:after="0" w:line="197" w:lineRule="exact"/>
        <w:rPr>
          <w:sz w:val="20"/>
          <w:szCs w:val="20"/>
          <w:color w:val="auto"/>
        </w:rPr>
      </w:pPr>
    </w:p>
    <w:p>
      <w:pPr>
        <w:ind w:right="80" w:firstLine="341"/>
        <w:spacing w:after="0" w:line="335" w:lineRule="auto"/>
        <w:rPr>
          <w:sz w:val="20"/>
          <w:szCs w:val="20"/>
          <w:color w:val="auto"/>
        </w:rPr>
      </w:pPr>
      <w:r>
        <w:rPr>
          <w:rFonts w:ascii="Arial" w:cs="Arial" w:eastAsia="Arial" w:hAnsi="Arial"/>
          <w:sz w:val="15"/>
          <w:szCs w:val="15"/>
          <w:color w:val="auto"/>
        </w:rPr>
        <w:t>Additionally, on February 25, 2010, the Company's Compensation Committee approved an amendment to the stock purchase agreement dated February 8, 2009 between the Company and Mr. Lebda pursuant to which Mr. Lebda purchased 935,000 shares of Company common stock. Pursuant to this amendment, the Company relinquished its repurchase rights under the agreement with respect Mr. Lebda's unvested shares in the event of a change of control of the Company.</w:t>
      </w:r>
    </w:p>
    <w:p>
      <w:pPr>
        <w:spacing w:after="0" w:line="142"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On February 25, 2010, Robert Harris, President of our LendingTree Exchange business, stepped down as an executive officer. Also on February 25, 2010, the Company's Compensation Committee approved amendments to Mr. Harris' employment agreement pursuant to which, Mr. Harris will receive a lump sum severance payment of $180,000 as well as accelerated vesting of 19,035 restricted stock units in connection with his separation from the Company.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Tree.com's definitive Proxy Statement to be used in connection with its 2010 Annual Meeting of Stockholders and which will be filed with the Securities and Exchange Commission not later than 120 days after the end of the Company's fiscal year ended December 31, 2009 (the "2010 Proxy Statement"), in accordance with General Instruction G(3) of Form 10-K.</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2010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"Election of Directors—Information Concerning Director Nominees;"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"Election of Directors—Corporate Governance;"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"Election of Directors—The Board and Board Committees;"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"Election of Directors—Stockholder Recommendations of Director Candidates;"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Concerning Executive Officers Who Are Not Directors;" "Code of Business Conduct and Ethics;" and "Section 16(a) Beneficial Ownership Reporting Compliance."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2010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Discussion and Analysis;"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Committee Interlocks and Insider Participation."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Further, the information included under the caption "Compensation Committee Report" is furnished but shall not be deemed incorporated by reference into any filing under the Securities Act or the Exchange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2010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"Ownership of Certain Beneficial Owners and Management;" and "Securities Authorized for Issuance Under Equity Compensation Plans."</w:t>
      </w:r>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2010 Proxy Statement is incorporated by reference herein:</w:t>
      </w:r>
    </w:p>
    <w:p>
      <w:pPr>
        <w:spacing w:after="0" w:line="25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"Election of Directors—Corporate Governance."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2010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Committee Matters—Fees Paid to Our Independent Registered Public Accounting Firm;"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Committee Matters—Audit and Non-Audit Services Pre-Approval Policy."</w:t>
      </w:r>
    </w:p>
    <w:p>
      <w:pPr>
        <w:sectPr>
          <w:pgSz w:w="11900" w:h="16838" w:orient="portrait"/>
          <w:cols w:equalWidth="0" w:num="1">
            <w:col w:w="11360"/>
          </w:cols>
          <w:pgMar w:left="240" w:top="131" w:right="29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List of documents filed as part of this Report:</w:t>
      </w:r>
    </w:p>
    <w:p>
      <w:pPr>
        <w:spacing w:after="0" w:line="246"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 of Tree.com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2009,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2009,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2009,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3"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 Schedules of Tree.com</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Schedule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4375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ind w:left="1720"/>
        <w:spacing w:after="0"/>
        <w:tabs>
          <w:tab w:leader="none" w:pos="19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Valuation and Qualifying Accounts</w:t>
      </w:r>
    </w:p>
    <w:p>
      <w:pPr>
        <w:spacing w:after="0" w:line="21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other financial statements and schedules not listed have been omitted since the required information is included in the Consolidated Financial Statements or the notes thereto, or is not applicable or required.</w:t>
      </w:r>
    </w:p>
    <w:p>
      <w:pPr>
        <w:spacing w:after="0" w:line="193"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ectPr>
          <w:pgSz w:w="11900" w:h="16838" w:orient="portrait"/>
          <w:cols w:equalWidth="0" w:num="1">
            <w:col w:w="11360"/>
          </w:cols>
          <w:pgMar w:left="240" w:top="131" w:right="299" w:bottom="1440" w:gutter="0" w:footer="0" w:header="0"/>
        </w:sectPr>
      </w:pPr>
    </w:p>
    <w:p>
      <w:pPr>
        <w:spacing w:after="0" w:line="16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78"/>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1"/>
        </w:trPr>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3"/>
              </w:rPr>
              <w:t>Amended and Restated Certificate of Incorporation of</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Tree.com, Inc.</w:t>
            </w:r>
          </w:p>
        </w:tc>
      </w:tr>
      <w:tr>
        <w:trPr>
          <w:trHeight w:val="222"/>
        </w:trPr>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Amended and Restated By-laws of Tree.com, Inc.</w:t>
            </w:r>
          </w:p>
        </w:tc>
      </w:tr>
      <w:tr>
        <w:trPr>
          <w:trHeight w:val="426"/>
        </w:trPr>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Separation and Distribution Agreement, dated as of</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August 20, 2008, by and among IAC/InterActiveCorp,</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HSN, Inc., Interval Leisure Group, Inc., Ticketmaster</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and Tree.com,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8"/>
              </w:rPr>
              <w:t>Tax Sharing Agreement, dated as of August 20, 2008, by</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and among IAC/InterActiveCorp, HSN, Inc., Interval</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Leisure Group, Inc., Ticketmaster and Tree.com,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3"/>
              </w:rPr>
              <w:t>Employee Matters Agreement, dated as of August 20,</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2008, by and among IAC/InterActiveCorp, HSN, Inc.,</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Interval Leisure Group, Inc., Ticketmaster and</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Tree.com, Inc.</w:t>
            </w:r>
          </w:p>
        </w:tc>
      </w:tr>
      <w:tr>
        <w:trPr>
          <w:trHeight w:val="432"/>
        </w:trPr>
        <w:tc>
          <w:tcPr>
            <w:tcW w:w="720" w:type="dxa"/>
            <w:vAlign w:val="bottom"/>
          </w:tcPr>
          <w:p>
            <w:pPr>
              <w:spacing w:after="0"/>
              <w:rPr>
                <w:sz w:val="24"/>
                <w:szCs w:val="24"/>
                <w:color w:val="auto"/>
              </w:rPr>
            </w:pPr>
          </w:p>
        </w:tc>
        <w:tc>
          <w:tcPr>
            <w:tcW w:w="4200" w:type="dxa"/>
            <w:vAlign w:val="bottom"/>
            <w:gridSpan w:val="2"/>
          </w:tcPr>
          <w:p>
            <w:pPr>
              <w:ind w:left="3740"/>
              <w:spacing w:after="0"/>
              <w:rPr>
                <w:sz w:val="20"/>
                <w:szCs w:val="20"/>
                <w:color w:val="auto"/>
              </w:rPr>
            </w:pPr>
            <w:r>
              <w:rPr>
                <w:rFonts w:ascii="Arial" w:cs="Arial" w:eastAsia="Arial" w:hAnsi="Arial"/>
                <w:sz w:val="18"/>
                <w:szCs w:val="18"/>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1680"/>
        <w:spacing w:after="0" w:line="249" w:lineRule="auto"/>
        <w:rPr>
          <w:sz w:val="20"/>
          <w:szCs w:val="20"/>
          <w:color w:val="auto"/>
        </w:rPr>
      </w:pPr>
      <w:r>
        <w:rPr>
          <w:rFonts w:ascii="Arial" w:cs="Arial" w:eastAsia="Arial" w:hAnsi="Arial"/>
          <w:sz w:val="18"/>
          <w:szCs w:val="18"/>
          <w:color w:val="auto"/>
        </w:rPr>
        <w:t>Exhibit 3.1 to the Registrant's Current Report on Form 8-K filed August 25, 2008.</w:t>
      </w:r>
    </w:p>
    <w:p>
      <w:pPr>
        <w:spacing w:after="0" w:line="1" w:lineRule="exact"/>
        <w:rPr>
          <w:sz w:val="20"/>
          <w:szCs w:val="20"/>
          <w:color w:val="auto"/>
        </w:rPr>
      </w:pPr>
    </w:p>
    <w:p>
      <w:pPr>
        <w:ind w:right="1680"/>
        <w:spacing w:after="0" w:line="250" w:lineRule="auto"/>
        <w:rPr>
          <w:sz w:val="20"/>
          <w:szCs w:val="20"/>
          <w:color w:val="auto"/>
        </w:rPr>
      </w:pPr>
      <w:r>
        <w:rPr>
          <w:rFonts w:ascii="Arial" w:cs="Arial" w:eastAsia="Arial" w:hAnsi="Arial"/>
          <w:sz w:val="18"/>
          <w:szCs w:val="18"/>
          <w:color w:val="auto"/>
        </w:rPr>
        <w:t>Exhibit 3.2 to the Registrant's Current Report on Form 8-K filed August 25, 2008.</w:t>
      </w:r>
    </w:p>
    <w:p>
      <w:pPr>
        <w:spacing w:after="0" w:line="1" w:lineRule="exact"/>
        <w:rPr>
          <w:sz w:val="20"/>
          <w:szCs w:val="20"/>
          <w:color w:val="auto"/>
        </w:rPr>
      </w:pPr>
    </w:p>
    <w:p>
      <w:pPr>
        <w:jc w:val="both"/>
        <w:ind w:right="1280"/>
        <w:spacing w:after="0" w:line="361" w:lineRule="auto"/>
        <w:rPr>
          <w:sz w:val="20"/>
          <w:szCs w:val="20"/>
          <w:color w:val="auto"/>
        </w:rPr>
      </w:pPr>
      <w:r>
        <w:rPr>
          <w:rFonts w:ascii="Arial" w:cs="Arial" w:eastAsia="Arial" w:hAnsi="Arial"/>
          <w:sz w:val="15"/>
          <w:szCs w:val="15"/>
          <w:color w:val="auto"/>
        </w:rPr>
        <w:t>Exhibit 10.1 to the Registrant's Registration Statement on Form S-1 (No. 333-152700), filed August 1, 2008.</w:t>
      </w:r>
    </w:p>
    <w:p>
      <w:pPr>
        <w:spacing w:after="0" w:line="339" w:lineRule="exact"/>
        <w:rPr>
          <w:sz w:val="20"/>
          <w:szCs w:val="20"/>
          <w:color w:val="auto"/>
        </w:rPr>
      </w:pPr>
    </w:p>
    <w:p>
      <w:pPr>
        <w:ind w:right="1600"/>
        <w:spacing w:after="0" w:line="268" w:lineRule="auto"/>
        <w:rPr>
          <w:sz w:val="20"/>
          <w:szCs w:val="20"/>
          <w:color w:val="auto"/>
        </w:rPr>
      </w:pPr>
      <w:r>
        <w:rPr>
          <w:rFonts w:ascii="Arial" w:cs="Arial" w:eastAsia="Arial" w:hAnsi="Arial"/>
          <w:sz w:val="18"/>
          <w:szCs w:val="18"/>
          <w:color w:val="auto"/>
        </w:rPr>
        <w:t>Exhibit 10.2 to the Registrant's Current Report on Form 8-K filed August 25, 2008.</w:t>
      </w:r>
    </w:p>
    <w:p>
      <w:pPr>
        <w:spacing w:after="0" w:line="186" w:lineRule="exact"/>
        <w:rPr>
          <w:sz w:val="20"/>
          <w:szCs w:val="20"/>
          <w:color w:val="auto"/>
        </w:rPr>
      </w:pPr>
    </w:p>
    <w:p>
      <w:pPr>
        <w:ind w:right="1600"/>
        <w:spacing w:after="0" w:line="268" w:lineRule="auto"/>
        <w:rPr>
          <w:sz w:val="20"/>
          <w:szCs w:val="20"/>
          <w:color w:val="auto"/>
        </w:rPr>
      </w:pPr>
      <w:r>
        <w:rPr>
          <w:rFonts w:ascii="Arial" w:cs="Arial" w:eastAsia="Arial" w:hAnsi="Arial"/>
          <w:sz w:val="18"/>
          <w:szCs w:val="18"/>
          <w:color w:val="auto"/>
        </w:rPr>
        <w:t>Exhibit 10.3 to the Registrant's Current Report on Form 8-K filed August 25, 2008.</w:t>
      </w:r>
    </w:p>
    <w:p>
      <w:pPr>
        <w:sectPr>
          <w:pgSz w:w="11900" w:h="16838" w:orient="portrait"/>
          <w:cols w:equalWidth="0" w:num="2">
            <w:col w:w="6080" w:space="180"/>
            <w:col w:w="5100"/>
          </w:cols>
          <w:pgMar w:left="240" w:top="131" w:right="29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1"/>
        </w:trPr>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1"/>
              </w:rPr>
              <w:t>Transition Services Agreement, dated as of August 20,</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2008, by and among IAC/InterActiveCorp, HSN, Inc.,</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Interval Leisure Group, Inc., Ticketmaster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Tree.com,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Registration Rights Agreement, dated as of August 20,</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0"/>
              </w:rPr>
              <w:t>2008, among Tree.com, Inc., Liberty Media Corporation</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and Liberty USA Holdings, LLC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Spinco Assignment and Assumption Agreement, dated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as of August 20, 2008, among IAC/InterActiveCorp,</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3"/>
              </w:rPr>
              <w:t>Tree.com, Inc., Liberty Media Corporation and Liberty</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USA Holdings, LLC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2"/>
              </w:rPr>
              <w:t>Employment Agreement between Robert L. Harris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LendingTree, LLC, dated as of June 30, 2008*</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6"/>
              </w:rPr>
              <w:t>Amended and Restated Restricted Share Grant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2"/>
              </w:rPr>
              <w:t>Shareholders' Agreement, dated as of July 7, 2003, by</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and among Forest Merger Corp., LendingTree, Inc.,</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InterActiveCorp and the Grantees named therein, as</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2"/>
              </w:rPr>
              <w:t>amended (filed as Exhibit 99.4 to Amendment No. 1 to</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IAC/InterActiveCorp's Registration Statement on</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3"/>
              </w:rPr>
              <w:t>Form S-4 (SEC File No. 333-105876) filed on July 10,</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2003 and incorporated herein by reference)*</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Correspondent Loan Purchase Agreement, dated as of</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April 26, 2004, between CitiMortgage, Inc. and Home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Loan Center,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10.10</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2"/>
              </w:rPr>
              <w:t>Loan Purchase Agreement, dated as of April 16, 2002,</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between Countrywide Home Loans, Inc. and Home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Loan Center,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10.11</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6"/>
              </w:rPr>
              <w:t>Second amended and restated Tree.com, Inc. 2008 Stock</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and Annual Incentive Plan*</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Warehousing Credit Agreement, dated as of</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November 26, 2007, by and among Home Loan</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Center, Inc. d/b/a LendingTree Loans, National City</w:t>
            </w:r>
          </w:p>
        </w:tc>
      </w:tr>
    </w:tbl>
    <w:p>
      <w:pPr>
        <w:ind w:left="2060"/>
        <w:spacing w:after="0" w:line="261" w:lineRule="auto"/>
        <w:rPr>
          <w:sz w:val="20"/>
          <w:szCs w:val="20"/>
          <w:color w:val="auto"/>
        </w:rPr>
      </w:pPr>
      <w:r>
        <w:rPr>
          <w:rFonts w:ascii="Arial" w:cs="Arial" w:eastAsia="Arial" w:hAnsi="Arial"/>
          <w:sz w:val="18"/>
          <w:szCs w:val="18"/>
          <w:color w:val="auto"/>
        </w:rPr>
        <w:t>Bank and National City Bank in its capacity as Agent for the Banks (as defined therein)</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520"/>
        <w:spacing w:after="0" w:line="259" w:lineRule="auto"/>
        <w:rPr>
          <w:sz w:val="20"/>
          <w:szCs w:val="20"/>
          <w:color w:val="auto"/>
        </w:rPr>
      </w:pPr>
      <w:r>
        <w:rPr>
          <w:rFonts w:ascii="Arial" w:cs="Arial" w:eastAsia="Arial" w:hAnsi="Arial"/>
          <w:sz w:val="18"/>
          <w:szCs w:val="18"/>
          <w:color w:val="auto"/>
        </w:rPr>
        <w:t>Exhibit 10.4 to the Registrant's Current Report on Form 8-K filed August 25, 2008.</w:t>
      </w:r>
    </w:p>
    <w:p>
      <w:pPr>
        <w:spacing w:after="0" w:line="200" w:lineRule="exact"/>
        <w:rPr>
          <w:sz w:val="20"/>
          <w:szCs w:val="20"/>
          <w:color w:val="auto"/>
        </w:rPr>
      </w:pPr>
    </w:p>
    <w:p>
      <w:pPr>
        <w:spacing w:after="0" w:line="21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10.5 to the Registrant's Current Report on Form 8-K filed August 25, 2008.</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10.6 to the Registrant's Current Report on Form 8-K filed August 25, 2008.</w:t>
      </w:r>
    </w:p>
    <w:p>
      <w:pPr>
        <w:spacing w:after="0" w:line="200" w:lineRule="exact"/>
        <w:rPr>
          <w:sz w:val="20"/>
          <w:szCs w:val="20"/>
          <w:color w:val="auto"/>
        </w:rPr>
      </w:pPr>
    </w:p>
    <w:p>
      <w:pPr>
        <w:spacing w:after="0" w:line="202" w:lineRule="exact"/>
        <w:rPr>
          <w:sz w:val="20"/>
          <w:szCs w:val="20"/>
          <w:color w:val="auto"/>
        </w:rPr>
      </w:pPr>
    </w:p>
    <w:p>
      <w:pPr>
        <w:jc w:val="both"/>
        <w:ind w:right="200"/>
        <w:spacing w:after="0" w:line="323" w:lineRule="auto"/>
        <w:rPr>
          <w:sz w:val="20"/>
          <w:szCs w:val="20"/>
          <w:color w:val="auto"/>
        </w:rPr>
      </w:pPr>
      <w:r>
        <w:rPr>
          <w:rFonts w:ascii="Arial" w:cs="Arial" w:eastAsia="Arial" w:hAnsi="Arial"/>
          <w:sz w:val="15"/>
          <w:szCs w:val="15"/>
          <w:color w:val="auto"/>
        </w:rPr>
        <w:t>Exhibit 10.5 to the Registrant's Registration Statement on Form S-1 (No. 333-152700), filed August 1, 2008. Exhibit 10.8 to the Registrant's Registration Statement on Form S-1 (No. 333-152700), filed August 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0"/>
        <w:spacing w:after="0" w:line="370" w:lineRule="auto"/>
        <w:rPr>
          <w:sz w:val="20"/>
          <w:szCs w:val="20"/>
          <w:color w:val="auto"/>
        </w:rPr>
      </w:pPr>
      <w:r>
        <w:rPr>
          <w:rFonts w:ascii="Arial" w:cs="Arial" w:eastAsia="Arial" w:hAnsi="Arial"/>
          <w:sz w:val="15"/>
          <w:szCs w:val="15"/>
          <w:color w:val="auto"/>
        </w:rPr>
        <w:t>Exhibit 10.9 to the Registrant's Registration Statement on Form S-1 (No. 333-152700), filed August 1, 2008.</w:t>
      </w:r>
    </w:p>
    <w:p>
      <w:pPr>
        <w:spacing w:after="0" w:line="1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Exhibit 10.10 to the Registrant's Registration Statement on Form S-1 (No. 333-152700), filed August 1, 2008.</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Exhibit 10.2 to the Registrant's current report on Form 8-K filed May 1, 2009.</w:t>
      </w:r>
    </w:p>
    <w:p>
      <w:pPr>
        <w:ind w:right="100"/>
        <w:spacing w:after="0" w:line="361" w:lineRule="auto"/>
        <w:rPr>
          <w:sz w:val="20"/>
          <w:szCs w:val="20"/>
          <w:color w:val="auto"/>
        </w:rPr>
      </w:pPr>
      <w:r>
        <w:rPr>
          <w:rFonts w:ascii="Arial" w:cs="Arial" w:eastAsia="Arial" w:hAnsi="Arial"/>
          <w:sz w:val="15"/>
          <w:szCs w:val="15"/>
          <w:color w:val="auto"/>
        </w:rPr>
        <w:t>Exhibit 10.12 to the Registrant's Registration Statement on Form S-1 (No. 333-152700), filed August 1, 2008.</w:t>
      </w:r>
    </w:p>
    <w:p>
      <w:pPr>
        <w:sectPr>
          <w:pgSz w:w="11900" w:h="16838" w:orient="portrait"/>
          <w:cols w:equalWidth="0" w:num="2">
            <w:col w:w="6080" w:space="180"/>
            <w:col w:w="4020"/>
          </w:cols>
          <w:pgMar w:left="240" w:top="131" w:right="13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1"/>
        </w:trPr>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10.13</w:t>
            </w:r>
          </w:p>
        </w:tc>
        <w:tc>
          <w:tcPr>
            <w:tcW w:w="20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w w:val="89"/>
              </w:rPr>
              <w:t>Second Amendment to Warehousing Credit Agreement,</w:t>
            </w:r>
          </w:p>
        </w:tc>
      </w:tr>
      <w:tr>
        <w:trPr>
          <w:trHeight w:val="257"/>
        </w:trPr>
        <w:tc>
          <w:tcPr>
            <w:tcW w:w="720" w:type="dxa"/>
            <w:vAlign w:val="bottom"/>
          </w:tcPr>
          <w:p>
            <w:pPr>
              <w:spacing w:after="0"/>
              <w:rPr>
                <w:sz w:val="22"/>
                <w:szCs w:val="22"/>
                <w:color w:val="auto"/>
              </w:rPr>
            </w:pPr>
          </w:p>
        </w:tc>
        <w:tc>
          <w:tcPr>
            <w:tcW w:w="4200" w:type="dxa"/>
            <w:vAlign w:val="bottom"/>
            <w:gridSpan w:val="2"/>
          </w:tcPr>
          <w:p>
            <w:pPr>
              <w:ind w:left="180"/>
              <w:spacing w:after="0" w:line="256" w:lineRule="exact"/>
              <w:rPr>
                <w:sz w:val="20"/>
                <w:szCs w:val="20"/>
                <w:color w:val="auto"/>
              </w:rPr>
            </w:pPr>
            <w:r>
              <w:rPr>
                <w:rFonts w:ascii="Arial" w:cs="Arial" w:eastAsia="Arial" w:hAnsi="Arial"/>
                <w:sz w:val="18"/>
                <w:szCs w:val="18"/>
                <w:color w:val="auto"/>
                <w:w w:val="90"/>
              </w:rPr>
              <w:t>made and entered into as of the 12</w:t>
            </w:r>
            <w:r>
              <w:rPr>
                <w:rFonts w:ascii="Arial" w:cs="Arial" w:eastAsia="Arial" w:hAnsi="Arial"/>
                <w:sz w:val="29"/>
                <w:szCs w:val="29"/>
                <w:color w:val="auto"/>
                <w:w w:val="90"/>
                <w:vertAlign w:val="superscript"/>
              </w:rPr>
              <w:t>th</w:t>
            </w:r>
            <w:r>
              <w:rPr>
                <w:rFonts w:ascii="Arial" w:cs="Arial" w:eastAsia="Arial" w:hAnsi="Arial"/>
                <w:sz w:val="18"/>
                <w:szCs w:val="18"/>
                <w:color w:val="auto"/>
                <w:w w:val="90"/>
              </w:rPr>
              <w:t xml:space="preserve"> day of December,</w:t>
            </w:r>
          </w:p>
        </w:tc>
      </w:tr>
      <w:tr>
        <w:trPr>
          <w:trHeight w:val="255"/>
        </w:trPr>
        <w:tc>
          <w:tcPr>
            <w:tcW w:w="720" w:type="dxa"/>
            <w:vAlign w:val="bottom"/>
          </w:tcPr>
          <w:p>
            <w:pPr>
              <w:spacing w:after="0"/>
              <w:rPr>
                <w:sz w:val="22"/>
                <w:szCs w:val="22"/>
                <w:color w:val="auto"/>
              </w:rPr>
            </w:pPr>
          </w:p>
        </w:tc>
        <w:tc>
          <w:tcPr>
            <w:tcW w:w="4200" w:type="dxa"/>
            <w:vAlign w:val="bottom"/>
            <w:gridSpan w:val="2"/>
          </w:tcPr>
          <w:p>
            <w:pPr>
              <w:ind w:left="180"/>
              <w:spacing w:after="0" w:line="255" w:lineRule="exact"/>
              <w:rPr>
                <w:sz w:val="20"/>
                <w:szCs w:val="20"/>
                <w:color w:val="auto"/>
              </w:rPr>
            </w:pPr>
            <w:r>
              <w:rPr>
                <w:rFonts w:ascii="Arial" w:cs="Arial" w:eastAsia="Arial" w:hAnsi="Arial"/>
                <w:sz w:val="18"/>
                <w:szCs w:val="18"/>
                <w:color w:val="auto"/>
                <w:w w:val="87"/>
              </w:rPr>
              <w:t>2008, and to be effective as of the 30</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day of December,</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2008, by and among Home Loan Center, Inc. d/b/a</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LendingTree Loans, National City Bank and National</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City Bank in its capacity as Agent for the Banks (as</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defined therein).</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10.14</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9"/>
              </w:rPr>
              <w:t>Master Repurchase Agreement, dated as of January 25,</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9"/>
              </w:rPr>
              <w:t>2008, by and among Countrywide Bank, FSB and Home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9"/>
              </w:rPr>
              <w:t>Loan Center, Inc. (the "Master Repurchase Agreement")</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6"/>
              </w:rPr>
              <w:t>Notice, dated June 25, 2008, issued by Countrywide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Warehouse Lending, regarding certain amendments to</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the Master Repurchase Agreement</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10.16</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Amendment to Master Repurchase Agreement No. 1</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made and entered into as of February 23, 2009 by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the Warehouse Lending Division of</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Countrywide Bank, FSB and Home Loan Center,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10.17</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Deferred Compensation Plan for Non-Employee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Directors*</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10.18</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Employment Agreement between Matt Packey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LendingTree, LLC, dated as of August 3, 2008*</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10.19</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8"/>
              </w:rPr>
              <w:t>Employment Agreement between Douglas R. Lebda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IAC/InterActiveCorp, dated as of January 7, 2008*</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Amendment No. 1 to Employment Agreement between</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0"/>
              </w:rPr>
              <w:t>Douglas R. Lebda and IAC/InterActiveCorp, dated as of</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August 15, 2008*</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10.21</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3"/>
              </w:rPr>
              <w:t>Restricted Share Grant and Stockholder's Agreement,</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dated as of August 15, 2008, by and among</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3"/>
              </w:rPr>
              <w:t>IAC/InterActiveCorp, LendingTree Holdings Corp.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Douglas R. Lebda, together with Exhibit A thereto,</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Amended and Restated Certificate of Incorporation of</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LendingTree Holdings Corp.*</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10.22</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Stock Purchase Agreement, dated February 8, 2009,</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Tree.com, Inc. and Douglas R. Lebda*</w:t>
            </w:r>
          </w:p>
        </w:tc>
      </w:tr>
      <w:tr>
        <w:trPr>
          <w:trHeight w:val="432"/>
        </w:trPr>
        <w:tc>
          <w:tcPr>
            <w:tcW w:w="720" w:type="dxa"/>
            <w:vAlign w:val="bottom"/>
          </w:tcPr>
          <w:p>
            <w:pPr>
              <w:spacing w:after="0"/>
              <w:rPr>
                <w:sz w:val="24"/>
                <w:szCs w:val="24"/>
                <w:color w:val="auto"/>
              </w:rPr>
            </w:pPr>
          </w:p>
        </w:tc>
        <w:tc>
          <w:tcPr>
            <w:tcW w:w="4200" w:type="dxa"/>
            <w:vAlign w:val="bottom"/>
            <w:gridSpan w:val="2"/>
          </w:tcPr>
          <w:p>
            <w:pPr>
              <w:ind w:left="3740"/>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500"/>
        <w:spacing w:after="0" w:line="321" w:lineRule="auto"/>
        <w:rPr>
          <w:sz w:val="20"/>
          <w:szCs w:val="20"/>
          <w:color w:val="auto"/>
        </w:rPr>
      </w:pPr>
      <w:r>
        <w:rPr>
          <w:rFonts w:ascii="Arial" w:cs="Arial" w:eastAsia="Arial" w:hAnsi="Arial"/>
          <w:sz w:val="16"/>
          <w:szCs w:val="16"/>
          <w:color w:val="auto"/>
        </w:rPr>
        <w:t>Exhibit 10.1 to the Registrant's Current Report on Form 8-K filed December 17,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Exhibit 10.13 to the Registrant's Registration Statement on Form S-1 (No. 333-152700), filed August 1, 2008.</w:t>
      </w:r>
    </w:p>
    <w:p>
      <w:pPr>
        <w:spacing w:after="0" w:line="1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Exhibit 10.14 to the Registrant's Registration Statement on Form S-1 (No. 333-152700), filed August 1, 2008.</w:t>
      </w:r>
    </w:p>
    <w:p>
      <w:pPr>
        <w:spacing w:after="0" w:line="1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Exhibit 10.1 to the Registrant's Current Report on Form 8-K filed February 27, 2009.</w:t>
      </w:r>
    </w:p>
    <w:p>
      <w:pPr>
        <w:spacing w:after="0" w:line="35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Exhibit 10.15 to the Registrant's Registration Statement on Form S-1 (No. 333-152700), filed August 1, 2008. Exhibit 10.16 to the Registrant's Registration Statement on Form S-1 (No. 333-152700), filed August 1, 2008. Exhibit 10.6 to the Registrant's Registration Statement on Form S-1 (No. 333-152700), filed August 1, 2008. Exhibit 99.1 to the Registrant's Current Report on Form 8-K filed August 20, 2008.</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Exhibits 99.2 and 99.3 to the Registrant's Current Report on Form 8-K filed August 20,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Exhibit 10.1 to the Registrant's Current Report on Form 8-K filed February 11, 2009.</w:t>
      </w:r>
    </w:p>
    <w:p>
      <w:pPr>
        <w:sectPr>
          <w:pgSz w:w="11900" w:h="16838" w:orient="portrait"/>
          <w:cols w:equalWidth="0" w:num="2">
            <w:col w:w="6080" w:space="180"/>
            <w:col w:w="4000"/>
          </w:cols>
          <w:pgMar w:left="240" w:top="131" w:right="13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75"/>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1"/>
        </w:trPr>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10.23</w:t>
            </w: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Amendment No. 2 to the Employment Agreement</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Douglas R. Lebda and Tree.com,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10.24</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Amendment No. 1 to the Employment Agreement</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Robert Harris and Tree.com,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10.25</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Amendment No. 1 to the Employment Agreement</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Matthew Packey and Tree.com, Inc.*</w:t>
            </w:r>
          </w:p>
        </w:tc>
      </w:tr>
      <w:tr>
        <w:trPr>
          <w:trHeight w:val="222"/>
        </w:trPr>
        <w:tc>
          <w:tcPr>
            <w:tcW w:w="720" w:type="dxa"/>
            <w:vAlign w:val="bottom"/>
          </w:tcPr>
          <w:p>
            <w:pPr>
              <w:jc w:val="right"/>
              <w:spacing w:after="0"/>
              <w:rPr>
                <w:sz w:val="20"/>
                <w:szCs w:val="20"/>
                <w:color w:val="auto"/>
              </w:rPr>
            </w:pPr>
            <w:r>
              <w:rPr>
                <w:rFonts w:ascii="Arial" w:cs="Arial" w:eastAsia="Arial" w:hAnsi="Arial"/>
                <w:sz w:val="18"/>
                <w:szCs w:val="18"/>
                <w:color w:val="auto"/>
              </w:rPr>
              <w:t>10.26</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of Notice of Restricted Stock Unit Award*</w:t>
            </w:r>
          </w:p>
        </w:tc>
      </w:tr>
      <w:tr>
        <w:trPr>
          <w:trHeight w:val="432"/>
        </w:trPr>
        <w:tc>
          <w:tcPr>
            <w:tcW w:w="720" w:type="dxa"/>
            <w:vAlign w:val="bottom"/>
          </w:tcPr>
          <w:p>
            <w:pPr>
              <w:jc w:val="right"/>
              <w:spacing w:after="0"/>
              <w:rPr>
                <w:sz w:val="20"/>
                <w:szCs w:val="20"/>
                <w:color w:val="auto"/>
              </w:rPr>
            </w:pPr>
            <w:r>
              <w:rPr>
                <w:rFonts w:ascii="Arial" w:cs="Arial" w:eastAsia="Arial" w:hAnsi="Arial"/>
                <w:sz w:val="18"/>
                <w:szCs w:val="18"/>
                <w:color w:val="auto"/>
              </w:rPr>
              <w:t>10.27</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of Restricted Stock Award*</w:t>
            </w:r>
          </w:p>
        </w:tc>
      </w:tr>
      <w:tr>
        <w:trPr>
          <w:trHeight w:val="432"/>
        </w:trPr>
        <w:tc>
          <w:tcPr>
            <w:tcW w:w="720" w:type="dxa"/>
            <w:vAlign w:val="bottom"/>
          </w:tcPr>
          <w:p>
            <w:pPr>
              <w:jc w:val="right"/>
              <w:spacing w:after="0"/>
              <w:rPr>
                <w:sz w:val="20"/>
                <w:szCs w:val="20"/>
                <w:color w:val="auto"/>
              </w:rPr>
            </w:pPr>
            <w:r>
              <w:rPr>
                <w:rFonts w:ascii="Arial" w:cs="Arial" w:eastAsia="Arial" w:hAnsi="Arial"/>
                <w:sz w:val="18"/>
                <w:szCs w:val="18"/>
                <w:color w:val="auto"/>
              </w:rPr>
              <w:t>10.28</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of Notice of Stock Option Award*</w:t>
            </w:r>
          </w:p>
        </w:tc>
      </w:tr>
      <w:tr>
        <w:trPr>
          <w:trHeight w:val="426"/>
        </w:trPr>
        <w:tc>
          <w:tcPr>
            <w:tcW w:w="720" w:type="dxa"/>
            <w:vAlign w:val="bottom"/>
          </w:tcPr>
          <w:p>
            <w:pPr>
              <w:jc w:val="right"/>
              <w:spacing w:after="0"/>
              <w:rPr>
                <w:sz w:val="20"/>
                <w:szCs w:val="20"/>
                <w:color w:val="auto"/>
              </w:rPr>
            </w:pPr>
            <w:r>
              <w:rPr>
                <w:rFonts w:ascii="Arial" w:cs="Arial" w:eastAsia="Arial" w:hAnsi="Arial"/>
                <w:sz w:val="18"/>
                <w:szCs w:val="18"/>
                <w:color w:val="auto"/>
              </w:rPr>
              <w:t>10.29</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0"/>
              </w:rPr>
              <w:t>Option Cancellation Agreement, made and entered into</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as of the 28th day of April, 2009, by and between</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Tree.com, Inc. and Douglas R. Lebda*</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10.30</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2"/>
              </w:rPr>
              <w:t>Early Purchase Program Addendum to Loan Purchase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8"/>
              </w:rPr>
              <w:t>Agreement, made and entered into as of May 1, 2009 by</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and between Bank of America, N.A. and Home Loan</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Center,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10.31</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6"/>
              </w:rPr>
              <w:t>Master Repurchase Agreement, made and entered into as</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of May 1, 2009, by and between Bank of America, N.A.</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and Home Loan Center,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10.32</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Transactions Terms Letter for Master Repurchase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7"/>
              </w:rPr>
              <w:t>Agreement, made and entered into as of May 1, 2009, by</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and between Bank of America, N.A. and Home Loan</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Center, Inc.</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10.33</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0"/>
              </w:rPr>
              <w:t>Master Repurchase Agreement dated as of October 30,</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2009, by and between Home Loan Center, Inc.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JPMorgan Chase Bank, N.A.</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10.34</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8"/>
              </w:rPr>
              <w:t>Side Letter dated October 30, 2009 regarding the Master</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7"/>
              </w:rPr>
              <w:t>Repurchase Agreement between JPMorgan Chase Bank,</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and Home Loan Center, Inc.</w:t>
            </w:r>
          </w:p>
        </w:tc>
      </w:tr>
      <w:tr>
        <w:trPr>
          <w:trHeight w:val="432"/>
        </w:trPr>
        <w:tc>
          <w:tcPr>
            <w:tcW w:w="720" w:type="dxa"/>
            <w:vAlign w:val="bottom"/>
          </w:tcPr>
          <w:p>
            <w:pPr>
              <w:spacing w:after="0"/>
              <w:rPr>
                <w:sz w:val="24"/>
                <w:szCs w:val="24"/>
                <w:color w:val="auto"/>
              </w:rPr>
            </w:pPr>
          </w:p>
        </w:tc>
        <w:tc>
          <w:tcPr>
            <w:tcW w:w="4200" w:type="dxa"/>
            <w:vAlign w:val="bottom"/>
            <w:gridSpan w:val="2"/>
          </w:tcPr>
          <w:p>
            <w:pPr>
              <w:ind w:left="3740"/>
              <w:spacing w:after="0"/>
              <w:rPr>
                <w:sz w:val="20"/>
                <w:szCs w:val="20"/>
                <w:color w:val="auto"/>
              </w:rPr>
            </w:pPr>
            <w:r>
              <w:rPr>
                <w:rFonts w:ascii="Arial" w:cs="Arial" w:eastAsia="Arial" w:hAnsi="Arial"/>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459"/>
        <w:spacing w:after="0" w:line="249" w:lineRule="auto"/>
        <w:rPr>
          <w:sz w:val="20"/>
          <w:szCs w:val="20"/>
          <w:color w:val="auto"/>
        </w:rPr>
      </w:pPr>
      <w:r>
        <w:rPr>
          <w:rFonts w:ascii="Arial" w:cs="Arial" w:eastAsia="Arial" w:hAnsi="Arial"/>
          <w:sz w:val="18"/>
          <w:szCs w:val="18"/>
          <w:color w:val="auto"/>
        </w:rPr>
        <w:t>Exhibit 10.1 to the Registrant's Current Report on Form 8-K filed March 27, 2009</w:t>
      </w:r>
    </w:p>
    <w:p>
      <w:pPr>
        <w:spacing w:after="0" w:line="1" w:lineRule="exact"/>
        <w:rPr>
          <w:sz w:val="20"/>
          <w:szCs w:val="20"/>
          <w:color w:val="auto"/>
        </w:rPr>
      </w:pPr>
    </w:p>
    <w:p>
      <w:pPr>
        <w:ind w:right="459"/>
        <w:spacing w:after="0" w:line="250" w:lineRule="auto"/>
        <w:rPr>
          <w:sz w:val="20"/>
          <w:szCs w:val="20"/>
          <w:color w:val="auto"/>
        </w:rPr>
      </w:pPr>
      <w:r>
        <w:rPr>
          <w:rFonts w:ascii="Arial" w:cs="Arial" w:eastAsia="Arial" w:hAnsi="Arial"/>
          <w:sz w:val="18"/>
          <w:szCs w:val="18"/>
          <w:color w:val="auto"/>
        </w:rPr>
        <w:t>Exhibit 10.2 to the Registrant's Current Report on Form 8-K filed March 27, 2009</w:t>
      </w:r>
    </w:p>
    <w:p>
      <w:pPr>
        <w:spacing w:after="0" w:line="1" w:lineRule="exact"/>
        <w:rPr>
          <w:sz w:val="20"/>
          <w:szCs w:val="20"/>
          <w:color w:val="auto"/>
        </w:rPr>
      </w:pPr>
    </w:p>
    <w:p>
      <w:pPr>
        <w:ind w:right="459"/>
        <w:spacing w:after="0" w:line="250" w:lineRule="auto"/>
        <w:rPr>
          <w:sz w:val="20"/>
          <w:szCs w:val="20"/>
          <w:color w:val="auto"/>
        </w:rPr>
      </w:pPr>
      <w:r>
        <w:rPr>
          <w:rFonts w:ascii="Arial" w:cs="Arial" w:eastAsia="Arial" w:hAnsi="Arial"/>
          <w:sz w:val="18"/>
          <w:szCs w:val="18"/>
          <w:color w:val="auto"/>
        </w:rPr>
        <w:t>Exhibit 10.3 to the Registrant's Current Report on Form 8-K filed March 27, 2009</w:t>
      </w:r>
    </w:p>
    <w:p>
      <w:pPr>
        <w:spacing w:after="0" w:line="1" w:lineRule="exact"/>
        <w:rPr>
          <w:sz w:val="20"/>
          <w:szCs w:val="20"/>
          <w:color w:val="auto"/>
        </w:rPr>
      </w:pPr>
    </w:p>
    <w:p>
      <w:pPr>
        <w:ind w:right="459"/>
        <w:spacing w:after="0" w:line="250" w:lineRule="auto"/>
        <w:rPr>
          <w:sz w:val="20"/>
          <w:szCs w:val="20"/>
          <w:color w:val="auto"/>
        </w:rPr>
      </w:pPr>
      <w:r>
        <w:rPr>
          <w:rFonts w:ascii="Arial" w:cs="Arial" w:eastAsia="Arial" w:hAnsi="Arial"/>
          <w:sz w:val="18"/>
          <w:szCs w:val="18"/>
          <w:color w:val="auto"/>
        </w:rPr>
        <w:t>Exhibit 10.4 to the Registrant's Current Report on Form 8-K filed March 27, 2009</w:t>
      </w:r>
    </w:p>
    <w:p>
      <w:pPr>
        <w:spacing w:after="0" w:line="1" w:lineRule="exact"/>
        <w:rPr>
          <w:sz w:val="20"/>
          <w:szCs w:val="20"/>
          <w:color w:val="auto"/>
        </w:rPr>
      </w:pPr>
    </w:p>
    <w:p>
      <w:pPr>
        <w:ind w:right="459"/>
        <w:spacing w:after="0" w:line="250" w:lineRule="auto"/>
        <w:rPr>
          <w:sz w:val="20"/>
          <w:szCs w:val="20"/>
          <w:color w:val="auto"/>
        </w:rPr>
      </w:pPr>
      <w:r>
        <w:rPr>
          <w:rFonts w:ascii="Arial" w:cs="Arial" w:eastAsia="Arial" w:hAnsi="Arial"/>
          <w:sz w:val="18"/>
          <w:szCs w:val="18"/>
          <w:color w:val="auto"/>
        </w:rPr>
        <w:t>Exhibit 10.5 to the Registrant's Current Report on Form 8-K filed March 27, 2009</w:t>
      </w:r>
    </w:p>
    <w:p>
      <w:pPr>
        <w:spacing w:after="0" w:line="1" w:lineRule="exact"/>
        <w:rPr>
          <w:sz w:val="20"/>
          <w:szCs w:val="20"/>
          <w:color w:val="auto"/>
        </w:rPr>
      </w:pPr>
    </w:p>
    <w:p>
      <w:pPr>
        <w:ind w:right="459"/>
        <w:spacing w:after="0" w:line="250" w:lineRule="auto"/>
        <w:rPr>
          <w:sz w:val="20"/>
          <w:szCs w:val="20"/>
          <w:color w:val="auto"/>
        </w:rPr>
      </w:pPr>
      <w:r>
        <w:rPr>
          <w:rFonts w:ascii="Arial" w:cs="Arial" w:eastAsia="Arial" w:hAnsi="Arial"/>
          <w:sz w:val="18"/>
          <w:szCs w:val="18"/>
          <w:color w:val="auto"/>
        </w:rPr>
        <w:t>Exhibit 10.6 to the Registrant's Current Report on Form 8-K filed March 27, 2009</w:t>
      </w:r>
    </w:p>
    <w:p>
      <w:pPr>
        <w:spacing w:after="0" w:line="1" w:lineRule="exact"/>
        <w:rPr>
          <w:sz w:val="20"/>
          <w:szCs w:val="20"/>
          <w:color w:val="auto"/>
        </w:rPr>
      </w:pPr>
    </w:p>
    <w:p>
      <w:pPr>
        <w:ind w:right="459"/>
        <w:spacing w:after="0" w:line="261" w:lineRule="auto"/>
        <w:rPr>
          <w:sz w:val="20"/>
          <w:szCs w:val="20"/>
          <w:color w:val="auto"/>
        </w:rPr>
      </w:pPr>
      <w:r>
        <w:rPr>
          <w:rFonts w:ascii="Arial" w:cs="Arial" w:eastAsia="Arial" w:hAnsi="Arial"/>
          <w:sz w:val="18"/>
          <w:szCs w:val="18"/>
          <w:color w:val="auto"/>
        </w:rPr>
        <w:t>Exhibit 10.1 to the Registrant's Current Report on Form 8-K filed May 1, 2009</w:t>
      </w:r>
    </w:p>
    <w:p>
      <w:pPr>
        <w:spacing w:after="0" w:line="192"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10.1 to the Registrant's Current Report on Form 8-K filed May 6, 2009</w:t>
      </w:r>
    </w:p>
    <w:p>
      <w:pPr>
        <w:spacing w:after="0" w:line="200" w:lineRule="exact"/>
        <w:rPr>
          <w:sz w:val="20"/>
          <w:szCs w:val="20"/>
          <w:color w:val="auto"/>
        </w:rPr>
      </w:pPr>
    </w:p>
    <w:p>
      <w:pPr>
        <w:spacing w:after="0" w:line="202"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10.2 to the Registrant's Current Report on Form 8-K filed May 6, 2009</w:t>
      </w:r>
    </w:p>
    <w:p>
      <w:pPr>
        <w:spacing w:after="0" w:line="186"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10.3 to the Registrant's Current Report on Form 8-K filed May 6, 2009</w:t>
      </w:r>
    </w:p>
    <w:p>
      <w:pPr>
        <w:spacing w:after="0" w:line="200" w:lineRule="exact"/>
        <w:rPr>
          <w:sz w:val="20"/>
          <w:szCs w:val="20"/>
          <w:color w:val="auto"/>
        </w:rPr>
      </w:pPr>
    </w:p>
    <w:p>
      <w:pPr>
        <w:spacing w:after="0" w:line="202"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10.1 to the Registrant's Current Report on Form 8-K filed October 30, 2009</w:t>
      </w:r>
    </w:p>
    <w:p>
      <w:pPr>
        <w:spacing w:after="0" w:line="186"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10.2 to the Registrant's Current Report on Form 8-K filed October 30, 2009</w:t>
      </w:r>
    </w:p>
    <w:p>
      <w:pPr>
        <w:sectPr>
          <w:pgSz w:w="11900" w:h="16838" w:orient="portrait"/>
          <w:cols w:equalWidth="0" w:num="2">
            <w:col w:w="6080" w:space="180"/>
            <w:col w:w="3959"/>
          </w:cols>
          <w:pgMar w:left="240" w:top="131" w:right="1440"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7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10.35</w:t>
            </w:r>
          </w:p>
        </w:tc>
        <w:tc>
          <w:tcPr>
            <w:tcW w:w="200" w:type="dxa"/>
            <w:vAlign w:val="bottom"/>
          </w:tcPr>
          <w:p>
            <w:pPr>
              <w:spacing w:after="0"/>
              <w:rPr>
                <w:sz w:val="17"/>
                <w:szCs w:val="17"/>
                <w:color w:val="auto"/>
              </w:rPr>
            </w:pP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w w:val="93"/>
              </w:rPr>
              <w:t>Third Amendment to Warehousing Credit Agreement,</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0"/>
              </w:rPr>
              <w:t>made and entered into as of the 18th day of December,</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2009, and to be effective as of the 29th day of</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88"/>
              </w:rPr>
              <w:t>December, 2009, by and among Home Loan Center, Inc.</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d/b/a LendingTree Loans PNC Bank, National</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Association, successor to National City Bank, its</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6"/>
              </w:rPr>
              <w:t>capacity as Agent for the Banks (as defined therein)</w:t>
            </w:r>
          </w:p>
        </w:tc>
      </w:tr>
      <w:tr>
        <w:trPr>
          <w:trHeight w:val="216"/>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1"/>
              </w:rPr>
              <w:t>Fourth Amendment to Warehousing Credit Agreement,</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1"/>
              </w:rPr>
              <w:t>made and entered into as of February 15, 2010 by and</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9"/>
              </w:rPr>
              <w:t>among Home Loan Center, Inc. d/b/a LendingTree</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3"/>
              </w:rPr>
              <w:t>Loans, PNC Bank, National Association (successor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National City Bank) and PNC Bank, National</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7"/>
              </w:rPr>
              <w:t>Association (successor to National City Bank), in its</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5"/>
              </w:rPr>
              <w:t>capacity as Agent for the Banks (as defined therein).</w:t>
            </w:r>
          </w:p>
        </w:tc>
      </w:tr>
      <w:tr>
        <w:trPr>
          <w:trHeight w:val="216"/>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Subsidiaries of Tree.com, Inc.</w:t>
            </w:r>
          </w:p>
        </w:tc>
      </w:tr>
      <w:tr>
        <w:trPr>
          <w:trHeight w:val="216"/>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4"/>
              </w:rPr>
              <w:t>Power of Attorney (included on signature page of this</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Annual Report on Form 10-K)</w:t>
            </w:r>
          </w:p>
        </w:tc>
      </w:tr>
      <w:tr>
        <w:trPr>
          <w:trHeight w:val="216"/>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3"/>
              </w:rPr>
              <w:t>Certification of the Chief Executive Officer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9"/>
              </w:rPr>
              <w:t>Rule 13a-14(a) or Rule 15d-14(a) of the Securities</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Exchange Act of 1934 as adopted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4"/>
              </w:rPr>
              <w:t>Certification of the Chief Financial Officer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9"/>
              </w:rPr>
              <w:t>Rule 13a-14(a) or Rule 15d-14(a) of the Securities</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Exchange Act of 1934 as adopted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3"/>
              </w:rPr>
              <w:t>Certification of the Chief Executive Officer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18 U.S.C. Section 1350 as adopted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Section 906 of the Sarbanes-Oxley Act of 2002.</w:t>
            </w:r>
          </w:p>
        </w:tc>
      </w:tr>
      <w:tr>
        <w:trPr>
          <w:trHeight w:val="216"/>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4"/>
              </w:rPr>
              <w:t>Certification of the Chief Financial Officer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18 U.S.C. Section 1350 as adopted pursuant to</w:t>
            </w:r>
          </w:p>
        </w:tc>
      </w:tr>
      <w:tr>
        <w:trPr>
          <w:trHeight w:val="222"/>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Section 906 of the Sarbanes-Oxley Act of 2002.</w:t>
            </w:r>
          </w:p>
        </w:tc>
      </w:tr>
      <w:tr>
        <w:trPr>
          <w:trHeight w:val="110"/>
        </w:trPr>
        <w:tc>
          <w:tcPr>
            <w:tcW w:w="1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459"/>
        <w:spacing w:after="0" w:line="321" w:lineRule="auto"/>
        <w:rPr>
          <w:sz w:val="20"/>
          <w:szCs w:val="20"/>
          <w:color w:val="auto"/>
        </w:rPr>
      </w:pPr>
      <w:r>
        <w:rPr>
          <w:rFonts w:ascii="Arial" w:cs="Arial" w:eastAsia="Arial" w:hAnsi="Arial"/>
          <w:sz w:val="16"/>
          <w:szCs w:val="16"/>
          <w:color w:val="auto"/>
        </w:rPr>
        <w:t>Exhibit 10.1 to the Registrant's Current Report on Form 8-K filed December 23,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10.1 to the Registrant's Current Report on Form 8-K filed February 19,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1" w:lineRule="exact"/>
        <w:rPr>
          <w:sz w:val="20"/>
          <w:szCs w:val="20"/>
          <w:color w:val="auto"/>
        </w:rPr>
      </w:pPr>
    </w:p>
    <w:p>
      <w:pPr>
        <w:sectPr>
          <w:pgSz w:w="11900" w:h="16838" w:orient="portrait"/>
          <w:cols w:equalWidth="0" w:num="2">
            <w:col w:w="6080" w:space="180"/>
            <w:col w:w="3959"/>
          </w:cols>
          <w:pgMar w:left="240" w:top="131" w:right="1440" w:bottom="1440" w:gutter="0" w:footer="0" w:header="0"/>
        </w:sectPr>
      </w:pPr>
    </w:p>
    <w:p>
      <w:pPr>
        <w:spacing w:after="0" w:line="21"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Reflects management contracts and management and director compensatory plans.</w:t>
      </w:r>
    </w:p>
    <w:p>
      <w:pPr>
        <w:spacing w:after="0" w:line="287"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Furnished herewith</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7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26244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in each case on March 8, 2010:</w:t>
      </w:r>
    </w:p>
    <w:p>
      <w:pPr>
        <w:spacing w:after="0" w:line="182"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/s/ DOUGLAS R. LEBDA</w:t>
            </w:r>
          </w:p>
        </w:tc>
        <w:tc>
          <w:tcPr>
            <w:tcW w:w="5860" w:type="dxa"/>
            <w:vAlign w:val="bottom"/>
          </w:tcPr>
          <w:p>
            <w:pPr>
              <w:ind w:left="340"/>
              <w:spacing w:after="0"/>
              <w:rPr>
                <w:sz w:val="20"/>
                <w:szCs w:val="20"/>
                <w:color w:val="auto"/>
              </w:rPr>
            </w:pPr>
            <w:r>
              <w:rPr>
                <w:rFonts w:ascii="Arial" w:cs="Arial" w:eastAsia="Arial" w:hAnsi="Arial"/>
                <w:sz w:val="18"/>
                <w:szCs w:val="18"/>
                <w:color w:val="auto"/>
              </w:rPr>
              <w:t>Chairman of the Board, Chief Executive Officer</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ind w:left="340"/>
              <w:spacing w:after="0"/>
              <w:rPr>
                <w:sz w:val="20"/>
                <w:szCs w:val="20"/>
                <w:color w:val="auto"/>
              </w:rPr>
            </w:pPr>
            <w:r>
              <w:rPr>
                <w:rFonts w:ascii="Arial" w:cs="Arial" w:eastAsia="Arial" w:hAnsi="Arial"/>
                <w:sz w:val="18"/>
                <w:szCs w:val="18"/>
                <w:color w:val="auto"/>
              </w:rPr>
              <w:t>and Director (Principal Executive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88"/>
              </w:rPr>
              <w:t>Douglas R. Lebda</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/s/ MATTHEW A. PACKEY</w:t>
            </w:r>
          </w:p>
        </w:tc>
        <w:tc>
          <w:tcPr>
            <w:tcW w:w="5860" w:type="dxa"/>
            <w:vAlign w:val="bottom"/>
          </w:tcPr>
          <w:p>
            <w:pPr>
              <w:ind w:left="340"/>
              <w:spacing w:after="0"/>
              <w:rPr>
                <w:sz w:val="20"/>
                <w:szCs w:val="20"/>
                <w:color w:val="auto"/>
              </w:rPr>
            </w:pPr>
            <w:r>
              <w:rPr>
                <w:rFonts w:ascii="Arial" w:cs="Arial" w:eastAsia="Arial" w:hAnsi="Arial"/>
                <w:sz w:val="18"/>
                <w:szCs w:val="18"/>
                <w:color w:val="auto"/>
              </w:rPr>
              <w:t>Senior Vice President and Chief Financial</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ind w:left="340"/>
              <w:spacing w:after="0"/>
              <w:rPr>
                <w:sz w:val="20"/>
                <w:szCs w:val="20"/>
                <w:color w:val="auto"/>
              </w:rPr>
            </w:pPr>
            <w:r>
              <w:rPr>
                <w:rFonts w:ascii="Arial" w:cs="Arial" w:eastAsia="Arial" w:hAnsi="Arial"/>
                <w:sz w:val="18"/>
                <w:szCs w:val="18"/>
                <w:color w:val="auto"/>
              </w:rPr>
              <w:t>Officer (Principal Financial and Accounting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0"/>
              </w:rPr>
              <w:t>Matthew A. Packey</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3"/>
              </w:rPr>
              <w:t>* /s/ PETER HORAN</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6"/>
              </w:rPr>
              <w:t>Peter Horan</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6"/>
              </w:rPr>
              <w:t>* /s/ W. MAC LACKEY</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W. Mac Lackey</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3"/>
              </w:rPr>
              <w:t>* /s/ JOSEPH LEVIN</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6"/>
              </w:rPr>
              <w:t>Joseph Levin</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 /s/ PATRICK MCCRORY</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Patrick McCrory</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 /s/ LANCE MELBER</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Lance Melber</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3180" w:type="dxa"/>
            <w:vAlign w:val="bottom"/>
          </w:tcPr>
          <w:p>
            <w:pPr>
              <w:spacing w:after="0"/>
              <w:rPr>
                <w:sz w:val="14"/>
                <w:szCs w:val="14"/>
                <w:color w:val="auto"/>
              </w:rPr>
            </w:pPr>
          </w:p>
        </w:tc>
      </w:tr>
      <w:tr>
        <w:trPr>
          <w:trHeight w:val="667"/>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20" w:type="dxa"/>
            <w:vAlign w:val="bottom"/>
            <w:gridSpan w:val="3"/>
          </w:tcPr>
          <w:p>
            <w:pPr>
              <w:jc w:val="center"/>
              <w:ind w:right="620"/>
              <w:spacing w:after="0"/>
              <w:rPr>
                <w:sz w:val="20"/>
                <w:szCs w:val="20"/>
                <w:color w:val="auto"/>
              </w:rPr>
            </w:pPr>
            <w:r>
              <w:rPr>
                <w:rFonts w:ascii="Arial" w:cs="Arial" w:eastAsia="Arial" w:hAnsi="Arial"/>
                <w:sz w:val="18"/>
                <w:szCs w:val="18"/>
                <w:color w:val="auto"/>
                <w:w w:val="94"/>
              </w:rPr>
              <w:t>* /s/ STEVE OZONIAN</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gridSpan w:val="3"/>
          </w:tcPr>
          <w:p>
            <w:pPr>
              <w:spacing w:after="0"/>
              <w:rPr>
                <w:sz w:val="8"/>
                <w:szCs w:val="8"/>
                <w:color w:val="auto"/>
              </w:rPr>
            </w:pPr>
          </w:p>
        </w:tc>
        <w:tc>
          <w:tcPr>
            <w:tcW w:w="120" w:type="dxa"/>
            <w:vAlign w:val="bottom"/>
          </w:tcPr>
          <w:p>
            <w:pPr>
              <w:spacing w:after="0"/>
              <w:rPr>
                <w:sz w:val="8"/>
                <w:szCs w:val="8"/>
                <w:color w:val="auto"/>
              </w:rPr>
            </w:pPr>
          </w:p>
        </w:tc>
        <w:tc>
          <w:tcPr>
            <w:tcW w:w="5740" w:type="dxa"/>
            <w:vAlign w:val="bottom"/>
            <w:gridSpan w:val="3"/>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20" w:type="dxa"/>
            <w:vAlign w:val="bottom"/>
            <w:gridSpan w:val="3"/>
          </w:tcPr>
          <w:p>
            <w:pPr>
              <w:jc w:val="center"/>
              <w:ind w:right="620"/>
              <w:spacing w:after="0"/>
              <w:rPr>
                <w:sz w:val="20"/>
                <w:szCs w:val="20"/>
                <w:color w:val="auto"/>
              </w:rPr>
            </w:pPr>
            <w:r>
              <w:rPr>
                <w:rFonts w:ascii="Arial" w:cs="Arial" w:eastAsia="Arial" w:hAnsi="Arial"/>
                <w:sz w:val="18"/>
                <w:szCs w:val="18"/>
                <w:color w:val="auto"/>
                <w:w w:val="88"/>
              </w:rPr>
              <w:t>Steve Ozonian</w:t>
            </w:r>
          </w:p>
        </w:tc>
        <w:tc>
          <w:tcPr>
            <w:tcW w:w="120" w:type="dxa"/>
            <w:vAlign w:val="bottom"/>
          </w:tcPr>
          <w:p>
            <w:pPr>
              <w:spacing w:after="0"/>
              <w:rPr>
                <w:sz w:val="24"/>
                <w:szCs w:val="24"/>
                <w:color w:val="auto"/>
              </w:rPr>
            </w:pPr>
          </w:p>
        </w:tc>
        <w:tc>
          <w:tcPr>
            <w:tcW w:w="57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675"/>
        </w:trPr>
        <w:tc>
          <w:tcPr>
            <w:tcW w:w="1740" w:type="dxa"/>
            <w:vAlign w:val="bottom"/>
            <w:gridSpan w:val="2"/>
          </w:tcPr>
          <w:p>
            <w:pPr>
              <w:ind w:left="1140"/>
              <w:spacing w:after="0"/>
              <w:rPr>
                <w:sz w:val="20"/>
                <w:szCs w:val="20"/>
                <w:color w:val="auto"/>
              </w:rPr>
            </w:pPr>
            <w:r>
              <w:rPr>
                <w:rFonts w:ascii="Arial" w:cs="Arial" w:eastAsia="Arial" w:hAnsi="Arial"/>
                <w:sz w:val="18"/>
                <w:szCs w:val="18"/>
                <w:color w:val="auto"/>
              </w:rPr>
              <w:t>* By:</w:t>
            </w: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2"/>
              </w:rPr>
              <w:t>/s/ JACQUELINE JONES</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80" w:type="dxa"/>
            <w:vAlign w:val="bottom"/>
          </w:tcPr>
          <w:p>
            <w:pPr>
              <w:spacing w:after="0"/>
              <w:rPr>
                <w:sz w:val="8"/>
                <w:szCs w:val="8"/>
                <w:color w:val="auto"/>
              </w:rPr>
            </w:pPr>
          </w:p>
        </w:tc>
      </w:tr>
      <w:tr>
        <w:trPr>
          <w:trHeight w:val="28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20" w:type="dxa"/>
            <w:vAlign w:val="bottom"/>
            <w:gridSpan w:val="2"/>
          </w:tcPr>
          <w:p>
            <w:pPr>
              <w:jc w:val="center"/>
              <w:ind w:right="1220"/>
              <w:spacing w:after="0"/>
              <w:rPr>
                <w:sz w:val="20"/>
                <w:szCs w:val="20"/>
                <w:color w:val="auto"/>
              </w:rPr>
            </w:pPr>
            <w:r>
              <w:rPr>
                <w:rFonts w:ascii="Arial" w:cs="Arial" w:eastAsia="Arial" w:hAnsi="Arial"/>
                <w:sz w:val="18"/>
                <w:szCs w:val="18"/>
                <w:color w:val="auto"/>
                <w:w w:val="84"/>
              </w:rPr>
              <w:t>Jacqueline Jones</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520" w:type="dxa"/>
            <w:vAlign w:val="bottom"/>
            <w:gridSpan w:val="2"/>
          </w:tcPr>
          <w:p>
            <w:pPr>
              <w:jc w:val="center"/>
              <w:ind w:right="1240"/>
              <w:spacing w:after="0"/>
              <w:rPr>
                <w:sz w:val="20"/>
                <w:szCs w:val="20"/>
                <w:color w:val="auto"/>
              </w:rPr>
            </w:pPr>
            <w:r>
              <w:rPr>
                <w:rFonts w:ascii="Arial" w:cs="Arial" w:eastAsia="Arial" w:hAnsi="Arial"/>
                <w:sz w:val="18"/>
                <w:szCs w:val="18"/>
                <w:i w:val="1"/>
                <w:iCs w:val="1"/>
                <w:color w:val="auto"/>
                <w:w w:val="91"/>
              </w:rPr>
              <w:t>Attorney-in-fact</w:t>
            </w: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80" w:type="dxa"/>
            <w:vAlign w:val="bottom"/>
            <w:gridSpan w:val="2"/>
          </w:tcPr>
          <w:p>
            <w:pPr>
              <w:jc w:val="right"/>
              <w:ind w:right="2012"/>
              <w:spacing w:after="0"/>
              <w:rPr>
                <w:sz w:val="20"/>
                <w:szCs w:val="20"/>
                <w:color w:val="auto"/>
              </w:rPr>
            </w:pPr>
            <w:r>
              <w:rPr>
                <w:rFonts w:ascii="Arial" w:cs="Arial" w:eastAsia="Arial" w:hAnsi="Arial"/>
                <w:sz w:val="18"/>
                <w:szCs w:val="18"/>
                <w:color w:val="auto"/>
                <w:w w:val="86"/>
              </w:rPr>
              <w:t>101</w:t>
            </w: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TREE.COM, INC. AND SUBSIDIARIES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VALUATION AND QUALIFYING ACCOUNTS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Charges to</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72"/>
              <w:spacing w:after="0" w:line="149" w:lineRule="exact"/>
              <w:rPr>
                <w:sz w:val="20"/>
                <w:szCs w:val="20"/>
                <w:color w:val="auto"/>
              </w:rPr>
            </w:pPr>
            <w:r>
              <w:rPr>
                <w:rFonts w:ascii="Arial" w:cs="Arial" w:eastAsia="Arial" w:hAnsi="Arial"/>
                <w:sz w:val="14"/>
                <w:szCs w:val="14"/>
                <w:b w:val="1"/>
                <w:bCs w:val="1"/>
                <w:color w:val="auto"/>
                <w:w w:val="90"/>
              </w:rPr>
              <w:t>Charges to</w:t>
            </w:r>
          </w:p>
        </w:tc>
        <w:tc>
          <w:tcPr>
            <w:tcW w:w="1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61"/>
        </w:trPr>
        <w:tc>
          <w:tcPr>
            <w:tcW w:w="32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700" w:type="dxa"/>
            <w:vAlign w:val="bottom"/>
          </w:tcPr>
          <w:p>
            <w:pPr>
              <w:jc w:val="center"/>
              <w:ind w:right="56"/>
              <w:spacing w:after="0"/>
              <w:rPr>
                <w:sz w:val="20"/>
                <w:szCs w:val="20"/>
                <w:color w:val="auto"/>
              </w:rPr>
            </w:pPr>
            <w:r>
              <w:rPr>
                <w:rFonts w:ascii="Arial" w:cs="Arial" w:eastAsia="Arial" w:hAnsi="Arial"/>
                <w:sz w:val="14"/>
                <w:szCs w:val="14"/>
                <w:b w:val="1"/>
                <w:bCs w:val="1"/>
                <w:color w:val="auto"/>
                <w:w w:val="81"/>
              </w:rPr>
              <w:t>Accounts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Deductions</w:t>
            </w:r>
          </w:p>
        </w:tc>
        <w:tc>
          <w:tcPr>
            <w:tcW w:w="12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End of Period</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(271)(b) $</w:t>
            </w:r>
          </w:p>
        </w:tc>
        <w:tc>
          <w:tcPr>
            <w:tcW w:w="84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(15,204)(a)</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Reserve for losses on previously sold loans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(9,886)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(552)(b) $</w:t>
            </w: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(6,768)(a)</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Reserve for losses on previously sold loans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10,451</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(2,732)(b) $</w:t>
            </w: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62,995(a)</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Reserve for losses on previously sold loans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13,886</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is primarily related to Tree.com net operating losses and other deferred tax assets including accrued expenses and goodwill which impacted the income tax provision.</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Write-off of uncollectible accounts receivable.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spacing w:after="0"/>
        <w:rPr>
          <w:rFonts w:ascii="Arial" w:cs="Arial" w:eastAsia="Arial" w:hAnsi="Arial"/>
          <w:sz w:val="22"/>
          <w:szCs w:val="22"/>
          <w:color w:val="0000EE"/>
        </w:rPr>
      </w:pPr>
      <w:hyperlink w:anchor="page10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Amendment No. 1 on Form 10-K/A to the annual report on Form 10-K for the period ended December 31, 2009 of Tree.com, Inc.;</w:t>
      </w:r>
    </w:p>
    <w:p>
      <w:pPr>
        <w:spacing w:after="0" w:line="275" w:lineRule="exact"/>
        <w:rPr>
          <w:rFonts w:ascii="Arial" w:cs="Arial" w:eastAsia="Arial" w:hAnsi="Arial"/>
          <w:sz w:val="16"/>
          <w:szCs w:val="16"/>
          <w:color w:val="auto"/>
        </w:rPr>
      </w:pPr>
    </w:p>
    <w:p>
      <w:pPr>
        <w:ind w:left="540" w:right="120" w:hanging="532"/>
        <w:spacing w:after="0" w:line="370"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8, 2010</w:t>
      </w:r>
    </w:p>
    <w:p>
      <w:pPr>
        <w:spacing w:after="0" w:line="374"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62230</wp:posOffset>
            </wp:positionV>
            <wp:extent cx="34905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CERTIFICATION OF THE CHIEF EXECUTIVE OFFICER PURSUANT TO RULE 13a-14(a) OR RULE 15d-14(a) OF THE SECURITIES EXCHANGE ACT</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400"/>
          </w:cols>
          <w:pgMar w:left="240" w:top="820" w:right="259" w:bottom="1440" w:gutter="0" w:footer="0" w:header="0"/>
        </w:sectPr>
      </w:pPr>
    </w:p>
    <w:bookmarkStart w:id="109" w:name="page110"/>
    <w:bookmarkEnd w:id="109"/>
    <w:p>
      <w:pPr>
        <w:spacing w:after="0"/>
        <w:rPr>
          <w:rFonts w:ascii="Arial" w:cs="Arial" w:eastAsia="Arial" w:hAnsi="Arial"/>
          <w:sz w:val="22"/>
          <w:szCs w:val="22"/>
          <w:color w:val="0000EE"/>
        </w:rPr>
      </w:pPr>
      <w:hyperlink w:anchor="page1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Matthew A. Packey, certify that:</w:t>
      </w:r>
    </w:p>
    <w:p>
      <w:pPr>
        <w:spacing w:after="0" w:line="239"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Amendment No. 1 on Form 10-K/A to the annual report on Form 10-K for the period ended December 31, 2009 of Tree.com, Inc.;</w:t>
      </w:r>
    </w:p>
    <w:p>
      <w:pPr>
        <w:spacing w:after="0" w:line="275" w:lineRule="exact"/>
        <w:rPr>
          <w:rFonts w:ascii="Arial" w:cs="Arial" w:eastAsia="Arial" w:hAnsi="Arial"/>
          <w:sz w:val="16"/>
          <w:szCs w:val="16"/>
          <w:color w:val="auto"/>
        </w:rPr>
      </w:pPr>
    </w:p>
    <w:p>
      <w:pPr>
        <w:ind w:left="540" w:right="120" w:hanging="532"/>
        <w:spacing w:after="0" w:line="370"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sz w:val="20"/>
          <w:szCs w:val="20"/>
          <w:color w:val="auto"/>
        </w:rPr>
      </w:pPr>
    </w:p>
    <w:p>
      <w:pPr>
        <w:ind w:left="1080" w:right="60" w:hanging="532"/>
        <w:spacing w:after="0" w:line="259"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8, 2010</w:t>
      </w:r>
    </w:p>
    <w:p>
      <w:pPr>
        <w:spacing w:after="0" w:line="200" w:lineRule="exact"/>
        <w:rPr>
          <w:sz w:val="20"/>
          <w:szCs w:val="20"/>
          <w:color w:val="auto"/>
        </w:rPr>
      </w:pPr>
    </w:p>
    <w:p>
      <w:pPr>
        <w:spacing w:after="0" w:line="268"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CERTIFICATION OF THE CHIEF FINANCIAL OFFICER PURSUANT TO RULE 13a-14(a) OR RULE 15d-14(a) OF THE SECURITIES EXCHANGE ACT</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111" w:name="page112"/>
    <w:bookmarkEnd w:id="111"/>
    <w:p>
      <w:pPr>
        <w:spacing w:after="0"/>
        <w:rPr>
          <w:rFonts w:ascii="Arial" w:cs="Arial" w:eastAsia="Arial" w:hAnsi="Arial"/>
          <w:sz w:val="22"/>
          <w:szCs w:val="22"/>
          <w:color w:val="0000EE"/>
        </w:rPr>
      </w:pPr>
      <w:hyperlink w:anchor="page1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Douglas R. Lebda, certify, pursuant to Section 906 of the Sarbanes-Oxley Act of 2002, 18 U.S.C. Section 1350, that:</w:t>
      </w:r>
    </w:p>
    <w:p>
      <w:pPr>
        <w:spacing w:after="0" w:line="239" w:lineRule="exact"/>
        <w:rPr>
          <w:sz w:val="20"/>
          <w:szCs w:val="20"/>
          <w:color w:val="auto"/>
        </w:rPr>
      </w:pPr>
    </w:p>
    <w:p>
      <w:pPr>
        <w:ind w:left="1080" w:right="42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Amendment No. 1 on Form 10-K/A (the "Amendment") to the Annual Report on Form 10-K for the fiscal year ended December 31, 2009 of Tree.com, Inc. (together with the Amendment, the "Report") which this statement accompanies fully complies with the requirements of Section 13(a) or 15(d) of the Securities Exchange Act of 1934 (15 U.S.C. 78m or 78o(d));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March 8, 2010</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CERTIFICATION OF THE CHIEF EXECUTIVE OFFICER PURSUANT TO 18 U.S.C. SECTION 1350, AS ADOPTED PURSUANT TO SECTION 906 OF</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THE SARBANES-OXLEY ACT OF 2002</w:t>
        </w:r>
      </w:hyperlink>
    </w:p>
    <w:p>
      <w:pPr>
        <w:sectPr>
          <w:pgSz w:w="11900" w:h="16838" w:orient="portrait"/>
          <w:cols w:equalWidth="0" w:num="1">
            <w:col w:w="11240"/>
          </w:cols>
          <w:pgMar w:left="240" w:top="820" w:right="419" w:bottom="1440" w:gutter="0" w:footer="0" w:header="0"/>
        </w:sectPr>
      </w:pPr>
    </w:p>
    <w:bookmarkStart w:id="113" w:name="page114"/>
    <w:bookmarkEnd w:id="113"/>
    <w:p>
      <w:pPr>
        <w:spacing w:after="0"/>
        <w:rPr>
          <w:rFonts w:ascii="Arial" w:cs="Arial" w:eastAsia="Arial" w:hAnsi="Arial"/>
          <w:sz w:val="22"/>
          <w:szCs w:val="22"/>
          <w:color w:val="0000EE"/>
        </w:rPr>
      </w:pPr>
      <w:hyperlink w:anchor="page1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Matthew A. Packey, certify, pursuant to Section 906 of the Sarbanes-Oxley Act of 2002, 18 U.S.C. Section 1350, that:</w:t>
      </w:r>
    </w:p>
    <w:p>
      <w:pPr>
        <w:spacing w:after="0" w:line="239" w:lineRule="exact"/>
        <w:rPr>
          <w:sz w:val="20"/>
          <w:szCs w:val="20"/>
          <w:color w:val="auto"/>
        </w:rPr>
      </w:pPr>
    </w:p>
    <w:p>
      <w:pPr>
        <w:ind w:left="1080" w:right="420" w:hanging="532"/>
        <w:spacing w:after="0" w:line="30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Amendment No. 1 on Form 10-K/A (the "Amendment") to the Annual Report on Form 10-K for the fiscal year ended December 31, 2009 of Tree.com, Inc. (together with the Amendment, the "Report") which this statement accompanies fully complies with the requirements of Section 13(a) or 15(d) of the Securities Exchange Act of 1934 (15 U.S.C. 78m or 78o(d));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Dated: March 8, 2010</w:t>
      </w:r>
      <w:r>
        <w:rPr>
          <w:sz w:val="20"/>
          <w:szCs w:val="20"/>
          <w:color w:val="auto"/>
        </w:rPr>
        <w:tab/>
      </w:r>
      <w:r>
        <w:rPr>
          <w:rFonts w:ascii="Arial" w:cs="Arial" w:eastAsia="Arial" w:hAnsi="Arial"/>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36277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CERTIFICATION OF THE CHIEF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THE SARBANES-OXLEY ACT OF 2002</w:t>
        </w:r>
      </w:hyperlink>
    </w:p>
    <w:sectPr>
      <w:pgSz w:w="11900" w:h="16838" w:orient="portrait"/>
      <w:cols w:equalWidth="0" w:num="1">
        <w:col w:w="11200"/>
      </w:cols>
      <w:pgMar w:left="240" w:top="82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2"/>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3"/>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2"/>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1)"/>
      <w:numFmt w:val="decimal"/>
      <w:start w:val="3"/>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3"/>
    </w:lvl>
  </w:abstractNum>
  <w:abstractNum w:abstractNumId="37">
    <w:nsid w:val="5E884ADC"/>
    <w:multiLevelType w:val="hybridMultilevel"/>
    <w:lvl w:ilvl="0">
      <w:lvlJc w:val="left"/>
      <w:lvlText w:val="%1."/>
      <w:numFmt w:val="decimal"/>
      <w:start w:val="5"/>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2019-12-11T07:08:50Z</dcterms:created>
  <dcterms:modified xsi:type="dcterms:W3CDTF">2019-12-11T07:08:50Z</dcterms:modified>
</cp:coreProperties>
</file>