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109855</wp:posOffset>
            </wp:positionV>
            <wp:extent cx="32315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27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80645</wp:posOffset>
            </wp:positionV>
            <wp:extent cx="32315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345" w:lineRule="exact"/>
        <w:rPr>
          <w:sz w:val="24"/>
          <w:szCs w:val="24"/>
          <w:color w:val="auto"/>
        </w:rPr>
      </w:pPr>
    </w:p>
    <w:p>
      <w:pPr>
        <w:ind w:left="960" w:hanging="561"/>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2021</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or</w:t>
      </w:r>
    </w:p>
    <w:p>
      <w:pPr>
        <w:spacing w:after="0" w:line="114" w:lineRule="exact"/>
        <w:rPr>
          <w:sz w:val="24"/>
          <w:szCs w:val="24"/>
          <w:color w:val="auto"/>
        </w:rPr>
      </w:pPr>
    </w:p>
    <w:p>
      <w:pPr>
        <w:ind w:left="960" w:hanging="561"/>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0" w:lineRule="exact"/>
        <w:rPr>
          <w:sz w:val="24"/>
          <w:szCs w:val="24"/>
          <w:color w:val="auto"/>
        </w:rPr>
      </w:pPr>
    </w:p>
    <w:p>
      <w:pPr>
        <w:ind w:left="3620"/>
        <w:spacing w:after="0"/>
        <w:tabs>
          <w:tab w:leader="none" w:pos="67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43815</wp:posOffset>
            </wp:positionV>
            <wp:extent cx="32315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1515" cy="1714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155575</wp:posOffset>
            </wp:positionV>
            <wp:extent cx="113982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LendingTree,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340" w:type="dxa"/>
            <w:vAlign w:val="bottom"/>
          </w:tcPr>
          <w:p>
            <w:pPr>
              <w:spacing w:after="0"/>
              <w:rPr>
                <w:sz w:val="18"/>
                <w:szCs w:val="18"/>
                <w:color w:val="auto"/>
              </w:rPr>
            </w:pPr>
          </w:p>
        </w:tc>
        <w:tc>
          <w:tcPr>
            <w:tcW w:w="2280" w:type="dxa"/>
            <w:vAlign w:val="bottom"/>
            <w:gridSpan w:val="3"/>
          </w:tcPr>
          <w:p>
            <w:pPr>
              <w:jc w:val="center"/>
              <w:ind w:left="557"/>
              <w:spacing w:after="0"/>
              <w:rPr>
                <w:sz w:val="20"/>
                <w:szCs w:val="20"/>
                <w:color w:val="auto"/>
              </w:rPr>
            </w:pPr>
            <w:r>
              <w:rPr>
                <w:rFonts w:ascii="Arial" w:cs="Arial" w:eastAsia="Arial" w:hAnsi="Arial"/>
                <w:sz w:val="16"/>
                <w:szCs w:val="16"/>
                <w:b w:val="1"/>
                <w:bCs w:val="1"/>
                <w:color w:val="auto"/>
                <w:w w:val="91"/>
              </w:rPr>
              <w:t>Delaware</w:t>
            </w: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60" w:type="dxa"/>
            <w:vAlign w:val="bottom"/>
            <w:gridSpan w:val="3"/>
          </w:tcPr>
          <w:p>
            <w:pPr>
              <w:jc w:val="right"/>
              <w:ind w:right="1580"/>
              <w:spacing w:after="0"/>
              <w:rPr>
                <w:sz w:val="20"/>
                <w:szCs w:val="20"/>
                <w:color w:val="auto"/>
              </w:rPr>
            </w:pPr>
            <w:r>
              <w:rPr>
                <w:rFonts w:ascii="Arial" w:cs="Arial" w:eastAsia="Arial" w:hAnsi="Arial"/>
                <w:sz w:val="16"/>
                <w:szCs w:val="16"/>
                <w:b w:val="1"/>
                <w:bCs w:val="1"/>
                <w:color w:val="auto"/>
              </w:rPr>
              <w:t>26-2414818</w:t>
            </w:r>
          </w:p>
        </w:tc>
      </w:tr>
      <w:tr>
        <w:trPr>
          <w:trHeight w:val="230"/>
        </w:trPr>
        <w:tc>
          <w:tcPr>
            <w:tcW w:w="7440" w:type="dxa"/>
            <w:vAlign w:val="bottom"/>
            <w:gridSpan w:val="7"/>
          </w:tcPr>
          <w:p>
            <w:pPr>
              <w:jc w:val="center"/>
              <w:ind w:right="184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160" w:type="dxa"/>
            <w:vAlign w:val="bottom"/>
            <w:gridSpan w:val="3"/>
          </w:tcPr>
          <w:p>
            <w:pPr>
              <w:jc w:val="center"/>
              <w:ind w:right="800"/>
              <w:spacing w:after="0"/>
              <w:rPr>
                <w:sz w:val="20"/>
                <w:szCs w:val="20"/>
                <w:color w:val="auto"/>
              </w:rPr>
            </w:pPr>
            <w:r>
              <w:rPr>
                <w:rFonts w:ascii="Arial" w:cs="Arial" w:eastAsia="Arial" w:hAnsi="Arial"/>
                <w:sz w:val="16"/>
                <w:szCs w:val="16"/>
                <w:color w:val="auto"/>
                <w:w w:val="95"/>
              </w:rPr>
              <w:t>(I.R.S. Employer Identification No.)</w:t>
            </w:r>
          </w:p>
        </w:tc>
      </w:tr>
      <w:tr>
        <w:trPr>
          <w:trHeight w:val="407"/>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20" w:type="dxa"/>
            <w:vAlign w:val="bottom"/>
            <w:gridSpan w:val="8"/>
          </w:tcPr>
          <w:p>
            <w:pPr>
              <w:ind w:left="500"/>
              <w:spacing w:after="0"/>
              <w:rPr>
                <w:sz w:val="20"/>
                <w:szCs w:val="20"/>
                <w:color w:val="auto"/>
              </w:rPr>
            </w:pPr>
            <w:r>
              <w:rPr>
                <w:rFonts w:ascii="Arial" w:cs="Arial" w:eastAsia="Arial" w:hAnsi="Arial"/>
                <w:sz w:val="18"/>
                <w:szCs w:val="18"/>
                <w:b w:val="1"/>
                <w:bCs w:val="1"/>
                <w:color w:val="auto"/>
              </w:rPr>
              <w:t>1415 Vantage Park Dr., Suite 700, Charlotte, North Carolina 28203</w:t>
            </w:r>
          </w:p>
        </w:tc>
      </w:tr>
      <w:tr>
        <w:trPr>
          <w:trHeight w:val="216"/>
        </w:trPr>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20" w:type="dxa"/>
            <w:vAlign w:val="bottom"/>
            <w:gridSpan w:val="3"/>
          </w:tcPr>
          <w:p>
            <w:pPr>
              <w:jc w:val="center"/>
              <w:ind w:left="113"/>
              <w:spacing w:after="0"/>
              <w:rPr>
                <w:sz w:val="20"/>
                <w:szCs w:val="20"/>
                <w:color w:val="auto"/>
              </w:rPr>
            </w:pPr>
            <w:r>
              <w:rPr>
                <w:rFonts w:ascii="Arial" w:cs="Arial" w:eastAsia="Arial" w:hAnsi="Arial"/>
                <w:sz w:val="17"/>
                <w:szCs w:val="17"/>
                <w:color w:val="auto"/>
                <w:w w:val="93"/>
              </w:rPr>
              <w:t>(Address of principal executive offices)(Zip Code)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310"/>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20" w:type="dxa"/>
            <w:vAlign w:val="bottom"/>
            <w:gridSpan w:val="3"/>
          </w:tcPr>
          <w:p>
            <w:pPr>
              <w:jc w:val="center"/>
              <w:ind w:left="93"/>
              <w:spacing w:after="0"/>
              <w:rPr>
                <w:sz w:val="20"/>
                <w:szCs w:val="20"/>
                <w:color w:val="auto"/>
              </w:rPr>
            </w:pPr>
            <w:r>
              <w:rPr>
                <w:rFonts w:ascii="Arial" w:cs="Arial" w:eastAsia="Arial" w:hAnsi="Arial"/>
                <w:sz w:val="18"/>
                <w:szCs w:val="18"/>
                <w:b w:val="1"/>
                <w:bCs w:val="1"/>
                <w:color w:val="auto"/>
                <w:w w:val="90"/>
              </w:rPr>
              <w:t>(704) 541-5351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20" w:type="dxa"/>
            <w:vAlign w:val="bottom"/>
            <w:gridSpan w:val="3"/>
          </w:tcPr>
          <w:p>
            <w:pPr>
              <w:jc w:val="center"/>
              <w:ind w:left="93"/>
              <w:spacing w:after="0"/>
              <w:rPr>
                <w:sz w:val="20"/>
                <w:szCs w:val="20"/>
                <w:color w:val="auto"/>
              </w:rPr>
            </w:pPr>
            <w:r>
              <w:rPr>
                <w:rFonts w:ascii="Arial" w:cs="Arial" w:eastAsia="Arial" w:hAnsi="Arial"/>
                <w:sz w:val="17"/>
                <w:szCs w:val="17"/>
                <w:color w:val="auto"/>
                <w:w w:val="90"/>
              </w:rPr>
              <w:t>(Registrant's telephone number, including area code)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33"/>
        </w:trPr>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tcBorders>
              <w:bottom w:val="single" w:sz="8" w:color="auto"/>
            </w:tcBorders>
            <w:gridSpan w:val="2"/>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20" w:type="dxa"/>
            <w:vAlign w:val="bottom"/>
          </w:tcPr>
          <w:p>
            <w:pPr>
              <w:spacing w:after="0"/>
              <w:rPr>
                <w:sz w:val="11"/>
                <w:szCs w:val="11"/>
                <w:color w:val="auto"/>
              </w:rPr>
            </w:pPr>
          </w:p>
        </w:tc>
      </w:tr>
      <w:tr>
        <w:trPr>
          <w:trHeight w:val="320"/>
        </w:trPr>
        <w:tc>
          <w:tcPr>
            <w:tcW w:w="7440" w:type="dxa"/>
            <w:vAlign w:val="bottom"/>
            <w:gridSpan w:val="7"/>
          </w:tcPr>
          <w:p>
            <w:pPr>
              <w:jc w:val="center"/>
              <w:ind w:right="3500"/>
              <w:spacing w:after="0"/>
              <w:rPr>
                <w:sz w:val="20"/>
                <w:szCs w:val="20"/>
                <w:color w:val="auto"/>
              </w:rPr>
            </w:pPr>
            <w:r>
              <w:rPr>
                <w:rFonts w:ascii="Arial" w:cs="Arial" w:eastAsia="Arial" w:hAnsi="Arial"/>
                <w:sz w:val="17"/>
                <w:szCs w:val="17"/>
                <w:color w:val="auto"/>
                <w:w w:val="91"/>
              </w:rPr>
              <w:t>Securities registered pursuant to Section 12(b) of the Act: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01"/>
        </w:trPr>
        <w:tc>
          <w:tcPr>
            <w:tcW w:w="1340" w:type="dxa"/>
            <w:vAlign w:val="bottom"/>
          </w:tcPr>
          <w:p>
            <w:pPr>
              <w:spacing w:after="0"/>
              <w:rPr>
                <w:sz w:val="24"/>
                <w:szCs w:val="24"/>
                <w:color w:val="auto"/>
              </w:rPr>
            </w:pPr>
          </w:p>
        </w:tc>
        <w:tc>
          <w:tcPr>
            <w:tcW w:w="2280" w:type="dxa"/>
            <w:vAlign w:val="bottom"/>
            <w:gridSpan w:val="3"/>
          </w:tcPr>
          <w:p>
            <w:pPr>
              <w:jc w:val="center"/>
              <w:ind w:right="1040"/>
              <w:spacing w:after="0"/>
              <w:rPr>
                <w:sz w:val="20"/>
                <w:szCs w:val="20"/>
                <w:color w:val="auto"/>
              </w:rPr>
            </w:pPr>
            <w:r>
              <w:rPr>
                <w:rFonts w:ascii="Arial" w:cs="Arial" w:eastAsia="Arial" w:hAnsi="Arial"/>
                <w:sz w:val="17"/>
                <w:szCs w:val="17"/>
                <w:color w:val="auto"/>
                <w:w w:val="91"/>
              </w:rPr>
              <w:t>Title of each class</w:t>
            </w:r>
          </w:p>
        </w:tc>
        <w:tc>
          <w:tcPr>
            <w:tcW w:w="3820" w:type="dxa"/>
            <w:vAlign w:val="bottom"/>
            <w:gridSpan w:val="3"/>
          </w:tcPr>
          <w:p>
            <w:pPr>
              <w:jc w:val="center"/>
              <w:ind w:right="220"/>
              <w:spacing w:after="0"/>
              <w:rPr>
                <w:sz w:val="20"/>
                <w:szCs w:val="20"/>
                <w:color w:val="auto"/>
              </w:rPr>
            </w:pPr>
            <w:r>
              <w:rPr>
                <w:rFonts w:ascii="Arial" w:cs="Arial" w:eastAsia="Arial" w:hAnsi="Arial"/>
                <w:sz w:val="17"/>
                <w:szCs w:val="17"/>
                <w:color w:val="auto"/>
                <w:w w:val="92"/>
              </w:rPr>
              <w:t>Trading Symbol(s)</w:t>
            </w:r>
          </w:p>
        </w:tc>
        <w:tc>
          <w:tcPr>
            <w:tcW w:w="120" w:type="dxa"/>
            <w:vAlign w:val="bottom"/>
          </w:tcPr>
          <w:p>
            <w:pPr>
              <w:spacing w:after="0"/>
              <w:rPr>
                <w:sz w:val="24"/>
                <w:szCs w:val="24"/>
                <w:color w:val="auto"/>
              </w:rPr>
            </w:pPr>
          </w:p>
        </w:tc>
        <w:tc>
          <w:tcPr>
            <w:tcW w:w="3040" w:type="dxa"/>
            <w:vAlign w:val="bottom"/>
            <w:gridSpan w:val="2"/>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r>
      <w:tr>
        <w:trPr>
          <w:trHeight w:val="233"/>
        </w:trPr>
        <w:tc>
          <w:tcPr>
            <w:tcW w:w="3620" w:type="dxa"/>
            <w:vAlign w:val="bottom"/>
            <w:gridSpan w:val="4"/>
          </w:tcPr>
          <w:p>
            <w:pPr>
              <w:jc w:val="center"/>
              <w:ind w:left="216"/>
              <w:spacing w:after="0"/>
              <w:rPr>
                <w:sz w:val="20"/>
                <w:szCs w:val="20"/>
                <w:color w:val="auto"/>
              </w:rPr>
            </w:pPr>
            <w:r>
              <w:rPr>
                <w:rFonts w:ascii="Arial" w:cs="Arial" w:eastAsia="Arial" w:hAnsi="Arial"/>
                <w:sz w:val="17"/>
                <w:szCs w:val="17"/>
                <w:color w:val="auto"/>
                <w:w w:val="90"/>
              </w:rPr>
              <w:t>Common Stock, $0.01 par value per share</w:t>
            </w:r>
          </w:p>
        </w:tc>
        <w:tc>
          <w:tcPr>
            <w:tcW w:w="1160" w:type="dxa"/>
            <w:vAlign w:val="bottom"/>
          </w:tcPr>
          <w:p>
            <w:pPr>
              <w:spacing w:after="0"/>
              <w:rPr>
                <w:sz w:val="20"/>
                <w:szCs w:val="20"/>
                <w:color w:val="auto"/>
              </w:rPr>
            </w:pPr>
          </w:p>
        </w:tc>
        <w:tc>
          <w:tcPr>
            <w:tcW w:w="2660" w:type="dxa"/>
            <w:vAlign w:val="bottom"/>
            <w:gridSpan w:val="2"/>
          </w:tcPr>
          <w:p>
            <w:pPr>
              <w:jc w:val="center"/>
              <w:ind w:right="1380"/>
              <w:spacing w:after="0"/>
              <w:rPr>
                <w:sz w:val="20"/>
                <w:szCs w:val="20"/>
                <w:color w:val="auto"/>
              </w:rPr>
            </w:pPr>
            <w:r>
              <w:rPr>
                <w:rFonts w:ascii="Arial" w:cs="Arial" w:eastAsia="Arial" w:hAnsi="Arial"/>
                <w:sz w:val="17"/>
                <w:szCs w:val="17"/>
                <w:color w:val="auto"/>
                <w:w w:val="96"/>
              </w:rPr>
              <w:t>TREE</w:t>
            </w:r>
          </w:p>
        </w:tc>
        <w:tc>
          <w:tcPr>
            <w:tcW w:w="120" w:type="dxa"/>
            <w:vAlign w:val="bottom"/>
          </w:tcPr>
          <w:p>
            <w:pPr>
              <w:spacing w:after="0"/>
              <w:rPr>
                <w:sz w:val="20"/>
                <w:szCs w:val="20"/>
                <w:color w:val="auto"/>
              </w:rPr>
            </w:pPr>
          </w:p>
        </w:tc>
        <w:tc>
          <w:tcPr>
            <w:tcW w:w="3040" w:type="dxa"/>
            <w:vAlign w:val="bottom"/>
            <w:gridSpan w:val="2"/>
          </w:tcPr>
          <w:p>
            <w:pPr>
              <w:jc w:val="center"/>
              <w:spacing w:after="0"/>
              <w:rPr>
                <w:sz w:val="20"/>
                <w:szCs w:val="20"/>
                <w:color w:val="auto"/>
              </w:rPr>
            </w:pPr>
            <w:r>
              <w:rPr>
                <w:rFonts w:ascii="Arial" w:cs="Arial" w:eastAsia="Arial" w:hAnsi="Arial"/>
                <w:sz w:val="17"/>
                <w:szCs w:val="17"/>
                <w:color w:val="auto"/>
                <w:w w:val="92"/>
              </w:rPr>
              <w:t>The Nasdaq Stock Market LLC</w:t>
            </w:r>
          </w:p>
        </w:tc>
      </w:tr>
    </w:tbl>
    <w:p>
      <w:pPr>
        <w:spacing w:after="0" w:line="162"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2"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8"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180" w:type="dxa"/>
        <w:tblCellMar>
          <w:top w:w="0" w:type="dxa"/>
          <w:left w:w="0" w:type="dxa"/>
          <w:bottom w:w="0" w:type="dxa"/>
          <w:right w:w="0" w:type="dxa"/>
        </w:tblCellMar>
      </w:tblPr>
      <w:tr>
        <w:trPr>
          <w:trHeight w:val="229"/>
        </w:trPr>
        <w:tc>
          <w:tcPr>
            <w:tcW w:w="2000" w:type="dxa"/>
            <w:vAlign w:val="bottom"/>
          </w:tcPr>
          <w:p>
            <w:pPr>
              <w:jc w:val="center"/>
              <w:ind w:right="375"/>
              <w:spacing w:after="0"/>
              <w:rPr>
                <w:sz w:val="20"/>
                <w:szCs w:val="20"/>
                <w:color w:val="auto"/>
              </w:rPr>
            </w:pPr>
            <w:r>
              <w:rPr>
                <w:rFonts w:ascii="Arial" w:cs="Arial" w:eastAsia="Arial" w:hAnsi="Arial"/>
                <w:sz w:val="17"/>
                <w:szCs w:val="17"/>
                <w:color w:val="auto"/>
                <w:w w:val="91"/>
              </w:rPr>
              <w:t>Large accelerated filer</w:t>
            </w:r>
          </w:p>
        </w:tc>
        <w:tc>
          <w:tcPr>
            <w:tcW w:w="1280" w:type="dxa"/>
            <w:vAlign w:val="bottom"/>
          </w:tcPr>
          <w:p>
            <w:pPr>
              <w:ind w:left="440"/>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700"/>
              <w:spacing w:after="0"/>
              <w:rPr>
                <w:sz w:val="20"/>
                <w:szCs w:val="20"/>
                <w:color w:val="auto"/>
              </w:rPr>
            </w:pPr>
            <w:r>
              <w:rPr>
                <w:rFonts w:ascii="Arial" w:cs="Arial" w:eastAsia="Arial" w:hAnsi="Arial"/>
                <w:sz w:val="17"/>
                <w:szCs w:val="17"/>
                <w:color w:val="auto"/>
              </w:rPr>
              <w:t>Accelerated filer</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30"/>
        </w:trPr>
        <w:tc>
          <w:tcPr>
            <w:tcW w:w="2000" w:type="dxa"/>
            <w:vAlign w:val="bottom"/>
          </w:tcPr>
          <w:p>
            <w:pPr>
              <w:jc w:val="center"/>
              <w:ind w:right="375"/>
              <w:spacing w:after="0"/>
              <w:rPr>
                <w:sz w:val="20"/>
                <w:szCs w:val="20"/>
                <w:color w:val="auto"/>
              </w:rPr>
            </w:pPr>
            <w:r>
              <w:rPr>
                <w:rFonts w:ascii="Arial" w:cs="Arial" w:eastAsia="Arial" w:hAnsi="Arial"/>
                <w:sz w:val="17"/>
                <w:szCs w:val="17"/>
                <w:color w:val="auto"/>
                <w:w w:val="93"/>
              </w:rPr>
              <w:t>Non-accelerated filer</w:t>
            </w:r>
          </w:p>
        </w:tc>
        <w:tc>
          <w:tcPr>
            <w:tcW w:w="1280" w:type="dxa"/>
            <w:vAlign w:val="bottom"/>
          </w:tcPr>
          <w:p>
            <w:pPr>
              <w:ind w:left="440"/>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700"/>
              <w:spacing w:after="0"/>
              <w:rPr>
                <w:sz w:val="20"/>
                <w:szCs w:val="20"/>
                <w:color w:val="auto"/>
              </w:rPr>
            </w:pPr>
            <w:r>
              <w:rPr>
                <w:rFonts w:ascii="Arial" w:cs="Arial" w:eastAsia="Arial" w:hAnsi="Arial"/>
                <w:sz w:val="17"/>
                <w:szCs w:val="17"/>
                <w:color w:val="auto"/>
              </w:rPr>
              <w:t>Smaller reporting company</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20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100" w:type="dxa"/>
            <w:vAlign w:val="bottom"/>
          </w:tcPr>
          <w:p>
            <w:pPr>
              <w:ind w:left="700"/>
              <w:spacing w:after="0"/>
              <w:rPr>
                <w:sz w:val="20"/>
                <w:szCs w:val="20"/>
                <w:color w:val="auto"/>
              </w:rPr>
            </w:pPr>
            <w:r>
              <w:rPr>
                <w:rFonts w:ascii="Arial" w:cs="Arial" w:eastAsia="Arial" w:hAnsi="Arial"/>
                <w:sz w:val="17"/>
                <w:szCs w:val="17"/>
                <w:color w:val="auto"/>
              </w:rPr>
              <w:t>Emerging growth company</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5" w:lineRule="exact"/>
        <w:rPr>
          <w:sz w:val="24"/>
          <w:szCs w:val="24"/>
          <w:color w:val="auto"/>
        </w:rPr>
      </w:pPr>
    </w:p>
    <w:p>
      <w:pPr>
        <w:ind w:right="20" w:firstLine="162"/>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9" w:lineRule="exact"/>
        <w:rPr>
          <w:sz w:val="24"/>
          <w:szCs w:val="24"/>
          <w:color w:val="auto"/>
        </w:rPr>
      </w:pPr>
    </w:p>
    <w:p>
      <w:pPr>
        <w:ind w:left="18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4"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April 23, 2021, there were 13,310,246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40" w:type="dxa"/>
            <w:vAlign w:val="bottom"/>
          </w:tcPr>
          <w:p>
            <w:pPr>
              <w:jc w:val="right"/>
              <w:ind w:right="29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6"/>
        </w:trPr>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2"/>
        </w:trPr>
        <w:tc>
          <w:tcPr>
            <w:tcW w:w="680" w:type="dxa"/>
            <w:vAlign w:val="bottom"/>
            <w:gridSpan w:val="2"/>
            <w:vMerge w:val="restart"/>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Item 1.</w:t>
              </w:r>
            </w:hyperlink>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140" w:type="dxa"/>
            <w:vAlign w:val="bottom"/>
            <w:gridSpan w:val="6"/>
          </w:tcPr>
          <w:p>
            <w:pPr>
              <w:jc w:val="center"/>
              <w:ind w:right="3000"/>
              <w:spacing w:after="0" w:line="172"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I—FINANCIAL INFORMATION</w:t>
              </w:r>
            </w:hyperlink>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 w:type="dxa"/>
            <w:vAlign w:val="bottom"/>
            <w:gridSpan w:val="2"/>
            <w:vMerge w:val="continue"/>
          </w:tcPr>
          <w:p>
            <w:pPr>
              <w:spacing w:after="0"/>
              <w:rPr>
                <w:sz w:val="18"/>
                <w:szCs w:val="18"/>
                <w:color w:val="auto"/>
              </w:rPr>
            </w:pPr>
          </w:p>
        </w:tc>
        <w:tc>
          <w:tcPr>
            <w:tcW w:w="3340" w:type="dxa"/>
            <w:vAlign w:val="bottom"/>
            <w:gridSpan w:val="7"/>
          </w:tcPr>
          <w:p>
            <w:pPr>
              <w:ind w:left="720"/>
              <w:spacing w:after="0"/>
              <w:rPr>
                <w:rFonts w:ascii="Arial" w:cs="Arial" w:eastAsia="Arial" w:hAnsi="Arial"/>
                <w:sz w:val="18"/>
                <w:szCs w:val="18"/>
                <w:b w:val="1"/>
                <w:bCs w:val="1"/>
                <w:i w:val="1"/>
                <w:iCs w:val="1"/>
                <w:color w:val="0000FF"/>
              </w:rPr>
            </w:pPr>
            <w:hyperlink w:anchor="page3">
              <w:r>
                <w:rPr>
                  <w:rFonts w:ascii="Arial" w:cs="Arial" w:eastAsia="Arial" w:hAnsi="Arial"/>
                  <w:sz w:val="18"/>
                  <w:szCs w:val="18"/>
                  <w:b w:val="1"/>
                  <w:bCs w:val="1"/>
                  <w:i w:val="1"/>
                  <w:iCs w:val="1"/>
                  <w:color w:val="0000FF"/>
                </w:rPr>
                <w:t>Financial Statements</w:t>
              </w:r>
            </w:hyperlink>
          </w:p>
        </w:tc>
        <w:tc>
          <w:tcPr>
            <w:tcW w:w="3140" w:type="dxa"/>
            <w:vAlign w:val="bottom"/>
            <w:tcBorders>
              <w:top w:val="single" w:sz="8" w:color="0000FF"/>
            </w:tcBorders>
            <w:gridSpan w:val="4"/>
          </w:tcPr>
          <w:p>
            <w:pPr>
              <w:spacing w:after="0"/>
              <w:rPr>
                <w:sz w:val="18"/>
                <w:szCs w:val="18"/>
                <w:color w:val="auto"/>
              </w:rPr>
            </w:pPr>
          </w:p>
        </w:tc>
        <w:tc>
          <w:tcPr>
            <w:tcW w:w="3000" w:type="dxa"/>
            <w:vAlign w:val="bottom"/>
            <w:gridSpan w:val="2"/>
          </w:tcPr>
          <w:p>
            <w:pPr>
              <w:spacing w:after="0"/>
              <w:rPr>
                <w:sz w:val="18"/>
                <w:szCs w:val="18"/>
                <w:color w:val="auto"/>
              </w:rPr>
            </w:pPr>
          </w:p>
        </w:tc>
        <w:tc>
          <w:tcPr>
            <w:tcW w:w="10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Item 2.</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28">
              <w:r>
                <w:rPr>
                  <w:rFonts w:ascii="Arial" w:cs="Arial" w:eastAsia="Arial" w:hAnsi="Arial"/>
                  <w:sz w:val="18"/>
                  <w:szCs w:val="18"/>
                  <w:b w:val="1"/>
                  <w:bCs w:val="1"/>
                  <w:i w:val="1"/>
                  <w:iCs w:val="1"/>
                  <w:color w:val="0000FF"/>
                </w:rPr>
                <w:t>Management's Discussion and Analysis of Financial Condition and Results of Operations</w:t>
              </w:r>
            </w:hyperlink>
          </w:p>
        </w:tc>
        <w:tc>
          <w:tcPr>
            <w:tcW w:w="104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460" w:type="dxa"/>
            <w:vAlign w:val="bottom"/>
            <w:tcBorders>
              <w:bottom w:val="single" w:sz="8" w:color="0000FF"/>
            </w:tcBorders>
            <w:gridSpan w:val="2"/>
            <w:shd w:val="clear" w:color="auto" w:fill="0000FF"/>
          </w:tcPr>
          <w:p>
            <w:pPr>
              <w:spacing w:after="0" w:line="20" w:lineRule="exact"/>
              <w:rPr>
                <w:sz w:val="1"/>
                <w:szCs w:val="1"/>
                <w:color w:val="auto"/>
              </w:rPr>
            </w:pPr>
          </w:p>
        </w:tc>
        <w:tc>
          <w:tcPr>
            <w:tcW w:w="920" w:type="dxa"/>
            <w:vAlign w:val="bottom"/>
            <w:tcBorders>
              <w:bottom w:val="single" w:sz="8" w:color="0000FF"/>
            </w:tcBorders>
            <w:gridSpan w:val="2"/>
            <w:shd w:val="clear" w:color="auto" w:fill="0000FF"/>
          </w:tcPr>
          <w:p>
            <w:pPr>
              <w:spacing w:after="0" w:line="20" w:lineRule="exact"/>
              <w:rPr>
                <w:sz w:val="1"/>
                <w:szCs w:val="1"/>
                <w:color w:val="auto"/>
              </w:rPr>
            </w:pPr>
          </w:p>
        </w:tc>
        <w:tc>
          <w:tcPr>
            <w:tcW w:w="1700" w:type="dxa"/>
            <w:vAlign w:val="bottom"/>
            <w:tcBorders>
              <w:bottom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60" w:type="dxa"/>
            <w:vAlign w:val="bottom"/>
            <w:tcBorders>
              <w:bottom w:val="single" w:sz="8" w:color="0000FF"/>
            </w:tcBorders>
            <w:gridSpan w:val="2"/>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gridSpan w:val="2"/>
          </w:tcPr>
          <w:p>
            <w:pPr>
              <w:spacing w:after="0" w:line="189" w:lineRule="exact"/>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Item 3.</w:t>
              </w:r>
            </w:hyperlink>
          </w:p>
        </w:tc>
        <w:tc>
          <w:tcPr>
            <w:tcW w:w="9480" w:type="dxa"/>
            <w:vAlign w:val="bottom"/>
            <w:gridSpan w:val="13"/>
          </w:tcPr>
          <w:p>
            <w:pPr>
              <w:ind w:left="720"/>
              <w:spacing w:after="0" w:line="189" w:lineRule="exact"/>
              <w:rPr>
                <w:rFonts w:ascii="Arial" w:cs="Arial" w:eastAsia="Arial" w:hAnsi="Arial"/>
                <w:sz w:val="18"/>
                <w:szCs w:val="18"/>
                <w:b w:val="1"/>
                <w:bCs w:val="1"/>
                <w:i w:val="1"/>
                <w:iCs w:val="1"/>
                <w:color w:val="0000FF"/>
              </w:rPr>
            </w:pPr>
            <w:hyperlink w:anchor="page39">
              <w:r>
                <w:rPr>
                  <w:rFonts w:ascii="Arial" w:cs="Arial" w:eastAsia="Arial" w:hAnsi="Arial"/>
                  <w:sz w:val="18"/>
                  <w:szCs w:val="18"/>
                  <w:b w:val="1"/>
                  <w:bCs w:val="1"/>
                  <w:i w:val="1"/>
                  <w:iCs w:val="1"/>
                  <w:color w:val="0000FF"/>
                </w:rPr>
                <w:t>Quantitative and Qualitative Disclosures About Market Risk</w:t>
              </w:r>
            </w:hyperlink>
          </w:p>
        </w:tc>
        <w:tc>
          <w:tcPr>
            <w:tcW w:w="1040" w:type="dxa"/>
            <w:vAlign w:val="bottom"/>
          </w:tcPr>
          <w:p>
            <w:pPr>
              <w:jc w:val="right"/>
              <w:spacing w:after="0" w:line="189" w:lineRule="exact"/>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Item 4.</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39">
              <w:r>
                <w:rPr>
                  <w:rFonts w:ascii="Arial" w:cs="Arial" w:eastAsia="Arial" w:hAnsi="Arial"/>
                  <w:sz w:val="18"/>
                  <w:szCs w:val="18"/>
                  <w:b w:val="1"/>
                  <w:bCs w:val="1"/>
                  <w:i w:val="1"/>
                  <w:iCs w:val="1"/>
                  <w:color w:val="0000FF"/>
                </w:rPr>
                <w:t>Controls and Procedures</w:t>
              </w:r>
            </w:hyperlink>
          </w:p>
        </w:tc>
        <w:tc>
          <w:tcPr>
            <w:tcW w:w="104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439"/>
        </w:trPr>
        <w:tc>
          <w:tcPr>
            <w:tcW w:w="5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2"/>
          </w:tcPr>
          <w:p>
            <w:pPr>
              <w:jc w:val="cente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PART II—OTHER INFORMATION</w:t>
              </w:r>
            </w:hyperlink>
          </w:p>
        </w:tc>
        <w:tc>
          <w:tcPr>
            <w:tcW w:w="3140" w:type="dxa"/>
            <w:vAlign w:val="bottom"/>
            <w:gridSpan w:val="3"/>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80" w:type="dxa"/>
            <w:vAlign w:val="bottom"/>
            <w:gridSpan w:val="2"/>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Item 1.</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41">
              <w:r>
                <w:rPr>
                  <w:rFonts w:ascii="Arial" w:cs="Arial" w:eastAsia="Arial" w:hAnsi="Arial"/>
                  <w:sz w:val="18"/>
                  <w:szCs w:val="18"/>
                  <w:b w:val="1"/>
                  <w:bCs w:val="1"/>
                  <w:i w:val="1"/>
                  <w:iCs w:val="1"/>
                  <w:color w:val="0000FF"/>
                </w:rPr>
                <w:t>Legal Proceedings</w:t>
              </w:r>
            </w:hyperlink>
          </w:p>
        </w:tc>
        <w:tc>
          <w:tcPr>
            <w:tcW w:w="104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0" w:type="dxa"/>
            <w:vAlign w:val="bottom"/>
            <w:gridSpan w:val="2"/>
          </w:tcPr>
          <w:p>
            <w:pPr>
              <w:spacing w:after="0" w:line="189" w:lineRule="exact"/>
              <w:rPr>
                <w:rFonts w:ascii="Arial" w:cs="Arial" w:eastAsia="Arial" w:hAnsi="Arial"/>
                <w:sz w:val="18"/>
                <w:szCs w:val="18"/>
                <w:b w:val="1"/>
                <w:bCs w:val="1"/>
                <w:color w:val="0000FF"/>
                <w:w w:val="94"/>
              </w:rPr>
            </w:pPr>
            <w:hyperlink w:anchor="page41">
              <w:r>
                <w:rPr>
                  <w:rFonts w:ascii="Arial" w:cs="Arial" w:eastAsia="Arial" w:hAnsi="Arial"/>
                  <w:sz w:val="18"/>
                  <w:szCs w:val="18"/>
                  <w:b w:val="1"/>
                  <w:bCs w:val="1"/>
                  <w:color w:val="0000FF"/>
                  <w:w w:val="94"/>
                </w:rPr>
                <w:t>Item 1A.</w:t>
              </w:r>
            </w:hyperlink>
          </w:p>
        </w:tc>
        <w:tc>
          <w:tcPr>
            <w:tcW w:w="9480" w:type="dxa"/>
            <w:vAlign w:val="bottom"/>
            <w:gridSpan w:val="13"/>
          </w:tcPr>
          <w:p>
            <w:pPr>
              <w:ind w:left="720"/>
              <w:spacing w:after="0" w:line="189" w:lineRule="exact"/>
              <w:rPr>
                <w:rFonts w:ascii="Arial" w:cs="Arial" w:eastAsia="Arial" w:hAnsi="Arial"/>
                <w:sz w:val="18"/>
                <w:szCs w:val="18"/>
                <w:b w:val="1"/>
                <w:bCs w:val="1"/>
                <w:i w:val="1"/>
                <w:iCs w:val="1"/>
                <w:color w:val="0000FF"/>
              </w:rPr>
            </w:pPr>
            <w:hyperlink w:anchor="page41">
              <w:r>
                <w:rPr>
                  <w:rFonts w:ascii="Arial" w:cs="Arial" w:eastAsia="Arial" w:hAnsi="Arial"/>
                  <w:sz w:val="18"/>
                  <w:szCs w:val="18"/>
                  <w:b w:val="1"/>
                  <w:bCs w:val="1"/>
                  <w:i w:val="1"/>
                  <w:iCs w:val="1"/>
                  <w:color w:val="0000FF"/>
                </w:rPr>
                <w:t>Risk Factors</w:t>
              </w:r>
            </w:hyperlink>
          </w:p>
        </w:tc>
        <w:tc>
          <w:tcPr>
            <w:tcW w:w="1040" w:type="dxa"/>
            <w:vAlign w:val="bottom"/>
          </w:tcPr>
          <w:p>
            <w:pPr>
              <w:jc w:val="right"/>
              <w:spacing w:after="0" w:line="189" w:lineRule="exact"/>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Item 2.</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41">
              <w:r>
                <w:rPr>
                  <w:rFonts w:ascii="Arial" w:cs="Arial" w:eastAsia="Arial" w:hAnsi="Arial"/>
                  <w:sz w:val="18"/>
                  <w:szCs w:val="18"/>
                  <w:b w:val="1"/>
                  <w:bCs w:val="1"/>
                  <w:i w:val="1"/>
                  <w:iCs w:val="1"/>
                  <w:color w:val="0000FF"/>
                </w:rPr>
                <w:t>Unregistered Sales of Equity Securities and Use of Proceeds</w:t>
              </w:r>
            </w:hyperlink>
          </w:p>
        </w:tc>
        <w:tc>
          <w:tcPr>
            <w:tcW w:w="104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80" w:type="dxa"/>
            <w:vAlign w:val="bottom"/>
            <w:gridSpan w:val="5"/>
            <w:shd w:val="clear" w:color="auto" w:fill="0000FF"/>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Item 5.</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42">
              <w:r>
                <w:rPr>
                  <w:rFonts w:ascii="Arial" w:cs="Arial" w:eastAsia="Arial" w:hAnsi="Arial"/>
                  <w:sz w:val="18"/>
                  <w:szCs w:val="18"/>
                  <w:b w:val="1"/>
                  <w:bCs w:val="1"/>
                  <w:i w:val="1"/>
                  <w:iCs w:val="1"/>
                  <w:color w:val="0000FF"/>
                </w:rPr>
                <w:t>Other Information</w:t>
              </w:r>
            </w:hyperlink>
          </w:p>
        </w:tc>
        <w:tc>
          <w:tcPr>
            <w:tcW w:w="104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38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Item 6.</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42">
              <w:r>
                <w:rPr>
                  <w:rFonts w:ascii="Arial" w:cs="Arial" w:eastAsia="Arial" w:hAnsi="Arial"/>
                  <w:sz w:val="18"/>
                  <w:szCs w:val="18"/>
                  <w:b w:val="1"/>
                  <w:bCs w:val="1"/>
                  <w:i w:val="1"/>
                  <w:iCs w:val="1"/>
                  <w:color w:val="0000FF"/>
                </w:rPr>
                <w:t>Exhibits</w:t>
              </w:r>
            </w:hyperlink>
          </w:p>
        </w:tc>
        <w:tc>
          <w:tcPr>
            <w:tcW w:w="104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7"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181"/>
        </w:trPr>
        <w:tc>
          <w:tcPr>
            <w:tcW w:w="8720" w:type="dxa"/>
            <w:vAlign w:val="bottom"/>
          </w:tcPr>
          <w:p>
            <w:pPr>
              <w:spacing w:after="0"/>
              <w:rPr>
                <w:sz w:val="15"/>
                <w:szCs w:val="15"/>
                <w:color w:val="auto"/>
              </w:rPr>
            </w:pPr>
          </w:p>
        </w:tc>
        <w:tc>
          <w:tcPr>
            <w:tcW w:w="2520" w:type="dxa"/>
            <w:vAlign w:val="bottom"/>
            <w:gridSpan w:val="4"/>
          </w:tcPr>
          <w:p>
            <w:pPr>
              <w:ind w:left="40"/>
              <w:spacing w:after="0"/>
              <w:rPr>
                <w:sz w:val="20"/>
                <w:szCs w:val="20"/>
                <w:color w:val="auto"/>
              </w:rPr>
            </w:pPr>
            <w:r>
              <w:rPr>
                <w:rFonts w:ascii="Arial" w:cs="Arial" w:eastAsia="Arial" w:hAnsi="Arial"/>
                <w:sz w:val="14"/>
                <w:szCs w:val="14"/>
                <w:b w:val="1"/>
                <w:bCs w:val="1"/>
                <w:i w:val="1"/>
                <w:iCs w:val="1"/>
                <w:color w:val="auto"/>
                <w:w w:val="88"/>
              </w:rPr>
              <w:t>(in thousands, except per share amounts)</w:t>
            </w:r>
          </w:p>
        </w:tc>
      </w:tr>
      <w:tr>
        <w:trPr>
          <w:trHeight w:val="23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272,750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283,084</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and amortization shown separately below)</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13,895</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14,252</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Selling and marketing expense</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197,462</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195,538</w:t>
            </w: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34,989</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32,082</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12,468</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10,963</w:t>
            </w: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3,718</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w:t>
            </w: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11,312</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13,757</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797</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(8,122)</w:t>
            </w: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Severance</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274,657</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262,335</w:t>
            </w: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(1,907)</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20,749</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w:t>
            </w:r>
          </w:p>
        </w:tc>
      </w:tr>
      <w:tr>
        <w:trPr>
          <w:trHeight w:val="230"/>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40,072</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27,950</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15,915</w:t>
            </w:r>
          </w:p>
        </w:tc>
      </w:tr>
      <w:tr>
        <w:trPr>
          <w:trHeight w:val="229"/>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(8,638)</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w:t>
            </w: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from continuing operations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19,312</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18,976</w:t>
            </w:r>
          </w:p>
        </w:tc>
      </w:tr>
      <w:tr>
        <w:trPr>
          <w:trHeight w:val="229"/>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(4,575)</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and comprehensive income</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19,049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14,401</w:t>
            </w:r>
          </w:p>
        </w:tc>
      </w:tr>
      <w:tr>
        <w:trPr>
          <w:trHeight w:val="257"/>
        </w:trPr>
        <w:tc>
          <w:tcPr>
            <w:tcW w:w="8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13,070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12,957</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14,119</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14,158</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Income per share from continuing operations: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per share from discontinued operations: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1.35</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52"/>
              <w:spacing w:after="0"/>
              <w:rPr>
                <w:sz w:val="20"/>
                <w:szCs w:val="20"/>
                <w:color w:val="auto"/>
              </w:rPr>
            </w:pPr>
            <w:r>
              <w:rPr>
                <w:rFonts w:ascii="Arial" w:cs="Arial" w:eastAsia="Arial" w:hAnsi="Arial"/>
                <w:sz w:val="14"/>
                <w:szCs w:val="14"/>
                <w:b w:val="1"/>
                <w:bCs w:val="1"/>
                <w:color w:val="auto"/>
              </w:rPr>
              <w:t>March 31,</w:t>
            </w: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8720" w:type="dxa"/>
            <w:vAlign w:val="bottom"/>
          </w:tcPr>
          <w:p>
            <w:pPr>
              <w:spacing w:after="0"/>
              <w:rPr>
                <w:sz w:val="11"/>
                <w:szCs w:val="11"/>
                <w:color w:val="auto"/>
              </w:rPr>
            </w:pPr>
          </w:p>
        </w:tc>
        <w:tc>
          <w:tcPr>
            <w:tcW w:w="2520" w:type="dxa"/>
            <w:vAlign w:val="bottom"/>
            <w:gridSpan w:val="4"/>
          </w:tcPr>
          <w:p>
            <w:pPr>
              <w:ind w:left="20"/>
              <w:spacing w:after="0" w:line="130" w:lineRule="exact"/>
              <w:rPr>
                <w:sz w:val="20"/>
                <w:szCs w:val="20"/>
                <w:color w:val="auto"/>
              </w:rPr>
            </w:pPr>
            <w:r>
              <w:rPr>
                <w:rFonts w:ascii="Arial" w:cs="Arial" w:eastAsia="Arial" w:hAnsi="Arial"/>
                <w:sz w:val="14"/>
                <w:szCs w:val="14"/>
                <w:b w:val="1"/>
                <w:bCs w:val="1"/>
                <w:i w:val="1"/>
                <w:iCs w:val="1"/>
                <w:color w:val="auto"/>
                <w:w w:val="88"/>
              </w:rPr>
              <w:t>(in thousands, except par value and share</w:t>
            </w:r>
          </w:p>
        </w:tc>
        <w:tc>
          <w:tcPr>
            <w:tcW w:w="0" w:type="dxa"/>
            <w:vAlign w:val="bottom"/>
          </w:tcPr>
          <w:p>
            <w:pPr>
              <w:spacing w:after="0"/>
              <w:rPr>
                <w:sz w:val="1"/>
                <w:szCs w:val="1"/>
                <w:color w:val="auto"/>
              </w:rPr>
            </w:pPr>
          </w:p>
        </w:tc>
      </w:tr>
      <w:tr>
        <w:trPr>
          <w:trHeight w:val="186"/>
        </w:trPr>
        <w:tc>
          <w:tcPr>
            <w:tcW w:w="8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780"/>
              <w:spacing w:after="0"/>
              <w:rPr>
                <w:sz w:val="20"/>
                <w:szCs w:val="20"/>
                <w:color w:val="auto"/>
              </w:rPr>
            </w:pPr>
            <w:r>
              <w:rPr>
                <w:rFonts w:ascii="Arial" w:cs="Arial" w:eastAsia="Arial" w:hAnsi="Arial"/>
                <w:sz w:val="14"/>
                <w:szCs w:val="14"/>
                <w:b w:val="1"/>
                <w:bCs w:val="1"/>
                <w:i w:val="1"/>
                <w:iCs w:val="1"/>
                <w:color w:val="auto"/>
              </w:rPr>
              <w:t>amounts)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162,091</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169,932</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and cash equivalents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Accounts receivable (net of allowance of $1,429 and $1,402, respectively)</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123,067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89,841</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28,638</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27,949</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Current assets of discontinued operations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8,556</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8,570</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322,431</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296,409</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Property and equipment (net of accumulated depreciation of $22,368 and $20,238, respectively)</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71,572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62,381</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81,622</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84,109</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420,139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420,139</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117,189</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128,502</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87,586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96,224</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121,253</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5,403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assets of discontinued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15,982</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15,892</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1,243,177</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1,188,990</w:t>
            </w:r>
          </w:p>
        </w:tc>
        <w:tc>
          <w:tcPr>
            <w:tcW w:w="0" w:type="dxa"/>
            <w:vAlign w:val="bottom"/>
          </w:tcPr>
          <w:p>
            <w:pPr>
              <w:spacing w:after="0"/>
              <w:rPr>
                <w:sz w:val="1"/>
                <w:szCs w:val="1"/>
                <w:color w:val="auto"/>
              </w:rPr>
            </w:pPr>
          </w:p>
        </w:tc>
      </w:tr>
      <w:tr>
        <w:trPr>
          <w:trHeight w:val="243"/>
        </w:trPr>
        <w:tc>
          <w:tcPr>
            <w:tcW w:w="8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trade</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7,230</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10,111</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113,442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101,196</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contingent consideration</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9,046</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Current liabilities of discontinued operations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803</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130,521</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111,843</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619,502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611,412</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97,352</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92,363</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Non-current contingent consideration</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8,249</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359</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847,734</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824,229</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720" w:type="dxa"/>
            <w:vAlign w:val="bottom"/>
          </w:tcPr>
          <w:p>
            <w:pPr>
              <w:ind w:left="140"/>
              <w:spacing w:after="0" w:line="176" w:lineRule="exact"/>
              <w:rPr>
                <w:sz w:val="20"/>
                <w:szCs w:val="20"/>
                <w:color w:val="auto"/>
              </w:rPr>
            </w:pPr>
            <w:r>
              <w:rPr>
                <w:rFonts w:ascii="Arial" w:cs="Arial" w:eastAsia="Arial" w:hAnsi="Arial"/>
                <w:sz w:val="18"/>
                <w:szCs w:val="18"/>
                <w:color w:val="auto"/>
                <w:w w:val="90"/>
              </w:rPr>
              <w:t>Common stock $.01 par value; 50,000,000 shares authorized; 15,797,177 and 15,766,193 shares issued, respectively,</w:t>
            </w:r>
          </w:p>
        </w:tc>
        <w:tc>
          <w:tcPr>
            <w:tcW w:w="200" w:type="dxa"/>
            <w:vAlign w:val="bottom"/>
          </w:tcPr>
          <w:p>
            <w:pPr>
              <w:spacing w:after="0"/>
              <w:rPr>
                <w:sz w:val="15"/>
                <w:szCs w:val="15"/>
                <w:color w:val="auto"/>
              </w:rPr>
            </w:pPr>
          </w:p>
        </w:tc>
        <w:tc>
          <w:tcPr>
            <w:tcW w:w="1060" w:type="dxa"/>
            <w:vAlign w:val="bottom"/>
            <w:vMerge w:val="restart"/>
          </w:tcPr>
          <w:p>
            <w:pPr>
              <w:jc w:val="right"/>
              <w:ind w:right="32"/>
              <w:spacing w:after="0"/>
              <w:rPr>
                <w:sz w:val="20"/>
                <w:szCs w:val="20"/>
                <w:color w:val="auto"/>
              </w:rPr>
            </w:pPr>
            <w:r>
              <w:rPr>
                <w:rFonts w:ascii="Arial" w:cs="Arial" w:eastAsia="Arial" w:hAnsi="Arial"/>
                <w:sz w:val="18"/>
                <w:szCs w:val="18"/>
                <w:color w:val="auto"/>
              </w:rPr>
              <w:t>158</w:t>
            </w:r>
          </w:p>
        </w:tc>
        <w:tc>
          <w:tcPr>
            <w:tcW w:w="3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and 13,155,859 and 13,124,875 shares outstanding, respectively</w:t>
            </w: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1,200,306</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1,188,673</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(621,860)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(640,909)</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Treasury stock; 2,641,318 shares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(183,161)</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(183,161)</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395,443</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364,761</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1,243,177</w:t>
            </w: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1,188,990</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center"/>
              <w:ind w:right="126"/>
              <w:spacing w:after="0" w:line="122"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0"/>
                <w:szCs w:val="10"/>
                <w:color w:val="auto"/>
              </w:rPr>
            </w:pPr>
          </w:p>
        </w:tc>
        <w:tc>
          <w:tcPr>
            <w:tcW w:w="1160" w:type="dxa"/>
            <w:vAlign w:val="bottom"/>
            <w:vMerge w:val="restart"/>
          </w:tcPr>
          <w:p>
            <w:pPr>
              <w:jc w:val="center"/>
              <w:ind w:right="165"/>
              <w:spacing w:after="0"/>
              <w:rPr>
                <w:sz w:val="20"/>
                <w:szCs w:val="20"/>
                <w:color w:val="auto"/>
              </w:rPr>
            </w:pPr>
            <w:r>
              <w:rPr>
                <w:rFonts w:ascii="Arial" w:cs="Arial" w:eastAsia="Arial" w:hAnsi="Arial"/>
                <w:sz w:val="14"/>
                <w:szCs w:val="14"/>
                <w:b w:val="1"/>
                <w:bCs w:val="1"/>
                <w:color w:val="auto"/>
                <w:w w:val="90"/>
              </w:rPr>
              <w:t>Accumulated</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1"/>
                <w:szCs w:val="11"/>
                <w:color w:val="auto"/>
              </w:rPr>
            </w:pPr>
          </w:p>
        </w:tc>
        <w:tc>
          <w:tcPr>
            <w:tcW w:w="940" w:type="dxa"/>
            <w:vAlign w:val="bottom"/>
          </w:tcPr>
          <w:p>
            <w:pPr>
              <w:jc w:val="center"/>
              <w:ind w:right="126"/>
              <w:spacing w:after="0" w:line="135"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93"/>
              </w:rPr>
              <w:t>Deficit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Arial" w:cs="Arial" w:eastAsia="Arial" w:hAnsi="Arial"/>
                <w:sz w:val="13"/>
                <w:szCs w:val="13"/>
                <w:b w:val="1"/>
                <w:bCs w:val="1"/>
                <w:i w:val="1"/>
                <w:iCs w:val="1"/>
                <w:color w:val="auto"/>
                <w:w w:val="91"/>
              </w:rPr>
              <w:t>(in thousands)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2020</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364,761</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15,766</w:t>
            </w: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158</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1,188,673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(640,909)</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2,641</w:t>
            </w: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ind w:left="240"/>
              <w:spacing w:after="0"/>
              <w:rPr>
                <w:sz w:val="20"/>
                <w:szCs w:val="20"/>
                <w:color w:val="auto"/>
              </w:rPr>
            </w:pPr>
            <w:r>
              <w:rPr>
                <w:rFonts w:ascii="Arial" w:cs="Arial" w:eastAsia="Arial" w:hAnsi="Arial"/>
                <w:sz w:val="15"/>
                <w:szCs w:val="15"/>
                <w:b w:val="1"/>
                <w:bCs w:val="1"/>
                <w:color w:val="auto"/>
                <w:w w:val="93"/>
              </w:rPr>
              <w:t>(183,161)</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Net income and comprehensive income</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19,049</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85"/>
              <w:spacing w:after="0"/>
              <w:rPr>
                <w:sz w:val="20"/>
                <w:szCs w:val="20"/>
                <w:color w:val="auto"/>
              </w:rPr>
            </w:pPr>
            <w:r>
              <w:rPr>
                <w:rFonts w:ascii="Arial" w:cs="Arial" w:eastAsia="Arial" w:hAnsi="Arial"/>
                <w:sz w:val="15"/>
                <w:szCs w:val="15"/>
                <w:color w:val="auto"/>
              </w:rPr>
              <w:t>19,049</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16,436</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16,436</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line="149" w:lineRule="exact"/>
              <w:rPr>
                <w:sz w:val="20"/>
                <w:szCs w:val="20"/>
                <w:color w:val="auto"/>
              </w:rPr>
            </w:pPr>
            <w:r>
              <w:rPr>
                <w:rFonts w:ascii="Arial" w:cs="Arial" w:eastAsia="Arial" w:hAnsi="Arial"/>
                <w:sz w:val="15"/>
                <w:szCs w:val="15"/>
                <w:color w:val="auto"/>
              </w:rPr>
              <w:t>Issuance of common stock for stock options,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140"/>
              <w:spacing w:after="0" w:line="149" w:lineRule="exact"/>
              <w:rPr>
                <w:sz w:val="20"/>
                <w:szCs w:val="20"/>
                <w:color w:val="auto"/>
              </w:rPr>
            </w:pPr>
            <w:r>
              <w:rPr>
                <w:rFonts w:ascii="Arial" w:cs="Arial" w:eastAsia="Arial" w:hAnsi="Arial"/>
                <w:sz w:val="15"/>
                <w:szCs w:val="15"/>
                <w:color w:val="auto"/>
                <w:w w:val="92"/>
              </w:rPr>
              <w:t>restricted stock awards and restricted stock units,</w:t>
            </w:r>
          </w:p>
        </w:tc>
        <w:tc>
          <w:tcPr>
            <w:tcW w:w="240" w:type="dxa"/>
            <w:vAlign w:val="bottom"/>
          </w:tcPr>
          <w:p>
            <w:pPr>
              <w:spacing w:after="0"/>
              <w:rPr>
                <w:sz w:val="12"/>
                <w:szCs w:val="12"/>
                <w:color w:val="auto"/>
              </w:rPr>
            </w:pPr>
          </w:p>
        </w:tc>
        <w:tc>
          <w:tcPr>
            <w:tcW w:w="900" w:type="dxa"/>
            <w:vAlign w:val="bottom"/>
            <w:vMerge w:val="restart"/>
          </w:tcPr>
          <w:p>
            <w:pPr>
              <w:jc w:val="right"/>
              <w:ind w:right="64"/>
              <w:spacing w:after="0"/>
              <w:rPr>
                <w:sz w:val="20"/>
                <w:szCs w:val="20"/>
                <w:color w:val="auto"/>
              </w:rPr>
            </w:pPr>
            <w:r>
              <w:rPr>
                <w:rFonts w:ascii="Arial" w:cs="Arial" w:eastAsia="Arial" w:hAnsi="Arial"/>
                <w:sz w:val="15"/>
                <w:szCs w:val="15"/>
                <w:color w:val="auto"/>
              </w:rPr>
              <w:t>(4,801)</w:t>
            </w:r>
          </w:p>
        </w:tc>
        <w:tc>
          <w:tcPr>
            <w:tcW w:w="1080" w:type="dxa"/>
            <w:vAlign w:val="bottom"/>
            <w:vMerge w:val="restart"/>
          </w:tcPr>
          <w:p>
            <w:pPr>
              <w:jc w:val="right"/>
              <w:ind w:right="45"/>
              <w:spacing w:after="0"/>
              <w:rPr>
                <w:sz w:val="20"/>
                <w:szCs w:val="20"/>
                <w:color w:val="auto"/>
              </w:rPr>
            </w:pPr>
            <w:r>
              <w:rPr>
                <w:rFonts w:ascii="Arial" w:cs="Arial" w:eastAsia="Arial" w:hAnsi="Arial"/>
                <w:sz w:val="15"/>
                <w:szCs w:val="15"/>
                <w:color w:val="auto"/>
              </w:rPr>
              <w:t>31</w:t>
            </w: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2"/>
                <w:szCs w:val="12"/>
                <w:color w:val="auto"/>
              </w:rPr>
            </w:pPr>
          </w:p>
        </w:tc>
        <w:tc>
          <w:tcPr>
            <w:tcW w:w="940" w:type="dxa"/>
            <w:vAlign w:val="bottom"/>
            <w:vMerge w:val="restart"/>
          </w:tcPr>
          <w:p>
            <w:pPr>
              <w:jc w:val="right"/>
              <w:ind w:right="6"/>
              <w:spacing w:after="0"/>
              <w:rPr>
                <w:sz w:val="20"/>
                <w:szCs w:val="20"/>
                <w:color w:val="auto"/>
              </w:rPr>
            </w:pPr>
            <w:r>
              <w:rPr>
                <w:rFonts w:ascii="Arial" w:cs="Arial" w:eastAsia="Arial" w:hAnsi="Arial"/>
                <w:sz w:val="15"/>
                <w:szCs w:val="15"/>
                <w:color w:val="auto"/>
              </w:rPr>
              <w:t>(4,801)</w:t>
            </w:r>
          </w:p>
        </w:tc>
        <w:tc>
          <w:tcPr>
            <w:tcW w:w="200" w:type="dxa"/>
            <w:vAlign w:val="bottom"/>
          </w:tcPr>
          <w:p>
            <w:pPr>
              <w:spacing w:after="0"/>
              <w:rPr>
                <w:sz w:val="12"/>
                <w:szCs w:val="12"/>
                <w:color w:val="auto"/>
              </w:rPr>
            </w:pPr>
          </w:p>
        </w:tc>
        <w:tc>
          <w:tcPr>
            <w:tcW w:w="1160" w:type="dxa"/>
            <w:vAlign w:val="bottom"/>
            <w:vMerge w:val="restart"/>
          </w:tcPr>
          <w:p>
            <w:pPr>
              <w:jc w:val="right"/>
              <w:ind w:right="85"/>
              <w:spacing w:after="0"/>
              <w:rPr>
                <w:sz w:val="20"/>
                <w:szCs w:val="20"/>
                <w:color w:val="auto"/>
              </w:rPr>
            </w:pPr>
            <w:r>
              <w:rPr>
                <w:rFonts w:ascii="Arial" w:cs="Arial" w:eastAsia="Arial" w:hAnsi="Arial"/>
                <w:sz w:val="15"/>
                <w:szCs w:val="15"/>
                <w:color w:val="auto"/>
              </w:rPr>
              <w:t>—</w:t>
            </w:r>
          </w:p>
        </w:tc>
        <w:tc>
          <w:tcPr>
            <w:tcW w:w="108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860" w:type="dxa"/>
            <w:vAlign w:val="bottom"/>
            <w:vMerge w:val="restart"/>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net of withholding taxes</w:t>
            </w: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as of March 31, 2021</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395,443</w:t>
            </w: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5"/>
                <w:szCs w:val="15"/>
                <w:b w:val="1"/>
                <w:bCs w:val="1"/>
                <w:color w:val="auto"/>
              </w:rPr>
              <w:t>15,797</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1,200,306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(621,860)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2,641</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w w:val="93"/>
              </w:rPr>
              <w:t>(183,161)</w:t>
            </w:r>
          </w:p>
        </w:tc>
        <w:tc>
          <w:tcPr>
            <w:tcW w:w="0" w:type="dxa"/>
            <w:vAlign w:val="bottom"/>
          </w:tcPr>
          <w:p>
            <w:pPr>
              <w:spacing w:after="0"/>
              <w:rPr>
                <w:sz w:val="1"/>
                <w:szCs w:val="1"/>
                <w:color w:val="auto"/>
              </w:rPr>
            </w:pPr>
          </w:p>
        </w:tc>
      </w:tr>
      <w:tr>
        <w:trPr>
          <w:trHeight w:val="615"/>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center"/>
              <w:ind w:right="126"/>
              <w:spacing w:after="0" w:line="122"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0"/>
                <w:szCs w:val="10"/>
                <w:color w:val="auto"/>
              </w:rPr>
            </w:pPr>
          </w:p>
        </w:tc>
        <w:tc>
          <w:tcPr>
            <w:tcW w:w="1160" w:type="dxa"/>
            <w:vAlign w:val="bottom"/>
            <w:vMerge w:val="restart"/>
          </w:tcPr>
          <w:p>
            <w:pPr>
              <w:jc w:val="center"/>
              <w:ind w:right="165"/>
              <w:spacing w:after="0"/>
              <w:rPr>
                <w:sz w:val="20"/>
                <w:szCs w:val="20"/>
                <w:color w:val="auto"/>
              </w:rPr>
            </w:pPr>
            <w:r>
              <w:rPr>
                <w:rFonts w:ascii="Arial" w:cs="Arial" w:eastAsia="Arial" w:hAnsi="Arial"/>
                <w:sz w:val="14"/>
                <w:szCs w:val="14"/>
                <w:b w:val="1"/>
                <w:bCs w:val="1"/>
                <w:color w:val="auto"/>
                <w:w w:val="90"/>
              </w:rPr>
              <w:t>Accumulated</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1"/>
                <w:szCs w:val="11"/>
                <w:color w:val="auto"/>
              </w:rPr>
            </w:pPr>
          </w:p>
        </w:tc>
        <w:tc>
          <w:tcPr>
            <w:tcW w:w="940" w:type="dxa"/>
            <w:vAlign w:val="bottom"/>
          </w:tcPr>
          <w:p>
            <w:pPr>
              <w:jc w:val="center"/>
              <w:ind w:right="126"/>
              <w:spacing w:after="0" w:line="135"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93"/>
              </w:rPr>
              <w:t>Deficit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Arial" w:cs="Arial" w:eastAsia="Arial" w:hAnsi="Arial"/>
                <w:sz w:val="13"/>
                <w:szCs w:val="13"/>
                <w:b w:val="1"/>
                <w:bCs w:val="1"/>
                <w:i w:val="1"/>
                <w:iCs w:val="1"/>
                <w:color w:val="auto"/>
                <w:w w:val="91"/>
              </w:rPr>
              <w:t>(in thousands)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2019</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402,326</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15,677</w:t>
            </w: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157</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1,177,984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(592,654)</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2,641</w:t>
            </w: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ind w:left="240"/>
              <w:spacing w:after="0"/>
              <w:rPr>
                <w:sz w:val="20"/>
                <w:szCs w:val="20"/>
                <w:color w:val="auto"/>
              </w:rPr>
            </w:pPr>
            <w:r>
              <w:rPr>
                <w:rFonts w:ascii="Arial" w:cs="Arial" w:eastAsia="Arial" w:hAnsi="Arial"/>
                <w:sz w:val="15"/>
                <w:szCs w:val="15"/>
                <w:b w:val="1"/>
                <w:bCs w:val="1"/>
                <w:color w:val="auto"/>
                <w:w w:val="93"/>
              </w:rPr>
              <w:t>(183,161)</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Net income and comprehensive income</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14,401</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85"/>
              <w:spacing w:after="0"/>
              <w:rPr>
                <w:sz w:val="20"/>
                <w:szCs w:val="20"/>
                <w:color w:val="auto"/>
              </w:rPr>
            </w:pPr>
            <w:r>
              <w:rPr>
                <w:rFonts w:ascii="Arial" w:cs="Arial" w:eastAsia="Arial" w:hAnsi="Arial"/>
                <w:sz w:val="15"/>
                <w:szCs w:val="15"/>
                <w:color w:val="auto"/>
              </w:rPr>
              <w:t>14,401</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11,917</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11,917</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line="149" w:lineRule="exact"/>
              <w:rPr>
                <w:sz w:val="20"/>
                <w:szCs w:val="20"/>
                <w:color w:val="auto"/>
              </w:rPr>
            </w:pPr>
            <w:r>
              <w:rPr>
                <w:rFonts w:ascii="Arial" w:cs="Arial" w:eastAsia="Arial" w:hAnsi="Arial"/>
                <w:sz w:val="15"/>
                <w:szCs w:val="15"/>
                <w:color w:val="auto"/>
              </w:rPr>
              <w:t>Issuance of common stock for stock options,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140"/>
              <w:spacing w:after="0" w:line="149" w:lineRule="exact"/>
              <w:rPr>
                <w:sz w:val="20"/>
                <w:szCs w:val="20"/>
                <w:color w:val="auto"/>
              </w:rPr>
            </w:pPr>
            <w:r>
              <w:rPr>
                <w:rFonts w:ascii="Arial" w:cs="Arial" w:eastAsia="Arial" w:hAnsi="Arial"/>
                <w:sz w:val="15"/>
                <w:szCs w:val="15"/>
                <w:color w:val="auto"/>
                <w:w w:val="92"/>
              </w:rPr>
              <w:t>restricted stock awards and restricted stock units,</w:t>
            </w:r>
          </w:p>
        </w:tc>
        <w:tc>
          <w:tcPr>
            <w:tcW w:w="240" w:type="dxa"/>
            <w:vAlign w:val="bottom"/>
          </w:tcPr>
          <w:p>
            <w:pPr>
              <w:spacing w:after="0"/>
              <w:rPr>
                <w:sz w:val="12"/>
                <w:szCs w:val="12"/>
                <w:color w:val="auto"/>
              </w:rPr>
            </w:pPr>
          </w:p>
        </w:tc>
        <w:tc>
          <w:tcPr>
            <w:tcW w:w="900" w:type="dxa"/>
            <w:vAlign w:val="bottom"/>
            <w:vMerge w:val="restart"/>
          </w:tcPr>
          <w:p>
            <w:pPr>
              <w:jc w:val="right"/>
              <w:ind w:right="64"/>
              <w:spacing w:after="0"/>
              <w:rPr>
                <w:sz w:val="20"/>
                <w:szCs w:val="20"/>
                <w:color w:val="auto"/>
              </w:rPr>
            </w:pPr>
            <w:r>
              <w:rPr>
                <w:rFonts w:ascii="Arial" w:cs="Arial" w:eastAsia="Arial" w:hAnsi="Arial"/>
                <w:sz w:val="15"/>
                <w:szCs w:val="15"/>
                <w:color w:val="auto"/>
              </w:rPr>
              <w:t>(5,087)</w:t>
            </w:r>
          </w:p>
        </w:tc>
        <w:tc>
          <w:tcPr>
            <w:tcW w:w="1080" w:type="dxa"/>
            <w:vAlign w:val="bottom"/>
            <w:vMerge w:val="restart"/>
          </w:tcPr>
          <w:p>
            <w:pPr>
              <w:jc w:val="right"/>
              <w:ind w:right="45"/>
              <w:spacing w:after="0"/>
              <w:rPr>
                <w:sz w:val="20"/>
                <w:szCs w:val="20"/>
                <w:color w:val="auto"/>
              </w:rPr>
            </w:pPr>
            <w:r>
              <w:rPr>
                <w:rFonts w:ascii="Arial" w:cs="Arial" w:eastAsia="Arial" w:hAnsi="Arial"/>
                <w:sz w:val="15"/>
                <w:szCs w:val="15"/>
                <w:color w:val="auto"/>
              </w:rPr>
              <w:t>27</w:t>
            </w: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2"/>
                <w:szCs w:val="12"/>
                <w:color w:val="auto"/>
              </w:rPr>
            </w:pPr>
          </w:p>
        </w:tc>
        <w:tc>
          <w:tcPr>
            <w:tcW w:w="940" w:type="dxa"/>
            <w:vAlign w:val="bottom"/>
            <w:vMerge w:val="restart"/>
          </w:tcPr>
          <w:p>
            <w:pPr>
              <w:jc w:val="right"/>
              <w:ind w:right="6"/>
              <w:spacing w:after="0"/>
              <w:rPr>
                <w:sz w:val="20"/>
                <w:szCs w:val="20"/>
                <w:color w:val="auto"/>
              </w:rPr>
            </w:pPr>
            <w:r>
              <w:rPr>
                <w:rFonts w:ascii="Arial" w:cs="Arial" w:eastAsia="Arial" w:hAnsi="Arial"/>
                <w:sz w:val="15"/>
                <w:szCs w:val="15"/>
                <w:color w:val="auto"/>
              </w:rPr>
              <w:t>(5,087)</w:t>
            </w:r>
          </w:p>
        </w:tc>
        <w:tc>
          <w:tcPr>
            <w:tcW w:w="200" w:type="dxa"/>
            <w:vAlign w:val="bottom"/>
          </w:tcPr>
          <w:p>
            <w:pPr>
              <w:spacing w:after="0"/>
              <w:rPr>
                <w:sz w:val="12"/>
                <w:szCs w:val="12"/>
                <w:color w:val="auto"/>
              </w:rPr>
            </w:pPr>
          </w:p>
        </w:tc>
        <w:tc>
          <w:tcPr>
            <w:tcW w:w="1160" w:type="dxa"/>
            <w:vAlign w:val="bottom"/>
            <w:vMerge w:val="restart"/>
          </w:tcPr>
          <w:p>
            <w:pPr>
              <w:jc w:val="right"/>
              <w:ind w:right="85"/>
              <w:spacing w:after="0"/>
              <w:rPr>
                <w:sz w:val="20"/>
                <w:szCs w:val="20"/>
                <w:color w:val="auto"/>
              </w:rPr>
            </w:pPr>
            <w:r>
              <w:rPr>
                <w:rFonts w:ascii="Arial" w:cs="Arial" w:eastAsia="Arial" w:hAnsi="Arial"/>
                <w:sz w:val="15"/>
                <w:szCs w:val="15"/>
                <w:color w:val="auto"/>
              </w:rPr>
              <w:t>—</w:t>
            </w:r>
          </w:p>
        </w:tc>
        <w:tc>
          <w:tcPr>
            <w:tcW w:w="108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860" w:type="dxa"/>
            <w:vAlign w:val="bottom"/>
            <w:vMerge w:val="restart"/>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net of withholding taxes</w:t>
            </w: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rPr>
              <w:t>1</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as of March 31, 2020</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423,557</w:t>
            </w: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5"/>
                <w:szCs w:val="15"/>
                <w:b w:val="1"/>
                <w:bCs w:val="1"/>
                <w:color w:val="auto"/>
              </w:rPr>
              <w:t>15,704</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1,184,813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(578,252)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2,641</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w w:val="93"/>
              </w:rPr>
              <w:t>(183,161)</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2020</w:t>
            </w:r>
          </w:p>
        </w:tc>
      </w:tr>
      <w:tr>
        <w:trPr>
          <w:trHeight w:val="180"/>
        </w:trPr>
        <w:tc>
          <w:tcPr>
            <w:tcW w:w="8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5"/>
                <w:szCs w:val="15"/>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 attributable to continuing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6"/>
        </w:trPr>
        <w:tc>
          <w:tcPr>
            <w:tcW w:w="8720" w:type="dxa"/>
            <w:vAlign w:val="bottom"/>
          </w:tcPr>
          <w:p>
            <w:pPr>
              <w:ind w:left="140"/>
              <w:spacing w:after="0"/>
              <w:rPr>
                <w:sz w:val="20"/>
                <w:szCs w:val="20"/>
                <w:color w:val="auto"/>
              </w:rPr>
            </w:pPr>
            <w:r>
              <w:rPr>
                <w:rFonts w:ascii="Arial" w:cs="Arial" w:eastAsia="Arial" w:hAnsi="Arial"/>
                <w:sz w:val="17"/>
                <w:szCs w:val="17"/>
                <w:b w:val="1"/>
                <w:bCs w:val="1"/>
                <w:color w:val="auto"/>
              </w:rPr>
              <w:t>Net income and comprehensive income</w:t>
            </w: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19,049</w:t>
            </w:r>
          </w:p>
        </w:tc>
        <w:tc>
          <w:tcPr>
            <w:tcW w:w="480" w:type="dxa"/>
            <w:vAlign w:val="bottom"/>
          </w:tcPr>
          <w:p>
            <w:pPr>
              <w:jc w:val="right"/>
              <w:ind w:right="235"/>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14,401</w:t>
            </w:r>
          </w:p>
        </w:tc>
      </w:tr>
      <w:tr>
        <w:trPr>
          <w:trHeight w:val="216"/>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Less: Loss from discontinued operations, net of tax</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263</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4,575</w:t>
            </w:r>
          </w:p>
        </w:tc>
      </w:tr>
      <w:tr>
        <w:trPr>
          <w:trHeight w:val="209"/>
        </w:trPr>
        <w:tc>
          <w:tcPr>
            <w:tcW w:w="8720" w:type="dxa"/>
            <w:vAlign w:val="bottom"/>
          </w:tcPr>
          <w:p>
            <w:pPr>
              <w:ind w:left="140"/>
              <w:spacing w:after="0"/>
              <w:rPr>
                <w:sz w:val="20"/>
                <w:szCs w:val="20"/>
                <w:color w:val="auto"/>
              </w:rPr>
            </w:pPr>
            <w:r>
              <w:rPr>
                <w:rFonts w:ascii="Arial" w:cs="Arial" w:eastAsia="Arial" w:hAnsi="Arial"/>
                <w:sz w:val="17"/>
                <w:szCs w:val="17"/>
                <w:color w:val="auto"/>
              </w:rPr>
              <w:t>Income from continuing operations</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19,312</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18,976</w:t>
            </w:r>
          </w:p>
        </w:tc>
      </w:tr>
      <w:tr>
        <w:trPr>
          <w:trHeight w:val="162"/>
        </w:trPr>
        <w:tc>
          <w:tcPr>
            <w:tcW w:w="8720" w:type="dxa"/>
            <w:vAlign w:val="bottom"/>
            <w:shd w:val="clear" w:color="auto" w:fill="CCEEFF"/>
          </w:tcPr>
          <w:p>
            <w:pPr>
              <w:ind w:left="140"/>
              <w:spacing w:after="0" w:line="162" w:lineRule="exact"/>
              <w:rPr>
                <w:sz w:val="20"/>
                <w:szCs w:val="20"/>
                <w:color w:val="auto"/>
              </w:rPr>
            </w:pPr>
            <w:r>
              <w:rPr>
                <w:rFonts w:ascii="Arial" w:cs="Arial" w:eastAsia="Arial" w:hAnsi="Arial"/>
                <w:sz w:val="17"/>
                <w:szCs w:val="17"/>
                <w:color w:val="auto"/>
                <w:w w:val="96"/>
              </w:rPr>
              <w:t>Adjustments to reconcile income from continuing operations to net cash provided by operating activities attributable to</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1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continuing operations: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Loss on disposal of assets</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348</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530</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intangibles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11,312</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13,757</w:t>
            </w: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Depreciation</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3,718</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3,378</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Non-cash compensation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16,436</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11,917</w:t>
            </w: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8,638</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(3,061)</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fair value of contingent consideration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797</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(8,122)</w:t>
            </w: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Unrealized gain on investments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(40,072)</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Bad debt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516</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w:t>
            </w: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Amortization of debt issuance costs</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1,275</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582</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convertible debt discount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7,346</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3,111</w:t>
            </w: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Reduction in carrying amount of ROU asset, offset by change in operating lease liabilities</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7,132</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(196)</w:t>
            </w:r>
          </w:p>
        </w:tc>
      </w:tr>
      <w:tr>
        <w:trPr>
          <w:trHeight w:val="21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Changes in current assets and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Accounts receivable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(33,743)</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(6,952)</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and other current assets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(1,430)</w:t>
            </w: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Accounts payable, accrued expenses and other current liabilities</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7,154</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(3,271)</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taxes receivable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r>
      <w:tr>
        <w:trPr>
          <w:trHeight w:val="216"/>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net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(862)</w:t>
            </w:r>
          </w:p>
        </w:tc>
      </w:tr>
      <w:tr>
        <w:trPr>
          <w:trHeight w:val="209"/>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provided by operating activities attributable to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8,925</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29,302</w:t>
            </w:r>
          </w:p>
        </w:tc>
      </w:tr>
      <w:tr>
        <w:trPr>
          <w:trHeight w:val="210"/>
        </w:trPr>
        <w:tc>
          <w:tcPr>
            <w:tcW w:w="8720" w:type="dxa"/>
            <w:vAlign w:val="bottom"/>
          </w:tcPr>
          <w:p>
            <w:pPr>
              <w:ind w:left="20"/>
              <w:spacing w:after="0"/>
              <w:rPr>
                <w:sz w:val="20"/>
                <w:szCs w:val="20"/>
                <w:color w:val="auto"/>
              </w:rPr>
            </w:pPr>
            <w:r>
              <w:rPr>
                <w:rFonts w:ascii="Arial" w:cs="Arial" w:eastAsia="Arial" w:hAnsi="Arial"/>
                <w:sz w:val="17"/>
                <w:szCs w:val="17"/>
                <w:color w:val="auto"/>
              </w:rPr>
              <w:t>Cash flows from investing activities attributable to continuing operations: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Capital expenditures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(10,553)</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(4,189)</w:t>
            </w:r>
          </w:p>
        </w:tc>
      </w:tr>
      <w:tr>
        <w:trPr>
          <w:trHeight w:val="216"/>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Equity investment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(1,180)</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(80,000)</w:t>
            </w:r>
          </w:p>
        </w:tc>
      </w:tr>
      <w:tr>
        <w:trPr>
          <w:trHeight w:val="21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in investing activities attributable to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(11,733)</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(84,189)</w:t>
            </w:r>
          </w:p>
        </w:tc>
      </w:tr>
      <w:tr>
        <w:trPr>
          <w:trHeight w:val="209"/>
        </w:trPr>
        <w:tc>
          <w:tcPr>
            <w:tcW w:w="8720" w:type="dxa"/>
            <w:vAlign w:val="bottom"/>
          </w:tcPr>
          <w:p>
            <w:pPr>
              <w:ind w:left="20"/>
              <w:spacing w:after="0"/>
              <w:rPr>
                <w:sz w:val="20"/>
                <w:szCs w:val="20"/>
                <w:color w:val="auto"/>
              </w:rPr>
            </w:pPr>
            <w:r>
              <w:rPr>
                <w:rFonts w:ascii="Arial" w:cs="Arial" w:eastAsia="Arial" w:hAnsi="Arial"/>
                <w:sz w:val="17"/>
                <w:szCs w:val="17"/>
                <w:color w:val="auto"/>
              </w:rPr>
              <w:t>Cash flows from financing activities attributable to continuing operations: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5"/>
              </w:rPr>
              <w:t>Payments related to net-share settlement of stock-based compensation, net of proceeds from exercise of stock options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(4,801)</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(5,087)</w:t>
            </w:r>
          </w:p>
        </w:tc>
      </w:tr>
      <w:tr>
        <w:trPr>
          <w:trHeight w:val="216"/>
        </w:trPr>
        <w:tc>
          <w:tcPr>
            <w:tcW w:w="8720" w:type="dxa"/>
            <w:vAlign w:val="bottom"/>
          </w:tcPr>
          <w:p>
            <w:pPr>
              <w:ind w:left="140"/>
              <w:spacing w:after="0"/>
              <w:rPr>
                <w:sz w:val="20"/>
                <w:szCs w:val="20"/>
                <w:color w:val="auto"/>
              </w:rPr>
            </w:pPr>
            <w:r>
              <w:rPr>
                <w:rFonts w:ascii="Arial" w:cs="Arial" w:eastAsia="Arial" w:hAnsi="Arial"/>
                <w:sz w:val="17"/>
                <w:szCs w:val="17"/>
                <w:color w:val="auto"/>
              </w:rPr>
              <w:t>Net proceeds from revolving credit facility</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55,000</w:t>
            </w:r>
          </w:p>
        </w:tc>
      </w:tr>
      <w:tr>
        <w:trPr>
          <w:trHeight w:val="21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 of debt issuance costs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r>
      <w:tr>
        <w:trPr>
          <w:trHeight w:val="216"/>
        </w:trPr>
        <w:tc>
          <w:tcPr>
            <w:tcW w:w="8720" w:type="dxa"/>
            <w:vAlign w:val="bottom"/>
          </w:tcPr>
          <w:p>
            <w:pPr>
              <w:ind w:left="140"/>
              <w:spacing w:after="0"/>
              <w:rPr>
                <w:sz w:val="20"/>
                <w:szCs w:val="20"/>
                <w:color w:val="auto"/>
              </w:rPr>
            </w:pPr>
            <w:r>
              <w:rPr>
                <w:rFonts w:ascii="Arial" w:cs="Arial" w:eastAsia="Arial" w:hAnsi="Arial"/>
                <w:sz w:val="17"/>
                <w:szCs w:val="17"/>
                <w:color w:val="auto"/>
              </w:rPr>
              <w:t>Contingent consideration payments</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(3,000)</w:t>
            </w:r>
          </w:p>
        </w:tc>
      </w:tr>
      <w:tr>
        <w:trPr>
          <w:trHeight w:val="216"/>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1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cash (used in) provided by financing activities attributable to continuing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(5,000)</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46,601</w:t>
            </w:r>
          </w:p>
        </w:tc>
      </w:tr>
      <w:tr>
        <w:trPr>
          <w:trHeight w:val="21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cash used in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(7,808)</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(8,286)</w:t>
            </w:r>
          </w:p>
        </w:tc>
      </w:tr>
      <w:tr>
        <w:trPr>
          <w:trHeight w:val="209"/>
        </w:trPr>
        <w:tc>
          <w:tcPr>
            <w:tcW w:w="8720" w:type="dxa"/>
            <w:vAlign w:val="bottom"/>
          </w:tcPr>
          <w:p>
            <w:pPr>
              <w:ind w:left="20"/>
              <w:spacing w:after="0"/>
              <w:rPr>
                <w:sz w:val="20"/>
                <w:szCs w:val="20"/>
                <w:color w:val="auto"/>
              </w:rPr>
            </w:pPr>
            <w:r>
              <w:rPr>
                <w:rFonts w:ascii="Arial" w:cs="Arial" w:eastAsia="Arial" w:hAnsi="Arial"/>
                <w:sz w:val="17"/>
                <w:szCs w:val="17"/>
                <w:color w:val="auto"/>
              </w:rPr>
              <w:t>Discontinued operations: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Net cash used in operating activities attributable to 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(752)</w:t>
            </w:r>
          </w:p>
        </w:tc>
      </w:tr>
      <w:tr>
        <w:trPr>
          <w:trHeight w:val="21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cash used in discontinued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(752)</w:t>
            </w:r>
          </w:p>
        </w:tc>
      </w:tr>
      <w:tr>
        <w:trPr>
          <w:trHeight w:val="209"/>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decrease in cash, cash equivalents, restricted cash and restricted cash equivalents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(7,879)</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(9,038)</w:t>
            </w:r>
          </w:p>
        </w:tc>
      </w:tr>
      <w:tr>
        <w:trPr>
          <w:trHeight w:val="216"/>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cash equivalents, restricted cash and restricted cash equivalents at beginning of period</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170,049</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60,339</w:t>
            </w:r>
          </w:p>
        </w:tc>
      </w:tr>
      <w:tr>
        <w:trPr>
          <w:trHeight w:val="216"/>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restricted cash and restricted cash equivalents at end of period</w:t>
            </w: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162,170</w:t>
            </w:r>
          </w:p>
        </w:tc>
        <w:tc>
          <w:tcPr>
            <w:tcW w:w="48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51,301</w:t>
            </w: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and LendingTree, LLC owns several companies (collectively, "LendingTree" or the "Company").</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reverse mortgage loans, auto loans, credit cards, deposit accounts, personal loans, student loans, small business loans, insurance quotes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except Home Loan Center, Inc. ("HLC") subsequent to its bankruptcy filing on July 21, 2019 which resulted in the Company's loss of a controlling interest in HLC under applicable accounting standards. Intercompany transactions and accounts have been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LendingTree Loans business, which consisted of originating various consumer mortgage loans through HLC (the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17</w:t>
      </w:r>
      <w:r>
        <w:rPr>
          <w:rFonts w:ascii="Arial" w:cs="Arial" w:eastAsia="Arial" w:hAnsi="Arial"/>
          <w:sz w:val="18"/>
          <w:szCs w:val="18"/>
          <w:b w:val="1"/>
          <w:bCs w:val="1"/>
          <w:color w:val="auto"/>
        </w:rPr>
        <w:t>—</w:t>
      </w:r>
      <w:r>
        <w:rPr>
          <w:rFonts w:ascii="Arial" w:cs="Arial" w:eastAsia="Arial" w:hAnsi="Arial"/>
          <w:sz w:val="18"/>
          <w:szCs w:val="18"/>
          <w:color w:val="auto"/>
        </w:rPr>
        <w:t>Discontinued Operations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accompanying unaudited interim consolidated financial statements as of March 31, 2021 and for the three months ended March 31, 2021 and 2020,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months ended March 31, 2021 are not necessarily indicative of the results to be expected for the year ending December 31, 2021, or any other period. The accompanying consolidated balance sheet as of December 31, 2020 was derived from audited financial statements included in the Company's annual report on Form 10-K for the year ended December 31, 2020 (the "2020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2020 Annual Report.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the recoverability of long-lived assets, goodwill and intangible assets; the determination of income taxes payable and deferred income taxes, including related valuation allowances; fair value of assets acquired in a business combination; contingent consideration related to business combinations; litigation accruals; HLC ownership related claims; contract assets; various other allowances, reserves and accruals; assumptions related to the determination of stock-based compensation; and the determination of right-of-use assets and lease liabilities.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considered the impact of the COVID-19 pandemic on the assumptions and estimates used when preparing its financial statements including, but not limited to, the allowance for doubtful accounts, valuation allowances, contract asset and contingent consideration. These assumptions and estimates may change as new events occur and additional information is obtained. If economic conditions caused by the COVID-19 pandemic do not recover as currently estimated by management, such future changes may have an adverse impact on the Company's results of operations, financial position and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Financial instruments, which potentially subject the Company to concentration of credit risk at March 31, 2021,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fluctuations may negatively impact future revenue from the Company's marketplace.</w:t>
      </w:r>
    </w:p>
    <w:p>
      <w:pPr>
        <w:spacing w:after="0" w:line="14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than a support services office in India, the Company's operations are geographically limited to and dependent upon the economic condition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December 2019, the Financial Accounting Standards Board ("FASB") issued Accounting Standards Update ("ASU") 2019-12, which simplifies the accounting for income taxes by removing certain exceptions to the general principles in ASC Topic 740, Income Taxes, and clarifies certain aspects of the current guidance to improve consistency among reporting entities. This ASU is effective for annual and interim reporting periods beginning after December 15, 2020. Early adoption was permitted, including adoption in interim periods. Entities electing early adoption were required to adopt all amendments in the same period. Most amendments require prospective application while others are to be applied on a retrospective basis for all periods presented or a modified retrospective basis through a cumulative-effect adjustment to retained earnings as of the beginning of the fiscal year of adoption. The Company adopted ASU 2019-12 in the first quarter of 2021. The amendments applicable to the Company required prospective application, and do not have material impacts to its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August 2020, the FASB issued ASU 2020-06, which simplifies the accounting for convertible instruments, amends the derivatives scope exception guidance for contracts in an entity’s own equity, and amends the related earnings-per-share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guidance. This ASU is effective for annual and interim reporting periods beginning after December 15, 2021. Early adoption is permitted for fiscal years beginning after December 15, 2020, including adoption in interim periods. An entity should adopt the guidance as of the beginning of its annual fiscal year. An entity may adopt the amendments through either a modified retrospective method of transition or a fully retrospective method of transition. The Company expects the amendments to impact its convertible senior notes and warrants issued and is evaluating the impact this ASU will have on its consolidated financial statements and whether to early adopt.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128,125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79,174</w:t>
            </w: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Credit cards</w:t>
            </w:r>
          </w:p>
        </w:tc>
        <w:tc>
          <w:tcPr>
            <w:tcW w:w="3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17,637</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51,586</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Personal loans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14,868</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31,509</w:t>
            </w:r>
          </w:p>
        </w:tc>
      </w:tr>
      <w:tr>
        <w:trPr>
          <w:trHeight w:val="229"/>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Consumer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25,402</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36,829</w:t>
            </w: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Consumer</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57,907</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119,924</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Insurance</w:t>
            </w:r>
          </w:p>
        </w:tc>
        <w:tc>
          <w:tcPr>
            <w:tcW w:w="3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86,614</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82,737</w:t>
            </w: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30"/>
        </w:trPr>
        <w:tc>
          <w:tcPr>
            <w:tcW w:w="87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272,750</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283,084</w:t>
            </w: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 from Consumer products is generated by match and other upfront fees for clicks or call transfers, as well as from closing fees, approval fees and upfront service and subscription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Upfront service fees and subscription fees are derived from consumers in the Company's credit services product. Upfront fees paid by consumers are recognized as revenue over the estimated time the consumer will remain a customer and receive services. Subscription fees are recognized over the period a consumer is receiving services.</w:t>
      </w:r>
    </w:p>
    <w:p>
      <w:pPr>
        <w:spacing w:after="0" w:line="1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recognizes revenue on closing fees and approval fees 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to the match fee consideration is contemporaneous with the satisfaction of the performance obligation to deliver a consumer request to the customer.</w:t>
      </w:r>
    </w:p>
    <w:p>
      <w:pPr>
        <w:spacing w:after="0" w:line="18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contract asset recorded within prepaid and other current assets on the consolidated balance sheets related to estimated variable consideration in the Company's Consumer business was $7.1 million and $6.4 million at March 31, 2021 and December 31, 2020, respectively.</w:t>
      </w:r>
    </w:p>
    <w:p>
      <w:pPr>
        <w:spacing w:after="0" w:line="9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contract liability recorded within accrued expenses and other current liabilities on the consolidated balance sheets related to upfront fees paid by consumers in the Company's Consumer business was $1.0 million and $0.7 million at March 31, 2021 and December 31, 2020, respectively. During the first quarter of 2021, the Company recognized revenue of $0.6 million that was included in the contract liability balance at December 31, 2020. During the first quarter of 2020, the Company recognized revenue of $0.5 million that was included in the contract liability balance at December 31, 2019.</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recognized increases to such revenue from prior periods of $0.3 million and $0.1 million in the first quarters of 2021 and 2020,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4—CASH AND 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Total cash, cash equivalents, restricted cash and restricted cash equivalents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37"/>
              <w:spacing w:after="0"/>
              <w:rPr>
                <w:sz w:val="20"/>
                <w:szCs w:val="20"/>
                <w:color w:val="auto"/>
              </w:rPr>
            </w:pPr>
            <w:r>
              <w:rPr>
                <w:rFonts w:ascii="Arial" w:cs="Arial" w:eastAsia="Arial" w:hAnsi="Arial"/>
                <w:sz w:val="14"/>
                <w:szCs w:val="14"/>
                <w:b w:val="1"/>
                <w:bCs w:val="1"/>
                <w:color w:val="auto"/>
              </w:rPr>
              <w:t>March 31,</w:t>
            </w: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162,091</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169,932</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 and cash equivalents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79</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cash, cash equivalents, restricted cash and restricted 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162,170</w:t>
            </w: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170,049</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5—ALLOWANCE FOR DOUBTFUL ACCOUNTS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are stated at amounts due from customers, net of an allowance for doubtful accounts.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reconciliation of the beginning and ending balances of the allowance for doubtful accounts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6"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80" w:type="dxa"/>
            <w:vAlign w:val="bottom"/>
            <w:tcBorders>
              <w:bottom w:val="single" w:sz="8" w:color="CCEEFF"/>
            </w:tcBorders>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4"/>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beginning of the period</w:t>
            </w:r>
          </w:p>
        </w:tc>
        <w:tc>
          <w:tcPr>
            <w:tcW w:w="4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1,402</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1,466</w:t>
            </w: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Charges to earnings</w:t>
            </w: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516</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880</w:t>
            </w: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 of uncollectible accounts receivable</w:t>
            </w:r>
          </w:p>
        </w:tc>
        <w:tc>
          <w:tcPr>
            <w:tcW w:w="4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4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Recoveries collected</w:t>
            </w:r>
          </w:p>
        </w:tc>
        <w:tc>
          <w:tcPr>
            <w:tcW w:w="4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end of the period</w:t>
            </w:r>
          </w:p>
        </w:tc>
        <w:tc>
          <w:tcPr>
            <w:tcW w:w="454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1,429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2,021</w:t>
            </w:r>
          </w:p>
        </w:tc>
      </w:tr>
      <w:tr>
        <w:trPr>
          <w:trHeight w:val="904"/>
        </w:trPr>
        <w:tc>
          <w:tcPr>
            <w:tcW w:w="4480" w:type="dxa"/>
            <w:vAlign w:val="bottom"/>
          </w:tcPr>
          <w:p>
            <w:pPr>
              <w:spacing w:after="0"/>
              <w:rPr>
                <w:sz w:val="24"/>
                <w:szCs w:val="24"/>
                <w:color w:val="auto"/>
              </w:rPr>
            </w:pPr>
          </w:p>
        </w:tc>
        <w:tc>
          <w:tcPr>
            <w:tcW w:w="4240" w:type="dxa"/>
            <w:vAlign w:val="bottom"/>
          </w:tcPr>
          <w:p>
            <w:pPr>
              <w:jc w:val="right"/>
              <w:ind w:right="291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net and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55"/>
              <w:spacing w:after="0"/>
              <w:rPr>
                <w:sz w:val="20"/>
                <w:szCs w:val="20"/>
                <w:color w:val="auto"/>
              </w:rPr>
            </w:pPr>
            <w:r>
              <w:rPr>
                <w:rFonts w:ascii="Arial" w:cs="Arial" w:eastAsia="Arial" w:hAnsi="Arial"/>
                <w:sz w:val="14"/>
                <w:szCs w:val="14"/>
                <w:b w:val="1"/>
                <w:bCs w:val="1"/>
                <w:color w:val="auto"/>
              </w:rPr>
              <w:t>March 31,</w:t>
            </w: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903,227</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903,227</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(483,088)</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(483,088)</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goodwill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420,139</w:t>
            </w: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420,139</w:t>
            </w:r>
          </w:p>
        </w:tc>
        <w:tc>
          <w:tcPr>
            <w:tcW w:w="0" w:type="dxa"/>
            <w:vAlign w:val="bottom"/>
          </w:tcPr>
          <w:p>
            <w:pPr>
              <w:spacing w:after="0"/>
              <w:rPr>
                <w:sz w:val="1"/>
                <w:szCs w:val="1"/>
                <w:color w:val="auto"/>
              </w:rPr>
            </w:pPr>
          </w:p>
        </w:tc>
      </w:tr>
      <w:tr>
        <w:trPr>
          <w:trHeight w:val="257"/>
        </w:trPr>
        <w:tc>
          <w:tcPr>
            <w:tcW w:w="8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with indefinite lives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10,142</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Intangible assets with definite lives, net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107,047</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118,360</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117,189</w:t>
            </w: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128,502</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goodwill at each of March 31, 2021 and December 31, 2020 consists of $59.3 million associated with the Home segment, $166.1 million associated with the Consumer segment, and $194.7 million associated with the Insurance segment.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with indefinite lives relate to the Company's trademarks.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80" w:type="dxa"/>
            <w:vAlign w:val="bottom"/>
          </w:tcPr>
          <w:p>
            <w:pPr>
              <w:jc w:val="right"/>
              <w:ind w:right="275"/>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4"/>
                <w:szCs w:val="14"/>
                <w:color w:val="auto"/>
              </w:rPr>
            </w:pPr>
          </w:p>
        </w:tc>
        <w:tc>
          <w:tcPr>
            <w:tcW w:w="10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66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87,700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(53,467)</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34,233</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36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77,300</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(20,087)</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57,213</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17,200</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(10,832)</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Website content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43,200</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(33,967)</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9,233</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225,400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(118,353)</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107,047</w:t>
            </w:r>
          </w:p>
        </w:tc>
        <w:tc>
          <w:tcPr>
            <w:tcW w:w="0" w:type="dxa"/>
            <w:vAlign w:val="bottom"/>
          </w:tcPr>
          <w:p>
            <w:pPr>
              <w:spacing w:after="0"/>
              <w:rPr>
                <w:sz w:val="1"/>
                <w:szCs w:val="1"/>
                <w:color w:val="auto"/>
              </w:rPr>
            </w:pPr>
          </w:p>
        </w:tc>
      </w:tr>
      <w:tr>
        <w:trPr>
          <w:trHeight w:val="338"/>
        </w:trPr>
        <w:tc>
          <w:tcPr>
            <w:tcW w:w="6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24"/>
                <w:szCs w:val="24"/>
                <w:color w:val="auto"/>
              </w:rPr>
            </w:pPr>
          </w:p>
        </w:tc>
        <w:tc>
          <w:tcPr>
            <w:tcW w:w="1280" w:type="dxa"/>
            <w:vAlign w:val="bottom"/>
          </w:tcPr>
          <w:p>
            <w:pPr>
              <w:jc w:val="right"/>
              <w:ind w:right="275"/>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24"/>
                <w:szCs w:val="24"/>
                <w:color w:val="auto"/>
              </w:rPr>
            </w:pPr>
          </w:p>
        </w:tc>
        <w:tc>
          <w:tcPr>
            <w:tcW w:w="10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66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87,700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(48,166)</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39,534</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36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77,300</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(18,560)</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58,740</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17,200</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Website content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43,200</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(30,367)</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12,833</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225,400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(107,040)</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118,360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324"/>
        <w:spacing w:after="0" w:line="269"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March 31, 2021,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92"/>
        </w:trPr>
        <w:tc>
          <w:tcPr>
            <w:tcW w:w="9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5"/>
              </w:rPr>
              <w:t>Amortization Expense</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current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31,425</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Year ending December 31, 2022</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25,256</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2023</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Year ending December 31, 2024</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6,747</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2025</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w:t>
            </w:r>
          </w:p>
        </w:tc>
      </w:tr>
      <w:tr>
        <w:trPr>
          <w:trHeight w:val="229"/>
        </w:trPr>
        <w:tc>
          <w:tcPr>
            <w:tcW w:w="9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28,758</w:t>
            </w:r>
          </w:p>
        </w:tc>
      </w:tr>
      <w:tr>
        <w:trPr>
          <w:trHeight w:val="230"/>
        </w:trPr>
        <w:tc>
          <w:tcPr>
            <w:tcW w:w="9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107,047</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7—EQUITY INVESTMENT</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February 28, 2020, the Company acquired an equity interest in Stash Financial, Inc. (“Stash”) for $80.0 million. On January 6, 2021, the Company acquired additional equity interest for $1.2 million.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Stash equity securities do not have a readily determinable fair value and, upon acquisition, the Company elected the measurement alternative to value its securities. The Stash equity securities will be carried at cost and subsequently marked to market upon observable market events with any gains or losses recorded to the consolidated statement of operations and comprehensive income. During the first quarter of 2021, the Company recorded a gain on the investment in Stash of $40.1 million as a result of an adjustment to the fair value of the Stash equity securities based on observable market events, which is included within other income on the consolidated statement of operations and comprehensive income. As of March 31, 2021, there have been no impairments to the acquisition cost of the Stash equity securities.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Contingent Consideration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2018, the Company acquired all of the outstanding equity interests of QuoteWizard.com, LLC (“QuoteWizard”) and Ovation Credit Services,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(“Ovation”). During 2020, the Company made the final earnout payment related to the achievement of certain defined operating metrics for Ovation.</w:t>
      </w:r>
    </w:p>
    <w:p>
      <w:pPr>
        <w:spacing w:after="0" w:line="16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2017, the Company acquired certain assets of Snap Capital LLC, which does business under the name SnapCap (“SnapCap”). During 2020, the Company made the final earnout payments related to the achievement of certain defined earnings targets for SnapCap.</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will make an earnout payment ranging from zero to $23.4 million based on the achievement of certain defined performance targets for QuoteWizard.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fair value of contingent consideration is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QuoteWizard</w:t>
            </w: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797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Ovation</w:t>
            </w:r>
          </w:p>
        </w:tc>
        <w:tc>
          <w:tcPr>
            <w:tcW w:w="82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SnapCap</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7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changes in fair value of contingent consideration</w:t>
            </w:r>
          </w:p>
        </w:tc>
        <w:tc>
          <w:tcPr>
            <w:tcW w:w="82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797</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(8,122)</w:t>
            </w: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2021, the estimated fair value of the contingent consideration for the QuoteWizard acquisition totaled $9.0 million, which is included in 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Any differences in the actual contingent consideration payments will be recorded in operating income in the consolidated statements of operations and comprehensive income.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040" w:type="dxa"/>
            <w:vAlign w:val="bottom"/>
          </w:tcPr>
          <w:p>
            <w:pPr>
              <w:jc w:val="right"/>
              <w:ind w:right="94"/>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7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24"/>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advertising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66,893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54,045</w:t>
            </w:r>
          </w:p>
        </w:tc>
      </w:tr>
      <w:tr>
        <w:trPr>
          <w:trHeight w:val="229"/>
        </w:trPr>
        <w:tc>
          <w:tcPr>
            <w:tcW w:w="876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11,478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14,081</w:t>
            </w:r>
          </w:p>
        </w:tc>
      </w:tr>
      <w:tr>
        <w:trPr>
          <w:trHeight w:val="230"/>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2,084</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r>
      <w:tr>
        <w:trPr>
          <w:trHeight w:val="229"/>
        </w:trPr>
        <w:tc>
          <w:tcPr>
            <w:tcW w:w="8760" w:type="dxa"/>
            <w:vAlign w:val="bottom"/>
          </w:tcPr>
          <w:p>
            <w:pPr>
              <w:ind w:left="20"/>
              <w:spacing w:after="0"/>
              <w:rPr>
                <w:sz w:val="20"/>
                <w:szCs w:val="20"/>
                <w:color w:val="auto"/>
              </w:rPr>
            </w:pPr>
            <w:r>
              <w:rPr>
                <w:rFonts w:ascii="Arial" w:cs="Arial" w:eastAsia="Arial" w:hAnsi="Arial"/>
                <w:sz w:val="18"/>
                <w:szCs w:val="18"/>
                <w:color w:val="auto"/>
              </w:rPr>
              <w:t>Customer deposits and escrows</w:t>
            </w:r>
          </w:p>
        </w:tc>
        <w:tc>
          <w:tcPr>
            <w:tcW w:w="18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7,614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8,153</w:t>
            </w: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to LendingTree Foundation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3,333</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30"/>
        </w:trPr>
        <w:tc>
          <w:tcPr>
            <w:tcW w:w="876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18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5,031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5,375</w:t>
            </w:r>
          </w:p>
        </w:tc>
      </w:tr>
      <w:tr>
        <w:trPr>
          <w:trHeight w:val="229"/>
        </w:trPr>
        <w:tc>
          <w:tcPr>
            <w:tcW w:w="8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17,009</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14,340</w:t>
            </w:r>
          </w:p>
        </w:tc>
      </w:tr>
      <w:tr>
        <w:trPr>
          <w:trHeight w:val="230"/>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113,442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101,196</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Basic and diluted income per share was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6"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basic common shares</w:t>
            </w:r>
          </w:p>
        </w:tc>
        <w:tc>
          <w:tcPr>
            <w:tcW w:w="1460" w:type="dxa"/>
            <w:vAlign w:val="bottom"/>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13,070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12,957</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Effect of stock options</w:t>
            </w:r>
          </w:p>
        </w:tc>
        <w:tc>
          <w:tcPr>
            <w:tcW w:w="1460" w:type="dxa"/>
            <w:vAlign w:val="bottom"/>
          </w:tcPr>
          <w:p>
            <w:pPr>
              <w:jc w:val="right"/>
              <w:ind w:right="233"/>
              <w:spacing w:after="0"/>
              <w:rPr>
                <w:sz w:val="20"/>
                <w:szCs w:val="20"/>
                <w:color w:val="auto"/>
              </w:rPr>
            </w:pPr>
            <w:r>
              <w:rPr>
                <w:rFonts w:ascii="Arial" w:cs="Arial" w:eastAsia="Arial" w:hAnsi="Arial"/>
                <w:sz w:val="18"/>
                <w:szCs w:val="18"/>
                <w:color w:val="auto"/>
              </w:rPr>
              <w:t>658</w:t>
            </w:r>
          </w:p>
        </w:tc>
        <w:tc>
          <w:tcPr>
            <w:tcW w:w="1060" w:type="dxa"/>
            <w:vAlign w:val="bottom"/>
          </w:tcPr>
          <w:p>
            <w:pPr>
              <w:jc w:val="right"/>
              <w:spacing w:after="0"/>
              <w:rPr>
                <w:sz w:val="20"/>
                <w:szCs w:val="20"/>
                <w:color w:val="auto"/>
              </w:rPr>
            </w:pPr>
            <w:r>
              <w:rPr>
                <w:rFonts w:ascii="Arial" w:cs="Arial" w:eastAsia="Arial" w:hAnsi="Arial"/>
                <w:sz w:val="18"/>
                <w:szCs w:val="18"/>
                <w:color w:val="auto"/>
              </w:rPr>
              <w:t>628</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share awards</w:t>
            </w:r>
          </w:p>
        </w:tc>
        <w:tc>
          <w:tcPr>
            <w:tcW w:w="14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118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Convertible Senior Notes and warrants</w:t>
            </w:r>
          </w:p>
        </w:tc>
        <w:tc>
          <w:tcPr>
            <w:tcW w:w="14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273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diluted common shares</w:t>
            </w:r>
          </w:p>
        </w:tc>
        <w:tc>
          <w:tcPr>
            <w:tcW w:w="146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14,119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14,158</w:t>
            </w: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first quarters of 2021 and 2020, the weighted average shares that were anti-dilutive, and therefore excluded from the calculation of diluted income per share, included options to purchase 0.3 million and 0.1 million shares of common stock, respectively.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convertible notes and the warrants issued by the Company could be converted into the Company’s common stock, subject to certain contingencies. </w:t>
      </w:r>
      <w:r>
        <w:rPr>
          <w:rFonts w:ascii="Arial" w:cs="Arial" w:eastAsia="Arial" w:hAnsi="Arial"/>
          <w:sz w:val="18"/>
          <w:szCs w:val="18"/>
          <w:i w:val="1"/>
          <w:iCs w:val="1"/>
          <w:color w:val="auto"/>
        </w:rPr>
        <w:t xml:space="preserve">See </w:t>
      </w:r>
      <w:r>
        <w:rPr>
          <w:rFonts w:ascii="Arial" w:cs="Arial" w:eastAsia="Arial" w:hAnsi="Arial"/>
          <w:sz w:val="18"/>
          <w:szCs w:val="18"/>
          <w:color w:val="auto"/>
        </w:rPr>
        <w:t>Note 13—Debt for additional information. Shares of the Company's common stock associated with the 0.50% Convertible Senior Notes due July 15,</w:t>
      </w:r>
      <w:r>
        <w:rPr>
          <w:rFonts w:ascii="Arial" w:cs="Arial" w:eastAsia="Arial" w:hAnsi="Arial"/>
          <w:sz w:val="18"/>
          <w:szCs w:val="18"/>
          <w:i w:val="1"/>
          <w:iCs w:val="1"/>
          <w:color w:val="auto"/>
        </w:rPr>
        <w:t xml:space="preserve"> </w:t>
      </w:r>
      <w:r>
        <w:rPr>
          <w:rFonts w:ascii="Arial" w:cs="Arial" w:eastAsia="Arial" w:hAnsi="Arial"/>
          <w:sz w:val="18"/>
          <w:szCs w:val="18"/>
          <w:color w:val="auto"/>
        </w:rPr>
        <w:t>2025 and the warrants issued by the Company in the third quarter of 2020 were excluded from the calculation of diluted income per share for the first quarter of 2021 as they were anti-dilutive since the conversion price of the notes and the strike price of the warrants were greater than the average market price of the Company’s common stock during the relevant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each of February 2018 and February 2019, the board of directors authorized and the Company announced the repurchase of up to $100.0 million and $150.0 million, respectively, of LendingTree's common stock. There were no repurchases of the Company's common stock during the first quarters of 2021 and 2020. At March 31, 2021, approximately $179.7 million of the previous authorizations to repurchase common stock remain available.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1"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0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44"/>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Selling and marketing expense</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1,802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w:t>
            </w: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7"/>
              </w:rPr>
              <w:t>12,171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 development</w:t>
            </w:r>
          </w:p>
        </w:tc>
        <w:tc>
          <w:tcPr>
            <w:tcW w:w="14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2,066</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non-cash compensation</w:t>
            </w:r>
          </w:p>
        </w:tc>
        <w:tc>
          <w:tcPr>
            <w:tcW w:w="14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ind w:right="444"/>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7"/>
              </w:rPr>
              <w:t>16,436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11,917</w:t>
            </w:r>
          </w:p>
        </w:tc>
        <w:tc>
          <w:tcPr>
            <w:tcW w:w="0" w:type="dxa"/>
            <w:vAlign w:val="bottom"/>
          </w:tcPr>
          <w:p>
            <w:pPr>
              <w:spacing w:after="0"/>
              <w:rPr>
                <w:sz w:val="1"/>
                <w:szCs w:val="1"/>
                <w:color w:val="auto"/>
              </w:rPr>
            </w:pPr>
          </w:p>
        </w:tc>
      </w:tr>
      <w:tr>
        <w:trPr>
          <w:trHeight w:val="513"/>
        </w:trPr>
        <w:tc>
          <w:tcPr>
            <w:tcW w:w="5200" w:type="dxa"/>
            <w:vAlign w:val="bottom"/>
          </w:tcPr>
          <w:p>
            <w:pPr>
              <w:spacing w:after="0"/>
              <w:rPr>
                <w:sz w:val="20"/>
                <w:szCs w:val="20"/>
                <w:color w:val="auto"/>
              </w:rPr>
            </w:pPr>
            <w:r>
              <w:rPr>
                <w:rFonts w:ascii="Arial" w:cs="Arial" w:eastAsia="Arial" w:hAnsi="Arial"/>
                <w:sz w:val="18"/>
                <w:szCs w:val="18"/>
                <w:b w:val="1"/>
                <w:bCs w:val="1"/>
                <w:color w:val="auto"/>
              </w:rPr>
              <w:t>Stock Options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0" w:type="dxa"/>
            <w:vAlign w:val="bottom"/>
          </w:tcPr>
          <w:p>
            <w:pPr>
              <w:ind w:left="340"/>
              <w:spacing w:after="0"/>
              <w:rPr>
                <w:sz w:val="20"/>
                <w:szCs w:val="20"/>
                <w:color w:val="auto"/>
              </w:rPr>
            </w:pPr>
            <w:r>
              <w:rPr>
                <w:rFonts w:ascii="Arial" w:cs="Arial" w:eastAsia="Arial" w:hAnsi="Arial"/>
                <w:sz w:val="18"/>
                <w:szCs w:val="18"/>
                <w:color w:val="auto"/>
                <w:w w:val="93"/>
              </w:rPr>
              <w:t>A summary of changes in outstanding stock options is as follows: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vMerge w:val="restart"/>
          </w:tcPr>
          <w:p>
            <w:pPr>
              <w:jc w:val="center"/>
              <w:ind w:right="338"/>
              <w:spacing w:after="0"/>
              <w:rPr>
                <w:sz w:val="20"/>
                <w:szCs w:val="20"/>
                <w:color w:val="auto"/>
              </w:rPr>
            </w:pPr>
            <w:r>
              <w:rPr>
                <w:rFonts w:ascii="Arial" w:cs="Arial" w:eastAsia="Arial" w:hAnsi="Arial"/>
                <w:sz w:val="14"/>
                <w:szCs w:val="14"/>
                <w:b w:val="1"/>
                <w:bCs w:val="1"/>
                <w:color w:val="auto"/>
                <w:w w:val="91"/>
              </w:rPr>
              <w:t>Weighted</w:t>
            </w:r>
          </w:p>
        </w:tc>
        <w:tc>
          <w:tcPr>
            <w:tcW w:w="1000" w:type="dxa"/>
            <w:vAlign w:val="bottom"/>
            <w:gridSpan w:val="2"/>
          </w:tcPr>
          <w:p>
            <w:pPr>
              <w:jc w:val="center"/>
              <w:ind w:left="184"/>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center"/>
              <w:ind w:right="277"/>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Pr>
          <w:p>
            <w:pPr>
              <w:jc w:val="center"/>
              <w:ind w:right="338"/>
              <w:spacing w:after="0" w:line="135"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tcPr>
          <w:p>
            <w:pPr>
              <w:jc w:val="center"/>
              <w:ind w:left="164"/>
              <w:spacing w:after="0" w:line="135" w:lineRule="exact"/>
              <w:rPr>
                <w:sz w:val="20"/>
                <w:szCs w:val="20"/>
                <w:color w:val="auto"/>
              </w:rPr>
            </w:pPr>
            <w:r>
              <w:rPr>
                <w:rFonts w:ascii="Arial" w:cs="Arial" w:eastAsia="Arial" w:hAnsi="Arial"/>
                <w:sz w:val="14"/>
                <w:szCs w:val="14"/>
                <w:b w:val="1"/>
                <w:bCs w:val="1"/>
                <w:color w:val="auto"/>
                <w:w w:val="94"/>
              </w:rPr>
              <w:t>Remaining</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Number of Options</w:t>
            </w:r>
          </w:p>
        </w:tc>
        <w:tc>
          <w:tcPr>
            <w:tcW w:w="280" w:type="dxa"/>
            <w:vAlign w:val="bottom"/>
          </w:tcPr>
          <w:p>
            <w:pPr>
              <w:spacing w:after="0"/>
              <w:rPr>
                <w:sz w:val="11"/>
                <w:szCs w:val="11"/>
                <w:color w:val="auto"/>
              </w:rPr>
            </w:pPr>
          </w:p>
        </w:tc>
        <w:tc>
          <w:tcPr>
            <w:tcW w:w="1400" w:type="dxa"/>
            <w:vAlign w:val="bottom"/>
          </w:tcPr>
          <w:p>
            <w:pPr>
              <w:jc w:val="center"/>
              <w:ind w:right="358"/>
              <w:spacing w:after="0" w:line="135"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gridSpan w:val="2"/>
          </w:tcPr>
          <w:p>
            <w:pPr>
              <w:jc w:val="center"/>
              <w:ind w:left="184"/>
              <w:spacing w:after="0" w:line="135" w:lineRule="exact"/>
              <w:rPr>
                <w:sz w:val="20"/>
                <w:szCs w:val="20"/>
                <w:color w:val="auto"/>
              </w:rPr>
            </w:pPr>
            <w:r>
              <w:rPr>
                <w:rFonts w:ascii="Arial" w:cs="Arial" w:eastAsia="Arial" w:hAnsi="Arial"/>
                <w:sz w:val="14"/>
                <w:szCs w:val="14"/>
                <w:b w:val="1"/>
                <w:bCs w:val="1"/>
                <w:color w:val="auto"/>
                <w:w w:val="95"/>
              </w:rPr>
              <w:t>Contractual</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center"/>
              <w:ind w:right="297"/>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58"/>
              <w:spacing w:after="0"/>
              <w:rPr>
                <w:sz w:val="20"/>
                <w:szCs w:val="20"/>
                <w:color w:val="auto"/>
              </w:rPr>
            </w:pPr>
            <w:r>
              <w:rPr>
                <w:rFonts w:ascii="Arial" w:cs="Arial" w:eastAsia="Arial" w:hAnsi="Arial"/>
                <w:sz w:val="14"/>
                <w:szCs w:val="14"/>
                <w:b w:val="1"/>
                <w:bCs w:val="1"/>
                <w:color w:val="auto"/>
                <w:w w:val="93"/>
              </w:rPr>
              <w:t>Price</w:t>
            </w: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9"/>
              </w:rPr>
              <w:t>Term</w:t>
            </w: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77"/>
              <w:spacing w:after="0" w:line="189" w:lineRule="exact"/>
              <w:rPr>
                <w:sz w:val="20"/>
                <w:szCs w:val="20"/>
                <w:color w:val="auto"/>
              </w:rPr>
            </w:pPr>
            <w:r>
              <w:rPr>
                <w:rFonts w:ascii="Arial" w:cs="Arial" w:eastAsia="Arial" w:hAnsi="Arial"/>
                <w:sz w:val="14"/>
                <w:szCs w:val="14"/>
                <w:b w:val="1"/>
                <w:bCs w:val="1"/>
                <w:color w:val="auto"/>
                <w:w w:val="88"/>
              </w:rPr>
              <w:t>Value</w:t>
            </w:r>
            <w:r>
              <w:rPr>
                <w:rFonts w:ascii="Arial" w:cs="Arial" w:eastAsia="Arial" w:hAnsi="Arial"/>
                <w:sz w:val="18"/>
                <w:szCs w:val="18"/>
                <w:b w:val="1"/>
                <w:bCs w:val="1"/>
                <w:color w:val="auto"/>
                <w:w w:val="88"/>
                <w:vertAlign w:val="superscript"/>
              </w:rPr>
              <w:t>(a)</w:t>
            </w:r>
          </w:p>
        </w:tc>
        <w:tc>
          <w:tcPr>
            <w:tcW w:w="0" w:type="dxa"/>
            <w:vAlign w:val="bottom"/>
          </w:tcPr>
          <w:p>
            <w:pPr>
              <w:spacing w:after="0"/>
              <w:rPr>
                <w:sz w:val="1"/>
                <w:szCs w:val="1"/>
                <w:color w:val="auto"/>
              </w:rPr>
            </w:pPr>
          </w:p>
        </w:tc>
      </w:tr>
      <w:tr>
        <w:trPr>
          <w:trHeight w:val="179"/>
        </w:trPr>
        <w:tc>
          <w:tcPr>
            <w:tcW w:w="5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center"/>
              <w:ind w:right="338"/>
              <w:spacing w:after="0"/>
              <w:rPr>
                <w:sz w:val="20"/>
                <w:szCs w:val="20"/>
                <w:color w:val="auto"/>
              </w:rPr>
            </w:pPr>
            <w:r>
              <w:rPr>
                <w:rFonts w:ascii="Arial" w:cs="Arial" w:eastAsia="Arial" w:hAnsi="Arial"/>
                <w:sz w:val="14"/>
                <w:szCs w:val="14"/>
                <w:b w:val="1"/>
                <w:bCs w:val="1"/>
                <w:i w:val="1"/>
                <w:iCs w:val="1"/>
                <w:color w:val="auto"/>
                <w:w w:val="89"/>
              </w:rPr>
              <w:t>(per option)</w:t>
            </w:r>
          </w:p>
        </w:tc>
        <w:tc>
          <w:tcPr>
            <w:tcW w:w="1000" w:type="dxa"/>
            <w:vAlign w:val="bottom"/>
            <w:gridSpan w:val="2"/>
          </w:tcPr>
          <w:p>
            <w:pPr>
              <w:jc w:val="center"/>
              <w:ind w:left="164"/>
              <w:spacing w:after="0"/>
              <w:rPr>
                <w:sz w:val="20"/>
                <w:szCs w:val="20"/>
                <w:color w:val="auto"/>
              </w:rPr>
            </w:pPr>
            <w:r>
              <w:rPr>
                <w:rFonts w:ascii="Arial" w:cs="Arial" w:eastAsia="Arial" w:hAnsi="Arial"/>
                <w:sz w:val="14"/>
                <w:szCs w:val="14"/>
                <w:b w:val="1"/>
                <w:bCs w:val="1"/>
                <w:i w:val="1"/>
                <w:iCs w:val="1"/>
                <w:color w:val="auto"/>
                <w:w w:val="89"/>
              </w:rPr>
              <w:t>(in years)</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77"/>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January 1, 2021</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924,710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111.82</w:t>
            </w: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(b)</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53,173</w:t>
            </w:r>
          </w:p>
        </w:tc>
        <w:tc>
          <w:tcPr>
            <w:tcW w:w="280" w:type="dxa"/>
            <w:vAlign w:val="bottom"/>
          </w:tcPr>
          <w:p>
            <w:pPr>
              <w:spacing w:after="0"/>
              <w:rPr>
                <w:sz w:val="19"/>
                <w:szCs w:val="19"/>
                <w:color w:val="auto"/>
              </w:rPr>
            </w:pPr>
          </w:p>
        </w:tc>
        <w:tc>
          <w:tcPr>
            <w:tcW w:w="1400" w:type="dxa"/>
            <w:vAlign w:val="bottom"/>
          </w:tcPr>
          <w:p>
            <w:pPr>
              <w:jc w:val="right"/>
              <w:ind w:right="178"/>
              <w:spacing w:after="0"/>
              <w:rPr>
                <w:sz w:val="20"/>
                <w:szCs w:val="20"/>
                <w:color w:val="auto"/>
              </w:rPr>
            </w:pPr>
            <w:r>
              <w:rPr>
                <w:rFonts w:ascii="Arial" w:cs="Arial" w:eastAsia="Arial" w:hAnsi="Arial"/>
                <w:sz w:val="18"/>
                <w:szCs w:val="18"/>
                <w:color w:val="auto"/>
              </w:rPr>
              <w:t>253.75</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271.96</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(2,280)</w:t>
            </w:r>
          </w:p>
        </w:tc>
        <w:tc>
          <w:tcPr>
            <w:tcW w:w="280" w:type="dxa"/>
            <w:vAlign w:val="bottom"/>
          </w:tcPr>
          <w:p>
            <w:pPr>
              <w:spacing w:after="0"/>
              <w:rPr>
                <w:sz w:val="19"/>
                <w:szCs w:val="19"/>
                <w:color w:val="auto"/>
              </w:rPr>
            </w:pPr>
          </w:p>
        </w:tc>
        <w:tc>
          <w:tcPr>
            <w:tcW w:w="1400" w:type="dxa"/>
            <w:vAlign w:val="bottom"/>
          </w:tcPr>
          <w:p>
            <w:pPr>
              <w:jc w:val="right"/>
              <w:ind w:right="178"/>
              <w:spacing w:after="0"/>
              <w:rPr>
                <w:sz w:val="20"/>
                <w:szCs w:val="20"/>
                <w:color w:val="auto"/>
              </w:rPr>
            </w:pPr>
            <w:r>
              <w:rPr>
                <w:rFonts w:ascii="Arial" w:cs="Arial" w:eastAsia="Arial" w:hAnsi="Arial"/>
                <w:sz w:val="18"/>
                <w:szCs w:val="18"/>
                <w:color w:val="auto"/>
              </w:rPr>
              <w:t>267.17</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rPr>
              <w:t>371.25</w:t>
            </w: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Options outstanding at March 31, 2021</w:t>
            </w: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974,933</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rPr>
              <w:t>119.09</w:t>
            </w: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4.52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114,706</w:t>
            </w:r>
          </w:p>
        </w:tc>
        <w:tc>
          <w:tcPr>
            <w:tcW w:w="0" w:type="dxa"/>
            <w:vAlign w:val="bottom"/>
          </w:tcPr>
          <w:p>
            <w:pPr>
              <w:spacing w:after="0"/>
              <w:rPr>
                <w:sz w:val="1"/>
                <w:szCs w:val="1"/>
                <w:color w:val="auto"/>
              </w:rPr>
            </w:pPr>
          </w:p>
        </w:tc>
      </w:tr>
      <w:tr>
        <w:trPr>
          <w:trHeight w:val="237"/>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March 31, 2021</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694,184</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55.13</w:t>
            </w:r>
          </w:p>
        </w:tc>
        <w:tc>
          <w:tcPr>
            <w:tcW w:w="3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2.65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114,701</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660" w:hanging="328"/>
        <w:spacing w:after="0" w:line="259" w:lineRule="auto"/>
        <w:tabs>
          <w:tab w:leader="none" w:pos="65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$213.00 on the last trading day of the quarter ended March 31, 2021 and the exercise price, multiplied by the number of shares covered by in-the-money options) that would have been received by the option holder had the option holder exercised these options on March 31, 2021. The intrinsic value changes based on the market value of the Company's common stock.</w:t>
      </w:r>
    </w:p>
    <w:p>
      <w:pPr>
        <w:spacing w:after="0" w:line="132" w:lineRule="exact"/>
        <w:rPr>
          <w:rFonts w:ascii="Arial" w:cs="Arial" w:eastAsia="Arial" w:hAnsi="Arial"/>
          <w:sz w:val="18"/>
          <w:szCs w:val="18"/>
          <w:color w:val="auto"/>
        </w:rPr>
      </w:pPr>
    </w:p>
    <w:p>
      <w:pPr>
        <w:ind w:left="660" w:right="20" w:hanging="328"/>
        <w:spacing w:after="0" w:line="342" w:lineRule="auto"/>
        <w:tabs>
          <w:tab w:leader="none" w:pos="654"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three months ended March 31, 2021, the Company granted stock options to certain employees with a weighted average grant date fair value per share of $136.23, calculated using the Black-Scholes option pricing model, with a vesting period of three years from grant date.</w:t>
      </w:r>
    </w:p>
    <w:p>
      <w:pPr>
        <w:spacing w:after="0" w:line="7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55" w:lineRule="exact"/>
        <w:rPr>
          <w:sz w:val="20"/>
          <w:szCs w:val="20"/>
          <w:color w:val="auto"/>
        </w:rPr>
      </w:pPr>
    </w:p>
    <w:tbl>
      <w:tblPr>
        <w:tblLayout w:type="fixed"/>
        <w:tblInd w:w="800" w:type="dxa"/>
        <w:tblCellMar>
          <w:top w:w="0" w:type="dxa"/>
          <w:left w:w="0" w:type="dxa"/>
          <w:bottom w:w="0" w:type="dxa"/>
          <w:right w:w="0" w:type="dxa"/>
        </w:tblCellMar>
      </w:tblPr>
      <w:tr>
        <w:trPr>
          <w:trHeight w:val="264"/>
        </w:trPr>
        <w:tc>
          <w:tcPr>
            <w:tcW w:w="5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3"/>
                <w:szCs w:val="23"/>
                <w:color w:val="auto"/>
                <w:vertAlign w:val="superscript"/>
              </w:rPr>
              <w:t>(1)</w:t>
            </w:r>
          </w:p>
        </w:tc>
        <w:tc>
          <w:tcPr>
            <w:tcW w:w="4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years</w:t>
            </w:r>
          </w:p>
        </w:tc>
      </w:tr>
      <w:tr>
        <w:trPr>
          <w:trHeight w:val="230"/>
        </w:trPr>
        <w:tc>
          <w:tcPr>
            <w:tcW w:w="5960" w:type="dxa"/>
            <w:vAlign w:val="bottom"/>
          </w:tcPr>
          <w:p>
            <w:pPr>
              <w:ind w:left="680"/>
              <w:spacing w:after="0" w:line="23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3"/>
                <w:szCs w:val="23"/>
                <w:color w:val="auto"/>
                <w:vertAlign w:val="superscript"/>
              </w:rPr>
              <w:t>(2)</w:t>
            </w:r>
          </w:p>
        </w:tc>
        <w:tc>
          <w:tcPr>
            <w:tcW w:w="4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(3)</w:t>
            </w:r>
          </w:p>
        </w:tc>
        <w:tc>
          <w:tcPr>
            <w:tcW w:w="4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5960" w:type="dxa"/>
            <w:vAlign w:val="bottom"/>
            <w:tcBorders>
              <w:bottom w:val="single" w:sz="8" w:color="999999"/>
            </w:tcBorders>
          </w:tcPr>
          <w:p>
            <w:pPr>
              <w:ind w:left="68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(4)</w:t>
            </w:r>
          </w:p>
        </w:tc>
        <w:tc>
          <w:tcPr>
            <w:tcW w:w="448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0.59 - 0.94%</w:t>
            </w:r>
          </w:p>
        </w:tc>
      </w:tr>
    </w:tbl>
    <w:p>
      <w:pPr>
        <w:spacing w:after="0" w:line="242" w:lineRule="exact"/>
        <w:rPr>
          <w:sz w:val="20"/>
          <w:szCs w:val="20"/>
          <w:color w:val="auto"/>
        </w:rPr>
      </w:pPr>
    </w:p>
    <w:p>
      <w:pPr>
        <w:jc w:val="both"/>
        <w:ind w:left="980" w:hanging="324"/>
        <w:spacing w:after="0" w:line="263" w:lineRule="auto"/>
        <w:tabs>
          <w:tab w:leader="none" w:pos="97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980" w:hanging="324"/>
        <w:spacing w:after="0" w:line="277" w:lineRule="auto"/>
        <w:tabs>
          <w:tab w:leader="none" w:pos="974"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all stock options granted in 2021,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right="20" w:hanging="324"/>
        <w:spacing w:after="0" w:line="277" w:lineRule="auto"/>
        <w:tabs>
          <w:tab w:leader="none" w:pos="97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Market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with market conditions at target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vMerge w:val="restart"/>
          </w:tcPr>
          <w:p>
            <w:pPr>
              <w:jc w:val="center"/>
              <w:ind w:right="338"/>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Options</w:t>
            </w:r>
          </w:p>
        </w:tc>
        <w:tc>
          <w:tcPr>
            <w:tcW w:w="3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1"/>
                <w:szCs w:val="11"/>
                <w:color w:val="auto"/>
              </w:rPr>
            </w:pPr>
          </w:p>
        </w:tc>
        <w:tc>
          <w:tcPr>
            <w:tcW w:w="124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jc w:val="center"/>
              <w:ind w:right="338"/>
              <w:spacing w:after="0" w:line="135"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tcPr>
          <w:p>
            <w:pPr>
              <w:jc w:val="center"/>
              <w:ind w:right="84"/>
              <w:spacing w:after="0" w:line="135"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with Market</w:t>
            </w:r>
          </w:p>
        </w:tc>
        <w:tc>
          <w:tcPr>
            <w:tcW w:w="300" w:type="dxa"/>
            <w:vAlign w:val="bottom"/>
          </w:tcPr>
          <w:p>
            <w:pPr>
              <w:spacing w:after="0"/>
              <w:rPr>
                <w:sz w:val="11"/>
                <w:szCs w:val="11"/>
                <w:color w:val="auto"/>
              </w:rPr>
            </w:pPr>
          </w:p>
        </w:tc>
        <w:tc>
          <w:tcPr>
            <w:tcW w:w="1400" w:type="dxa"/>
            <w:vAlign w:val="bottom"/>
          </w:tcPr>
          <w:p>
            <w:pPr>
              <w:jc w:val="center"/>
              <w:ind w:right="358"/>
              <w:spacing w:after="0" w:line="135" w:lineRule="exact"/>
              <w:rPr>
                <w:sz w:val="20"/>
                <w:szCs w:val="20"/>
                <w:color w:val="auto"/>
              </w:rPr>
            </w:pPr>
            <w:r>
              <w:rPr>
                <w:rFonts w:ascii="Arial" w:cs="Arial" w:eastAsia="Arial" w:hAnsi="Arial"/>
                <w:sz w:val="14"/>
                <w:szCs w:val="14"/>
                <w:b w:val="1"/>
                <w:bCs w:val="1"/>
                <w:color w:val="auto"/>
                <w:w w:val="90"/>
              </w:rPr>
              <w:t>Exercise</w:t>
            </w: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1"/>
                <w:szCs w:val="11"/>
                <w:color w:val="auto"/>
              </w:rPr>
            </w:pPr>
          </w:p>
        </w:tc>
        <w:tc>
          <w:tcPr>
            <w:tcW w:w="124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Conditions</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58"/>
              <w:spacing w:after="0"/>
              <w:rPr>
                <w:sz w:val="20"/>
                <w:szCs w:val="20"/>
                <w:color w:val="auto"/>
              </w:rPr>
            </w:pPr>
            <w:r>
              <w:rPr>
                <w:rFonts w:ascii="Arial" w:cs="Arial" w:eastAsia="Arial" w:hAnsi="Arial"/>
                <w:sz w:val="14"/>
                <w:szCs w:val="14"/>
                <w:b w:val="1"/>
                <w:bCs w:val="1"/>
                <w:color w:val="auto"/>
                <w:w w:val="93"/>
              </w:rPr>
              <w:t>Price</w:t>
            </w:r>
          </w:p>
        </w:tc>
        <w:tc>
          <w:tcPr>
            <w:tcW w:w="14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9"/>
              </w:rPr>
              <w:t>Term</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2"/>
              <w:spacing w:after="0" w:line="189" w:lineRule="exact"/>
              <w:rPr>
                <w:sz w:val="20"/>
                <w:szCs w:val="20"/>
                <w:color w:val="auto"/>
              </w:rPr>
            </w:pPr>
            <w:r>
              <w:rPr>
                <w:rFonts w:ascii="Arial" w:cs="Arial" w:eastAsia="Arial" w:hAnsi="Arial"/>
                <w:sz w:val="14"/>
                <w:szCs w:val="14"/>
                <w:b w:val="1"/>
                <w:bCs w:val="1"/>
                <w:color w:val="auto"/>
                <w:w w:val="88"/>
              </w:rPr>
              <w:t>Value</w:t>
            </w:r>
            <w:r>
              <w:rPr>
                <w:rFonts w:ascii="Arial" w:cs="Arial" w:eastAsia="Arial" w:hAnsi="Arial"/>
                <w:sz w:val="18"/>
                <w:szCs w:val="18"/>
                <w:b w:val="1"/>
                <w:bCs w:val="1"/>
                <w:color w:val="auto"/>
                <w:w w:val="88"/>
                <w:vertAlign w:val="superscript"/>
              </w:rPr>
              <w:t>(a)</w:t>
            </w:r>
          </w:p>
        </w:tc>
        <w:tc>
          <w:tcPr>
            <w:tcW w:w="0" w:type="dxa"/>
            <w:vAlign w:val="bottom"/>
          </w:tcPr>
          <w:p>
            <w:pPr>
              <w:spacing w:after="0"/>
              <w:rPr>
                <w:sz w:val="1"/>
                <w:szCs w:val="1"/>
                <w:color w:val="auto"/>
              </w:rPr>
            </w:pPr>
          </w:p>
        </w:tc>
      </w:tr>
      <w:tr>
        <w:trPr>
          <w:trHeight w:val="179"/>
        </w:trPr>
        <w:tc>
          <w:tcPr>
            <w:tcW w:w="5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center"/>
              <w:ind w:right="338"/>
              <w:spacing w:after="0"/>
              <w:rPr>
                <w:sz w:val="20"/>
                <w:szCs w:val="20"/>
                <w:color w:val="auto"/>
              </w:rPr>
            </w:pPr>
            <w:r>
              <w:rPr>
                <w:rFonts w:ascii="Arial" w:cs="Arial" w:eastAsia="Arial" w:hAnsi="Arial"/>
                <w:sz w:val="14"/>
                <w:szCs w:val="14"/>
                <w:b w:val="1"/>
                <w:bCs w:val="1"/>
                <w:i w:val="1"/>
                <w:iCs w:val="1"/>
                <w:color w:val="auto"/>
                <w:w w:val="89"/>
              </w:rPr>
              <w:t>(per option)</w:t>
            </w:r>
          </w:p>
        </w:tc>
        <w:tc>
          <w:tcPr>
            <w:tcW w:w="1400" w:type="dxa"/>
            <w:vAlign w:val="bottom"/>
          </w:tcPr>
          <w:p>
            <w:pPr>
              <w:jc w:val="center"/>
              <w:ind w:right="84"/>
              <w:spacing w:after="0"/>
              <w:rPr>
                <w:sz w:val="20"/>
                <w:szCs w:val="20"/>
                <w:color w:val="auto"/>
              </w:rPr>
            </w:pPr>
            <w:r>
              <w:rPr>
                <w:rFonts w:ascii="Arial" w:cs="Arial" w:eastAsia="Arial" w:hAnsi="Arial"/>
                <w:sz w:val="14"/>
                <w:szCs w:val="14"/>
                <w:b w:val="1"/>
                <w:bCs w:val="1"/>
                <w:i w:val="1"/>
                <w:iCs w:val="1"/>
                <w:color w:val="auto"/>
                <w:w w:val="89"/>
              </w:rPr>
              <w:t>(in years)</w:t>
            </w:r>
          </w:p>
        </w:tc>
        <w:tc>
          <w:tcPr>
            <w:tcW w:w="240" w:type="dxa"/>
            <w:vAlign w:val="bottom"/>
          </w:tcPr>
          <w:p>
            <w:pPr>
              <w:spacing w:after="0"/>
              <w:rPr>
                <w:sz w:val="15"/>
                <w:szCs w:val="15"/>
                <w:color w:val="auto"/>
              </w:rPr>
            </w:pPr>
          </w:p>
        </w:tc>
        <w:tc>
          <w:tcPr>
            <w:tcW w:w="1240" w:type="dxa"/>
            <w:vAlign w:val="bottom"/>
          </w:tcPr>
          <w:p>
            <w:pPr>
              <w:jc w:val="center"/>
              <w:ind w:right="10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January 1, 2021</w:t>
            </w: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700,209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236.01</w:t>
            </w:r>
          </w:p>
        </w:tc>
        <w:tc>
          <w:tcPr>
            <w:tcW w:w="1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Options outstanding at March 31, 2021</w:t>
            </w:r>
          </w:p>
        </w:tc>
        <w:tc>
          <w:tcPr>
            <w:tcW w:w="14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700,209</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rPr>
              <w:t>236.01</w:t>
            </w: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7.50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11,759</w:t>
            </w:r>
          </w:p>
        </w:tc>
        <w:tc>
          <w:tcPr>
            <w:tcW w:w="0" w:type="dxa"/>
            <w:vAlign w:val="bottom"/>
          </w:tcPr>
          <w:p>
            <w:pPr>
              <w:spacing w:after="0"/>
              <w:rPr>
                <w:sz w:val="1"/>
                <w:szCs w:val="1"/>
                <w:color w:val="auto"/>
              </w:rPr>
            </w:pPr>
          </w:p>
        </w:tc>
      </w:tr>
      <w:tr>
        <w:trPr>
          <w:trHeight w:val="23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March 31, 2021</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hanging="328"/>
        <w:spacing w:after="0" w:line="259" w:lineRule="auto"/>
        <w:tabs>
          <w:tab w:leader="none" w:pos="65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$213.00 on the last trading day of the quarter ended March 31, 2021 and the exercise price, multiplied by the number of shares covered by in-the-money options) that would have been received by the option holder had the option holder exercised these options on March 31, 2021. The intrinsic value changes based on the market value of the Company's common stock.</w:t>
      </w:r>
    </w:p>
    <w:p>
      <w:pPr>
        <w:spacing w:after="0" w:line="133"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A maximum of 1,169,349 shares may be earned for achieving superior performance up to 167% of the target number of shares. As of March 31, 2021, performance-based nonqualified stock options with a market condition of 481,669 had been earned, which have a vest date of September 30,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restricted stock units ("RSUs")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RSUs</w:t>
            </w: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Number of Units</w:t>
            </w:r>
          </w:p>
        </w:tc>
        <w:tc>
          <w:tcPr>
            <w:tcW w:w="220" w:type="dxa"/>
            <w:vAlign w:val="bottom"/>
          </w:tcPr>
          <w:p>
            <w:pPr>
              <w:spacing w:after="0"/>
              <w:rPr>
                <w:sz w:val="11"/>
                <w:szCs w:val="11"/>
                <w:color w:val="auto"/>
              </w:rPr>
            </w:pPr>
          </w:p>
        </w:tc>
        <w:tc>
          <w:tcPr>
            <w:tcW w:w="162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8"/>
        </w:trPr>
        <w:tc>
          <w:tcPr>
            <w:tcW w:w="39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1"/>
        </w:trPr>
        <w:tc>
          <w:tcPr>
            <w:tcW w:w="39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23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January 1, 2021</w:t>
            </w:r>
          </w:p>
        </w:tc>
        <w:tc>
          <w:tcPr>
            <w:tcW w:w="54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194,686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289.82</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Granted</w:t>
            </w:r>
          </w:p>
        </w:tc>
        <w:tc>
          <w:tcPr>
            <w:tcW w:w="5480" w:type="dxa"/>
            <w:vAlign w:val="bottom"/>
            <w:gridSpan w:val="2"/>
          </w:tcPr>
          <w:p>
            <w:pPr>
              <w:jc w:val="right"/>
              <w:ind w:right="48"/>
              <w:spacing w:after="0"/>
              <w:rPr>
                <w:sz w:val="20"/>
                <w:szCs w:val="20"/>
                <w:color w:val="auto"/>
              </w:rPr>
            </w:pPr>
            <w:r>
              <w:rPr>
                <w:rFonts w:ascii="Arial" w:cs="Arial" w:eastAsia="Arial" w:hAnsi="Arial"/>
                <w:sz w:val="18"/>
                <w:szCs w:val="18"/>
                <w:color w:val="auto"/>
              </w:rPr>
              <w:t>120,994</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253.98</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(47,330)</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291.07</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54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(7,927)</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276.18</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March 31, 2021</w:t>
            </w:r>
          </w:p>
        </w:tc>
        <w:tc>
          <w:tcPr>
            <w:tcW w:w="548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260,423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273.36</w:t>
            </w:r>
          </w:p>
        </w:tc>
        <w:tc>
          <w:tcPr>
            <w:tcW w:w="0" w:type="dxa"/>
            <w:vAlign w:val="bottom"/>
          </w:tcPr>
          <w:p>
            <w:pPr>
              <w:spacing w:after="0"/>
              <w:rPr>
                <w:sz w:val="1"/>
                <w:szCs w:val="1"/>
                <w:color w:val="auto"/>
              </w:rPr>
            </w:pPr>
          </w:p>
        </w:tc>
      </w:tr>
      <w:tr>
        <w:trPr>
          <w:trHeight w:val="904"/>
        </w:trPr>
        <w:tc>
          <w:tcPr>
            <w:tcW w:w="3920" w:type="dxa"/>
            <w:vAlign w:val="bottom"/>
          </w:tcPr>
          <w:p>
            <w:pPr>
              <w:spacing w:after="0"/>
              <w:rPr>
                <w:sz w:val="24"/>
                <w:szCs w:val="24"/>
                <w:color w:val="auto"/>
              </w:rPr>
            </w:pPr>
          </w:p>
        </w:tc>
        <w:tc>
          <w:tcPr>
            <w:tcW w:w="3640" w:type="dxa"/>
            <w:vAlign w:val="bottom"/>
          </w:tcPr>
          <w:p>
            <w:pPr>
              <w:jc w:val="right"/>
              <w:ind w:right="1750"/>
              <w:spacing w:after="0"/>
              <w:rPr>
                <w:sz w:val="20"/>
                <w:szCs w:val="20"/>
                <w:color w:val="auto"/>
              </w:rPr>
            </w:pPr>
            <w:r>
              <w:rPr>
                <w:rFonts w:ascii="Arial" w:cs="Arial" w:eastAsia="Arial" w:hAnsi="Arial"/>
                <w:sz w:val="18"/>
                <w:szCs w:val="18"/>
                <w:color w:val="auto"/>
              </w:rPr>
              <w:t>15</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with Performance Conditions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RSUs with performance conditions is as follows:</w:t>
      </w:r>
    </w:p>
    <w:p>
      <w:pPr>
        <w:spacing w:after="0" w:line="136"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RSUs with Performance Conditions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75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vMerge w:val="restart"/>
          </w:tcPr>
          <w:p>
            <w:pPr>
              <w:jc w:val="right"/>
              <w:ind w:right="355"/>
              <w:spacing w:after="0"/>
              <w:rPr>
                <w:sz w:val="20"/>
                <w:szCs w:val="20"/>
                <w:color w:val="auto"/>
              </w:rPr>
            </w:pPr>
            <w:r>
              <w:rPr>
                <w:rFonts w:ascii="Arial" w:cs="Arial" w:eastAsia="Arial" w:hAnsi="Arial"/>
                <w:sz w:val="14"/>
                <w:szCs w:val="14"/>
                <w:b w:val="1"/>
                <w:bCs w:val="1"/>
                <w:color w:val="auto"/>
              </w:rPr>
              <w:t>Number of Units</w:t>
            </w:r>
          </w:p>
        </w:tc>
        <w:tc>
          <w:tcPr>
            <w:tcW w:w="2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center"/>
              <w:ind w:right="97"/>
              <w:spacing w:after="0" w:line="141"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8"/>
        </w:trPr>
        <w:tc>
          <w:tcPr>
            <w:tcW w:w="7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0"/>
        </w:trPr>
        <w:tc>
          <w:tcPr>
            <w:tcW w:w="7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233"/>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January 1, 2021</w:t>
            </w:r>
          </w:p>
        </w:tc>
        <w:tc>
          <w:tcPr>
            <w:tcW w:w="166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6,328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223.90</w:t>
            </w:r>
          </w:p>
        </w:tc>
        <w:tc>
          <w:tcPr>
            <w:tcW w:w="0" w:type="dxa"/>
            <w:vAlign w:val="bottom"/>
          </w:tcPr>
          <w:p>
            <w:pPr>
              <w:spacing w:after="0"/>
              <w:rPr>
                <w:sz w:val="1"/>
                <w:szCs w:val="1"/>
                <w:color w:val="auto"/>
              </w:rPr>
            </w:pPr>
          </w:p>
        </w:tc>
      </w:tr>
      <w:tr>
        <w:trPr>
          <w:trHeight w:val="229"/>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March 31, 2021</w:t>
            </w:r>
          </w:p>
        </w:tc>
        <w:tc>
          <w:tcPr>
            <w:tcW w:w="16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6,328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223.90</w:t>
            </w:r>
          </w:p>
        </w:tc>
        <w:tc>
          <w:tcPr>
            <w:tcW w:w="0" w:type="dxa"/>
            <w:vAlign w:val="bottom"/>
          </w:tcPr>
          <w:p>
            <w:pPr>
              <w:spacing w:after="0"/>
              <w:rPr>
                <w:sz w:val="1"/>
                <w:szCs w:val="1"/>
                <w:color w:val="auto"/>
              </w:rPr>
            </w:pPr>
          </w:p>
        </w:tc>
      </w:tr>
      <w:tr>
        <w:trPr>
          <w:trHeight w:val="513"/>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Restricted Stock Awards with Performance Conditions</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420" w:type="dxa"/>
            <w:vAlign w:val="bottom"/>
            <w:gridSpan w:val="3"/>
          </w:tcPr>
          <w:p>
            <w:pPr>
              <w:ind w:left="340"/>
              <w:spacing w:after="0"/>
              <w:rPr>
                <w:sz w:val="20"/>
                <w:szCs w:val="20"/>
                <w:color w:val="auto"/>
              </w:rPr>
            </w:pPr>
            <w:r>
              <w:rPr>
                <w:rFonts w:ascii="Arial" w:cs="Arial" w:eastAsia="Arial" w:hAnsi="Arial"/>
                <w:sz w:val="18"/>
                <w:szCs w:val="18"/>
                <w:color w:val="auto"/>
                <w:w w:val="91"/>
              </w:rPr>
              <w:t>A summary of changes in outstanding nonvested restricted stock awards ("RSAs") with performance conditions is as follows: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RSAs with Performance Conditions</w:t>
            </w:r>
          </w:p>
        </w:tc>
        <w:tc>
          <w:tcPr>
            <w:tcW w:w="0" w:type="dxa"/>
            <w:vAlign w:val="bottom"/>
          </w:tcPr>
          <w:p>
            <w:pPr>
              <w:spacing w:after="0"/>
              <w:rPr>
                <w:sz w:val="1"/>
                <w:szCs w:val="1"/>
                <w:color w:val="auto"/>
              </w:rPr>
            </w:pPr>
          </w:p>
        </w:tc>
      </w:tr>
      <w:tr>
        <w:trPr>
          <w:trHeight w:val="135"/>
        </w:trPr>
        <w:tc>
          <w:tcPr>
            <w:tcW w:w="7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Number of Awards</w:t>
            </w:r>
          </w:p>
        </w:tc>
        <w:tc>
          <w:tcPr>
            <w:tcW w:w="200" w:type="dxa"/>
            <w:vAlign w:val="bottom"/>
          </w:tcPr>
          <w:p>
            <w:pPr>
              <w:spacing w:after="0"/>
              <w:rPr>
                <w:sz w:val="11"/>
                <w:szCs w:val="11"/>
                <w:color w:val="auto"/>
              </w:rPr>
            </w:pPr>
          </w:p>
        </w:tc>
        <w:tc>
          <w:tcPr>
            <w:tcW w:w="162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8"/>
        </w:trPr>
        <w:tc>
          <w:tcPr>
            <w:tcW w:w="7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1"/>
        </w:trPr>
        <w:tc>
          <w:tcPr>
            <w:tcW w:w="7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233"/>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January 1, 2021</w:t>
            </w:r>
          </w:p>
        </w:tc>
        <w:tc>
          <w:tcPr>
            <w:tcW w:w="166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23,804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29"/>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(5,951)</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340.25</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March 31, 2021</w:t>
            </w:r>
          </w:p>
        </w:tc>
        <w:tc>
          <w:tcPr>
            <w:tcW w:w="16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17,853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527"/>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Restricted Stock Awards with Market Conditions</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60" w:type="dxa"/>
            <w:vAlign w:val="bottom"/>
            <w:gridSpan w:val="2"/>
          </w:tcPr>
          <w:p>
            <w:pPr>
              <w:ind w:left="340"/>
              <w:spacing w:after="0"/>
              <w:rPr>
                <w:sz w:val="20"/>
                <w:szCs w:val="20"/>
                <w:color w:val="auto"/>
              </w:rPr>
            </w:pPr>
            <w:r>
              <w:rPr>
                <w:rFonts w:ascii="Arial" w:cs="Arial" w:eastAsia="Arial" w:hAnsi="Arial"/>
                <w:sz w:val="18"/>
                <w:szCs w:val="18"/>
                <w:color w:val="auto"/>
                <w:w w:val="92"/>
              </w:rPr>
              <w:t>A summary of changes in outstanding nonvested RSAs with market conditions at target is as follows:</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3"/>
          </w:tcPr>
          <w:p>
            <w:pPr>
              <w:jc w:val="right"/>
              <w:ind w:right="817"/>
              <w:spacing w:after="0"/>
              <w:rPr>
                <w:sz w:val="20"/>
                <w:szCs w:val="20"/>
                <w:color w:val="auto"/>
              </w:rPr>
            </w:pPr>
            <w:r>
              <w:rPr>
                <w:rFonts w:ascii="Arial" w:cs="Arial" w:eastAsia="Arial" w:hAnsi="Arial"/>
                <w:sz w:val="14"/>
                <w:szCs w:val="14"/>
                <w:b w:val="1"/>
                <w:bCs w:val="1"/>
                <w:color w:val="auto"/>
              </w:rPr>
              <w:t>RSAs with Market Conditions</w:t>
            </w:r>
          </w:p>
        </w:tc>
        <w:tc>
          <w:tcPr>
            <w:tcW w:w="0" w:type="dxa"/>
            <w:vAlign w:val="bottom"/>
          </w:tcPr>
          <w:p>
            <w:pPr>
              <w:spacing w:after="0"/>
              <w:rPr>
                <w:sz w:val="1"/>
                <w:szCs w:val="1"/>
                <w:color w:val="auto"/>
              </w:rPr>
            </w:pPr>
          </w:p>
        </w:tc>
      </w:tr>
      <w:tr>
        <w:trPr>
          <w:trHeight w:val="135"/>
        </w:trPr>
        <w:tc>
          <w:tcPr>
            <w:tcW w:w="7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Number of Awards</w:t>
            </w:r>
          </w:p>
        </w:tc>
        <w:tc>
          <w:tcPr>
            <w:tcW w:w="200" w:type="dxa"/>
            <w:vAlign w:val="bottom"/>
          </w:tcPr>
          <w:p>
            <w:pPr>
              <w:spacing w:after="0"/>
              <w:rPr>
                <w:sz w:val="11"/>
                <w:szCs w:val="11"/>
                <w:color w:val="auto"/>
              </w:rPr>
            </w:pPr>
          </w:p>
        </w:tc>
        <w:tc>
          <w:tcPr>
            <w:tcW w:w="162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8"/>
        </w:trPr>
        <w:tc>
          <w:tcPr>
            <w:tcW w:w="7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1"/>
        </w:trPr>
        <w:tc>
          <w:tcPr>
            <w:tcW w:w="7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233"/>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January 1, 2021</w:t>
            </w:r>
          </w:p>
        </w:tc>
        <w:tc>
          <w:tcPr>
            <w:tcW w:w="166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26,674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30"/>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March 31, 2021</w:t>
            </w:r>
          </w:p>
        </w:tc>
        <w:tc>
          <w:tcPr>
            <w:tcW w:w="16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26,674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 maximum of 44,545 shares may be earned for achieving superior performance up to 167% of the target number of shares. As of March 31, 2021, performance-based restricted stock awards with a market condition of 29,601 had been earned, which have a vest date of September 30, 2022.</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130"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jc w:val="center"/>
        <w:ind w:left="81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8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r>
      <w:tr>
        <w:trPr>
          <w:trHeight w:val="180"/>
        </w:trPr>
        <w:tc>
          <w:tcPr>
            <w:tcW w:w="8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40" w:type="dxa"/>
            <w:vAlign w:val="bottom"/>
            <w:gridSpan w:val="3"/>
          </w:tcPr>
          <w:p>
            <w:pPr>
              <w:jc w:val="right"/>
              <w:ind w:right="416"/>
              <w:spacing w:after="0"/>
              <w:rPr>
                <w:sz w:val="20"/>
                <w:szCs w:val="20"/>
                <w:color w:val="auto"/>
              </w:rPr>
            </w:pPr>
            <w:r>
              <w:rPr>
                <w:rFonts w:ascii="Arial" w:cs="Arial" w:eastAsia="Arial" w:hAnsi="Arial"/>
                <w:sz w:val="14"/>
                <w:szCs w:val="14"/>
                <w:b w:val="1"/>
                <w:bCs w:val="1"/>
                <w:i w:val="1"/>
                <w:iCs w:val="1"/>
                <w:color w:val="auto"/>
                <w:w w:val="94"/>
              </w:rPr>
              <w:t>(in thousands, except percentages)</w:t>
            </w:r>
          </w:p>
        </w:tc>
      </w:tr>
      <w:tr>
        <w:trPr>
          <w:trHeight w:val="23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(8,638)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3,061</w:t>
            </w:r>
          </w:p>
        </w:tc>
      </w:tr>
      <w:tr>
        <w:trPr>
          <w:trHeight w:val="229"/>
        </w:trPr>
        <w:tc>
          <w:tcPr>
            <w:tcW w:w="8180" w:type="dxa"/>
            <w:vAlign w:val="bottom"/>
            <w:tcBorders>
              <w:bottom w:val="single" w:sz="8" w:color="999999"/>
            </w:tcBorders>
          </w:tcPr>
          <w:p>
            <w:pPr>
              <w:ind w:left="20"/>
              <w:spacing w:after="0"/>
              <w:rPr>
                <w:sz w:val="20"/>
                <w:szCs w:val="20"/>
                <w:color w:val="auto"/>
              </w:rPr>
            </w:pPr>
            <w:r>
              <w:rPr>
                <w:rFonts w:ascii="Arial" w:cs="Arial" w:eastAsia="Arial" w:hAnsi="Arial"/>
                <w:sz w:val="18"/>
                <w:szCs w:val="18"/>
                <w:i w:val="1"/>
                <w:iCs w:val="1"/>
                <w:color w:val="auto"/>
              </w:rPr>
              <w:t>Effective tax rate</w:t>
            </w:r>
          </w:p>
        </w:tc>
        <w:tc>
          <w:tcPr>
            <w:tcW w:w="320" w:type="dxa"/>
            <w:vAlign w:val="bottom"/>
            <w:tcBorders>
              <w:bottom w:val="single" w:sz="8" w:color="999999"/>
            </w:tcBorders>
          </w:tcPr>
          <w:p>
            <w:pPr>
              <w:spacing w:after="0"/>
              <w:rPr>
                <w:sz w:val="19"/>
                <w:szCs w:val="19"/>
                <w:color w:val="auto"/>
              </w:rPr>
            </w:pPr>
          </w:p>
        </w:tc>
        <w:tc>
          <w:tcPr>
            <w:tcW w:w="1220" w:type="dxa"/>
            <w:vAlign w:val="bottom"/>
            <w:tcBorders>
              <w:bottom w:val="single" w:sz="8" w:color="999999"/>
            </w:tcBorders>
          </w:tcPr>
          <w:p>
            <w:pPr>
              <w:jc w:val="right"/>
              <w:spacing w:after="0"/>
              <w:rPr>
                <w:sz w:val="20"/>
                <w:szCs w:val="20"/>
                <w:color w:val="auto"/>
              </w:rPr>
            </w:pPr>
            <w:r>
              <w:rPr>
                <w:rFonts w:ascii="Arial" w:cs="Arial" w:eastAsia="Arial" w:hAnsi="Arial"/>
                <w:sz w:val="18"/>
                <w:szCs w:val="18"/>
                <w:i w:val="1"/>
                <w:iCs w:val="1"/>
                <w:color w:val="auto"/>
              </w:rPr>
              <w:t>30.9 %</w:t>
            </w:r>
          </w:p>
        </w:tc>
        <w:tc>
          <w:tcPr>
            <w:tcW w:w="400" w:type="dxa"/>
            <w:vAlign w:val="bottom"/>
            <w:tcBorders>
              <w:bottom w:val="single" w:sz="8" w:color="999999"/>
            </w:tcBorders>
          </w:tcPr>
          <w:p>
            <w:pPr>
              <w:spacing w:after="0"/>
              <w:rPr>
                <w:sz w:val="19"/>
                <w:szCs w:val="19"/>
                <w:color w:val="auto"/>
              </w:rPr>
            </w:pPr>
          </w:p>
        </w:tc>
        <w:tc>
          <w:tcPr>
            <w:tcW w:w="1120" w:type="dxa"/>
            <w:vAlign w:val="bottom"/>
            <w:tcBorders>
              <w:bottom w:val="single" w:sz="8" w:color="999999"/>
            </w:tcBorders>
          </w:tcPr>
          <w:p>
            <w:pPr>
              <w:ind w:left="520"/>
              <w:spacing w:after="0"/>
              <w:rPr>
                <w:sz w:val="20"/>
                <w:szCs w:val="20"/>
                <w:color w:val="auto"/>
              </w:rPr>
            </w:pPr>
            <w:r>
              <w:rPr>
                <w:rFonts w:ascii="Arial" w:cs="Arial" w:eastAsia="Arial" w:hAnsi="Arial"/>
                <w:sz w:val="18"/>
                <w:szCs w:val="18"/>
                <w:i w:val="1"/>
                <w:iCs w:val="1"/>
                <w:color w:val="auto"/>
                <w:w w:val="91"/>
              </w:rPr>
              <w:t>(19.2)%</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first quarter of 2021, the effective tax rate varied from the federal statutory rate of 21% primarily due to the effect of state taxes.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first quarter of 2020, the effective tax rate varied from the federal statutory rate of 21% in part due to a tax benefit of $1.1 million recognized for excess tax benefits resulting from employee exercises of stock options and vesting of restricted stock in accordance with ASU 2016-09 and the effect of state taxes. The effective tax rate for the first quarter of 2020 was also impacted by a tax benefit of $6.1 million for the impact of the Coronavirus Aid, Relief, and Economic Security ("CARES") Act, as described below.</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27, 2020, President Trump signed into law the CARES Act. This legislation is an economic relief package in response to the public health and economic impacts of COVID-19 and includes various provisions that impact the Company, including, but not limited to, modifications for net operating losses, accelerated timeframe for refunds associated with prior minimum taxes and modifications of the limitation on business interest.</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revalued deferred tax assets related to net operating losses in light of the changes in the CARES Act and recorded a net tax benefit of $6.1 million during the first quarter of 2020. These deferred tax assets are being revalued, as they have been carried back to 2016 and 2017, which are tax periods prior to the Tax Cuts and Jobs Act ("TCJA") when the federal statutory tax rate was 35% versus the 21% federal statutory tax rate in effect after the enactment of the TCJA.</w:t>
      </w:r>
    </w:p>
    <w:p>
      <w:pPr>
        <w:spacing w:after="0" w:line="195"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2020</w:t>
            </w:r>
          </w:p>
        </w:tc>
      </w:tr>
      <w:tr>
        <w:trPr>
          <w:trHeight w:val="180"/>
        </w:trPr>
        <w:tc>
          <w:tcPr>
            <w:tcW w:w="8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5"/>
                <w:szCs w:val="15"/>
                <w:color w:val="auto"/>
              </w:rPr>
            </w:pPr>
          </w:p>
        </w:tc>
      </w:tr>
      <w:tr>
        <w:trPr>
          <w:trHeight w:val="23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 excluding excess tax benefit on stock compensation and CARES Act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4"/>
              </w:rPr>
              <w:t>(4,097)</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Excess tax benefit on stock compensation</w:t>
            </w: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19"/>
                <w:szCs w:val="19"/>
                <w:color w:val="auto"/>
              </w:rPr>
            </w:pPr>
          </w:p>
        </w:tc>
        <w:tc>
          <w:tcPr>
            <w:tcW w:w="780" w:type="dxa"/>
            <w:vAlign w:val="bottom"/>
          </w:tcPr>
          <w:p>
            <w:pPr>
              <w:jc w:val="center"/>
              <w:ind w:left="134"/>
              <w:spacing w:after="0"/>
              <w:rPr>
                <w:sz w:val="20"/>
                <w:szCs w:val="20"/>
                <w:color w:val="auto"/>
              </w:rPr>
            </w:pPr>
            <w:r>
              <w:rPr>
                <w:rFonts w:ascii="Arial" w:cs="Arial" w:eastAsia="Arial" w:hAnsi="Arial"/>
                <w:sz w:val="18"/>
                <w:szCs w:val="18"/>
                <w:color w:val="auto"/>
                <w:w w:val="88"/>
              </w:rPr>
              <w:t>1,054</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benefit from CARES Act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center"/>
              <w:ind w:left="134"/>
              <w:spacing w:after="0"/>
              <w:rPr>
                <w:sz w:val="20"/>
                <w:szCs w:val="20"/>
                <w:color w:val="auto"/>
              </w:rPr>
            </w:pPr>
            <w:r>
              <w:rPr>
                <w:rFonts w:ascii="Arial" w:cs="Arial" w:eastAsia="Arial" w:hAnsi="Arial"/>
                <w:sz w:val="18"/>
                <w:szCs w:val="18"/>
                <w:color w:val="auto"/>
                <w:w w:val="88"/>
              </w:rPr>
              <w:t>6,104</w:t>
            </w: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(8,638)</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center"/>
              <w:ind w:left="134"/>
              <w:spacing w:after="0"/>
              <w:rPr>
                <w:sz w:val="20"/>
                <w:szCs w:val="20"/>
                <w:color w:val="auto"/>
              </w:rPr>
            </w:pPr>
            <w:r>
              <w:rPr>
                <w:rFonts w:ascii="Arial" w:cs="Arial" w:eastAsia="Arial" w:hAnsi="Arial"/>
                <w:sz w:val="18"/>
                <w:szCs w:val="18"/>
                <w:color w:val="auto"/>
                <w:w w:val="88"/>
              </w:rPr>
              <w:t>3,061</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2025 Notes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July 24, 2020, the Company issued $575.0 million aggregate principal amount of its 0.50% Convertible Senior Notes due July 15, 2025 (the “2025 Notes”) in a private placement. The issuance included $75.0 million aggregate principal amount of 2025 Notes under a 13-day purchase option which was exercised in full. The 2025 Notes bear interest at a rate of 0.50% per year, payable semi-annually on January 15 and July 15 of each year, beginning on January 15, 2021. The 2025 Notes will mature on July 15, 2025, unless earlier repurchased, redeemed or converted.</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initial conversion rate of the 2025 Notes is 2.1683 shares of the Company's common stock per $1,000 principal amount of 2025 Notes (which is equivalent to an initial conversion price of approximately $461.19 per share). The conversion rate will be subject to adjustment upon the occurrence of certain specified events but will not be adjusted for accrued and unpaid interest. In addition, upon the occurrence of a make-whole fundamental change prior to the maturity of the 2025 Notes or if the Company issues a notice of redemption for the 2025 Notes, the Company will, in certain circumstances, increase the conversion rate by a specified number of additional shares for a holder that elects to convert the 2025 Notes in connection with such make-whole fundamental change or to convert its 2025 Notes called for redemption, as the case may be. Upon conversion, the 2025</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Notes will settle for cash, shares of the Company’s stock, or a combination thereof, at the Company’s option. It is the intent of the Company to settle the principal amount of the 2025 Notes in cash and any conversion premium in shares of its common stock.</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2025 Notes are the Company’s senior unsecured obligations and will rank senior in right of payment to any of the Company’s indebtedness that is expressly subordinated in right of payment to the 2025 Notes; equal in right of payment to any of the Company’s unsecured indebtedness that is not so subordinated; effectively junior in right of payment to any of the Company’s secured indebtedness, including borrowings under the senior secured revolving credit facility, described below, to the extent of the value of the assets securing such indebtedness; and structurally junior to all indebtedness and other liabilities (including trade payables) of the Company’s subsidiaries.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March 13, 2025, the 2025 Notes will be convertible at the option of the holders thereof only under the following circumstances:</w:t>
      </w:r>
    </w:p>
    <w:p>
      <w:pPr>
        <w:spacing w:after="0" w:line="116" w:lineRule="exact"/>
        <w:rPr>
          <w:sz w:val="20"/>
          <w:szCs w:val="20"/>
          <w:color w:val="auto"/>
        </w:rPr>
      </w:pPr>
    </w:p>
    <w:p>
      <w:pPr>
        <w:jc w:val="both"/>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2020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2025 Notes) per $1,000 principal amount of 2025 Notes for such trading day was less than 98% of the product of the last reported sale price of the common stock and the conversion rate on each such trading day;</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Company calls such 2025 Notes for redemption, at any time prior to the close of business on the scheduled trading day immediately preceding the redemption date, but only with respect to the notes called for redemption;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Holders of the 2025 Notes were not entitled to convert the 2025 Notes during the calendar quarter ended March 31, 2021 as the last reported sale price of the Company's common stock, for at least 20 trading days (whether or not consecutive) during the period of 30 consecutive trading days ending on December 31, 2020, was not greater than or equal to 130% of the conversion price of the 2025 Notes on each applicable trading day. Holders of the 2025 Notes are not entitled to convert the 2025 Notes during the calendar quarter ended June 30, 2021 as the last reported sale price of the Company's common stock, for at least 20 trading days (whether or not consecutive) during the period of 30 consecutive trading days ending on March 31, 2021, was not greater than or equal to 130% of the conversion price of the 2025 Notes on each applicable trading day.</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after March 13, 2025, until the close of business on the second scheduled trading day immediately preceding the maturity date of the 2025 Notes, holders of the 2025 Notes may convert all or a portion of their 2025 Notes regardless of the foregoing conditions.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The Company may not redeem the 2025 Notes prior to July 20, 2023. On or after July 20, 2023 and before the 41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scheduled trading day immediately before the maturity date, the Company may redeem for cash all or a portion of the 2025 Notes, at its option, if the last reported sale price of the common stock for at least 20 trading days (whether or not consecutive) during the 30 consecutive trading day period (and including the last trading day of such period) ending on, and including the last trading day immediately preceding the date of notice of redemption is greater than or equal to 130% of the conversion price on each applicable trading day. The redemption price will be equal to 100% of the principal amount of the 2025 Notes to be redeemed, plus any accrued and unpaid interest to, but excluding, the redemption date. No sinking fund is provided for the 2025 Notes.</w:t>
      </w:r>
    </w:p>
    <w:p>
      <w:pPr>
        <w:spacing w:after="0" w:line="13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occurrence of a fundamental change prior to the maturity date of the 2025 Notes, holders of the 2025 Notes may require the Company to repurchase all or a portion of the 2025 Notes for cash at a price equal to 100% of the principal amount of the 2025 Notes to be repurchased, plus any accrued and unpaid interest to, but excluding, the fundamental change repurchase date.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market price per share of the common stock, as measured under the terms of the 2025 Notes, exceeds the conversion price of the 2025 Notes, the 2025 Notes could have a dilutive effect, unless the Company elects, subject to certain conditions, to settle the principal amount of the 2025 Notes and any conversion premium in cash.</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initial measurement of convertible debt instruments that may be settled in cash is separated into a debt and an equity component whereby the debt component is based on the fair value of a similar instrument that does not contain an equity conversion option. The separate components of debt and equity of the Company’s 2025 Notes were determined using an interest rate of 5.30%, which reflects the nonconvertible debt borrowing rate of the Company at the date of issuance. As a result, the initial components of debt and equity were $455.6 million and $119.4 million, respectively. Financing costs related to the issuance of the 2025 Notes were approximately $15.1 million, of which $12.0 million were allocated to the liability component and are being amortized to interest expense over the term of the debt and $3.1 million were allocated to the equity component.</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first quarter of 2021, the Company recorded interest expense on the 2025 Notes of $6.8 million which consisted of $0.7 million associated with the 0.50% coupon rate, $5.5 million associated with the accretion of the debt discount, and $0.6 million associated with the amortization of the debt issuance costs. The debt discount is being amortized over the term of the debt.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2021, the fair value of the 2025 Notes is estimated to be approximately $523.5 million using the Level 1 observable input of the last quoted market price on March 31, 2021.</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gross carrying amount, unamortized debt cost, debt issuance costs and net carrying value of the liability component of the 2025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36"/>
              <w:spacing w:after="0"/>
              <w:rPr>
                <w:sz w:val="20"/>
                <w:szCs w:val="20"/>
                <w:color w:val="auto"/>
              </w:rPr>
            </w:pPr>
            <w:r>
              <w:rPr>
                <w:rFonts w:ascii="Arial" w:cs="Arial" w:eastAsia="Arial" w:hAnsi="Arial"/>
                <w:sz w:val="14"/>
                <w:szCs w:val="14"/>
                <w:b w:val="1"/>
                <w:bCs w:val="1"/>
                <w:color w:val="auto"/>
              </w:rPr>
              <w:t>March 31,</w:t>
            </w: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575,000</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0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104,620</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110,110</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10,505</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11,056</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carrying amount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459,875</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453,834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Notes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31, 2017, the Company issued $300.0 million aggregate principal amount of its 0.625% Convertible Senior Notes due June 1, 2022 (the “2022 Notes”) in a private placement. The 2022 Notes bear interest at a rate of 0.625% per year, payable semi-annually on June 1 and December 1 of each year, beginning on December 1, 2017. The 2022 Notes will mature on June 1, 2022, unless earlier repurchased or converted.</w:t>
      </w:r>
    </w:p>
    <w:p>
      <w:pPr>
        <w:spacing w:after="0" w:line="1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initial conversion rate of the 2022 Notes is 4.8163 shares of the Company's common stock per $1,000 principal amount of 2022 Notes (which is equivalent to an initial conversion price of approximately $207.63 per share). The conversion rate will be subject to adjustment upon the occurrence of certain specified events but will not be adjusted for accrued and unpaid interest. In addition, upon the occurrence of a make-whole fundamental change prior to the maturity of the 2022 Notes, the Company will, in certain circumstances, increase the conversion rate by a specified number of additional shares for a holder that elects to convert the 2022 Notes in connection with such make-whole fundamental change. Upon conversion, the 2022 Notes will settle for cash, shares of the Company’s stock, or a combination thereof, at the Company’s option. It is the intent of the Company to settle the principal amount of the 2022 Notes in cash and any conversion premium in shares of its common stock.</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2022 Notes are the Company’s senior unsecured obligations and will rank senior in right of payment to any of the Company’s indebtedness that is expressly subordinated in right of payment to the 2022 Notes; equal in right of payment to any of the Company’s unsecured indebtedness that is not so subordinated; effectively junior in right of payment to any of the Company’s secured indebtedness, including borrowings under the senior secured revolving credit facility, described below, to the extent of the value of the assets securing such indebtedness; and structurally junior to all indebtedness and other liabilities (including trade payables) of the Company’s subsidiaries.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February 1, 2022, the 2022 Notes will be convertible at the option of the holders thereof only under the following circumstances: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6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2017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2022 Notes) per $1,000 principal amount of 2022 Notes for such trading day was less than 98% of the product of the last reported sale price of the common stock and the conversion rate on each such trading day; or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Holders of the 2022 Notes were not entitled to convert the 2022 Notes during the calendar quarter ended March 31, 2021 as the last reported sale price of the Company's common stock, for at least 20 trading days (whether or not consecutive) during the period of 30 consecutive trading days ending on December 31, 2020, was not greater than or equal to 130% of the conversion price of the 2022 Notes on each applicable trading day. Holders of the 2022 Notes are not entitled to convert the 2022 Notes during the calendar quarter ended June 30, 2021 as the last reported sale price of the Company's common stock, for at least 20 trading days (whether or not consecutive) during the period of 30 consecutive trading days ending on March 31, 2021, was not greater than or equal to 130% of the conversion price of the 2022 Notes on each applicable trading day.</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after February 1, 2022, until the close of business on the second scheduled trading day immediately preceding the maturity date of the 2022 Notes, holders of the 2022 Notes may convert all or a portion of their 2022 Notes regardless of the foregoing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may not redeem the 2022 Notes prior to the maturity date and no sinking fund is provided for the 2022 Notes. Upon the occurrence of a fundamental change prior to the maturity date of the 2022 Notes, holders of the 2022 Notes may require the Company to repurchase all or a portion of the 2022 Notes for cash at a price equal to 100% of the principal amount of the 2022 Notes to be repurchased, plus any accrued and unpaid interest to, but excluding, the fundamental change repurchase date.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market price per share of the common stock, as measured under the terms of the 2022 Notes, exceeds the conversion price of the 2022 Notes, the 2022 Notes could have a dilutive effect, unless the Company elects, subject to certain conditions, to settle the principal amount of the 2022 Notes and any conversion premium in cash.</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separate components of debt and equity of the Company’s 2022 Notes were determined using an interest rate of 5.36%, which reflects the nonconvertible debt borrowing rate of the Company at the date of issuance. As a result, the initial components of debt and equity were $238.4 million and $61.6 million, respectively. Financing costs related to the issuance of the 2022 Notes were approximately $9.3 million, of which $7.4 million were allocated to the liability component and are being amortized to interest expense over the term of the debt and $1.9 million were allocated to the equity component.</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24, 2020, the Company used approximately $234.0 million of the net proceeds from the issuance of the 2025 Notes to repurchase approximately $130.3 million principal amount of the 2022 Notes, including the payment of accrued and unpaid interest of approximately $0.1 million, through separate transactions with certain holders of the 2022 Notes. Of the consideration paid, $126.0 million was allocated to the extinguishment of the liability component of the notes, while the remaining $107.9 million was allocated to the reacquisition of the equity component and recorded as a reduction to additional paid-in capital in the consolidated statement of shareholders’ equity. The Company recognized a loss on debt extinguishment of $7.8 million in the third quarter of 2020.</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the first quarter of 2021, the Company recorded interest expense on the 2022 Notes of $2.3 million which consisted of $0.3 million associated with the 0.625% coupon rate, $1.8 million associated with the accretion of the debt discount, and $0.2 million associated with the amortization of the debt issuance costs. In the first quarter of 2020, the Company recorded interest expense on the 2022 Notes of $4.0 million which consisted of $0.5 million associated with the 0.625% coupon rate, $3.1 million associated with the accretion of the debt discount, and $0.4 million associated with the amortization of the debt issuance costs. The debt discount is being amortized over the term of the debt.</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2021, the fair value of the 2022 Notes is estimated to be approximately $205.7 million using the Level 1 observable input of the last quoted market price on March 31,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gross carrying amount, unamortized debt cost, debt issuance costs and net carrying value of the liability component of the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36"/>
              <w:spacing w:after="0"/>
              <w:rPr>
                <w:sz w:val="20"/>
                <w:szCs w:val="20"/>
                <w:color w:val="auto"/>
              </w:rPr>
            </w:pPr>
            <w:r>
              <w:rPr>
                <w:rFonts w:ascii="Arial" w:cs="Arial" w:eastAsia="Arial" w:hAnsi="Arial"/>
                <w:sz w:val="14"/>
                <w:szCs w:val="14"/>
                <w:b w:val="1"/>
                <w:bCs w:val="1"/>
                <w:color w:val="auto"/>
              </w:rPr>
              <w:t>March 31,</w:t>
            </w: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169,659</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169,690</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0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8,958</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10,815</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1,074</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carrying amount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159,627</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157,578</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Hedge and Warrants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24, 2020, in connection with the issuance of the 2025 Notes, the Company entered into Convertible Note Hedge (the “2020 Hedge”) and warrant transactions with respect to the Company’s common stock. The Company used approximately $63.0 million of the net proceeds from the 2025 Notes to pay for the cost of the 2020 Hedge, after such cost was partially offset by the proceeds from the warrant transactions.</w:t>
      </w:r>
    </w:p>
    <w:p>
      <w:pPr>
        <w:spacing w:after="0" w:line="1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24, 2020, the Company paid $124.2 million to the counterparties for the 2020 Hedge transactions. The 2020 Hedge transactions cover 1.2 million shares of the Company’s common stock, the same number of shares initially underlying the 2025 Notes, and are exercisable upon any conversion of the 2025 Notes. The 2020 Hedge transactions are expected generally to reduce the potential dilution to the Company's common stock upon conversion of the 2025 Notes and/or offset any cash payments the Company is required to make in excess of the principal amount of the converted 2025 Notes, as the case may be, in the event that the market price per share of common stock, as measured under the terms of the 2020 Hedge transactions, is greater than the strike price of the 2020 Hedge transactions, which initially corresponds to the initial conversion price of the 2025 Notes, or approximately $461.19 per share of common stock. The 2020 Hedge transactions will expire upon the maturity of the Notes.</w:t>
      </w:r>
    </w:p>
    <w:p>
      <w:pPr>
        <w:spacing w:after="0" w:line="12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July 24, 2020, the Company sold to the counterparties, warrants (the “2020 Warrants”) to acquire 1.2 million shares of the Company's common stock at an initial strike price of $709.52 per share, which represents a premium of 100% over the last reported sale price of the common stock of $354.76 on July 21, 2020. On July 24, 2020, the Company received aggregate proceeds of approximately $61.2 million from the sale of the 2020 Warrants. If the market price per share of the common stock, as measured under the terms of the 2020 Warrants, exceeds the strike price of the 2020 Warrants, the 2020 Warrants could have a dilutive effect, unless the Company elects, subject to certain conditions, to settle the 2020 Warrants in cash.</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2020 Hedge and 2020 Warrants transactions are indexed to, and potentially settled in, the Company's common stock and the net cost of $63.0 million has been recorded as a reduction to additional paid-in capital in the consolidated statement of shareholders’ equity.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 Hedge and Warrants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31, 2017, in connection with the issuance of the 2022 Notes, the Company entered into Convertible Note Hedge (the “2017 Hedge”) and warrant transactions with respect to the Company’s common stock. The Company used approximately $18.1 million of the net proceeds from the 2022 Notes to pay for the cost of the 2017 Hedge, after such cost was partially offset by the proceeds from the warrant transactions.</w:t>
      </w:r>
    </w:p>
    <w:p>
      <w:pPr>
        <w:spacing w:after="0" w:line="1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May 31, 2017, the Company paid $61.5 million to the counterparties for the 2017 Hedge transactions. The 2017 Hedge transactions initially covered 1.4 million shares of the Company’s common stock, the same number of shares initially underlying the 2022 Notes, and are exercisable upon any conversion of the 2022 Notes. The 2017 Hedge transactions are expected generally to reduce the potential dilution to the Company's common stock upon conversion of the 2022 Notes and/or offset any cash payments the Company is required to make in excess of the principal amount of the converted 2022 Notes, as the case may be, in the event that the market price per share of common stock, as measured under the terms of the 2017 Hedge transactions, is greater than the strike price of the 2017 Hedge transactions, which initially corresponds to the initial conversion price of the 2022 Notes, or approximately $207.63 per share of common stock. The 2017 Hedge transactions will expire upon the maturity of the Notes.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May 31, 2017, the Company sold to the counterparties, warrants (the “2017 Warrants”) to acquire 1.4 million shares of the Company's common stock at an initial strike price of $266.39 per share, which represents a premium of 70% over the last reported sale price of the common stock of $156.70 on May 24, 2017. On May 31, 2017, the Company received aggregate proceeds of approximately $43.4 million from the sale of the 2017 Warrants. If the market price per share of the common stock, as measured under the terms of the 2017 Warrants, exceeds the strike price of the 2017 Warrants, the 2017 Warrants could have a dilutive effect, unless the Company elects, subject to certain conditions, to settle the 2017 Warrants in cash.</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2017 Hedge and 2017 Warrants transactions are indexed to, and potentially settled in, the Company's common stock and the net cost of $18.1 million was recorded as a reduction to additional paid-in capital in the consolidated statement of shareholders’ equity.</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To the extent of the repurchases of the 2022 Notes noted above, the Company entered into agreements with the counterparties for the 2017 Hedge and 2017 Warrants transactions to terminate a portion of these call spread transactions effective July 24, 2020 in notional amounts corresponding to the principal amount of the 2022 Notes repurchased. Subsequent to such termination, the outstanding portion of the 2017 Hedge covers 0.8 million shares of the Company's common stock and 2017 Warrants to acquire 0.8 million shares of the Company's common stock remain outstanding. The Company received $109.9 million and paid $94.3 million as a result of terminating such portions of the 2017 Hedge and 2017 Warrants, respectively. The net $15.6 million has been recorded as an increase to additional paid-in capital in the consolidated statement of shareholders’ equity.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December 10, 2019, the Company's wholly-owned subsidiary, LendingTree, LLC, entered into an amended and restated $500.0 million five-year senior secured revolving credit facility (the "Amended Revolving Credit Facility") which amended and restated the Company's previous $350.0 million five-year senior secured revolving credit facility (the “2017 Revolving Credit Facility”). The Amended Revolving Credit Facility matures on December 10, 2024. Borrowings under the Amended Revolving Credit Facility can be used to finance working capital needs, capital expenditures and general corporate purposes, including to finance permitted acquisitions. As of March 31, 2021 and December 31, 2020, the Company had no borrowings outstanding under the Amended Revolving Credit Facility.</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Up to $10.0 million of the Amended Revolving Credit Facility will be available for short-term loans, referred to as swingline loans. Under certain conditions, the Company will be permitted to add one or more term loans and/or increase revolving commitments under the Amended Revolving Credit Facility by an additional amount equal to the greater of $185.0 million or 100% of Consolidated EBITDA as defined, or a greater amount provided that a total consolidated senior secured debt to EBITDA ratio does not exceed 2.50 to 1.00. Additionally, up to $10.0 million of the Amended Revolving Credit Facility will be available for the issuance of letters of credit. At each of March 31, 2021 and December 31, 2020, the Company had outstanding one letter of credit issued in the amount of $0.2 million.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borrowings under the Amended Revolving Credit Facility bear interest at annual rates that, at the Company’s option, will be either:</w:t>
      </w:r>
    </w:p>
    <w:p>
      <w:pPr>
        <w:spacing w:after="0" w:line="194" w:lineRule="exact"/>
        <w:rPr>
          <w:sz w:val="20"/>
          <w:szCs w:val="20"/>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Truist Bank, (b) the federal funds effective rate plus 0.5% and (c) the LIBO rate (defined below) on a daily basis applicable for an interest period of one month plus 1.0% and (ii) an applicable percentage of 0.25% to 1.0% based on a total consolidated debt to EBITDA ratio; or</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deposits in the applicable currency and (ii) an applicable percentage of 1.25% to 2.0% based on a total consolidated debt to EBITDA ratio.</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Amended Revolving Credit Facility contains a restrictive financial covenant, which initially limits the total consolidated debt to EBITDA ratio to 4.5, with step downs to 4.0 over time, except that this may increase by 0.5 for the four fiscal quarters following a material acquisition. In addition, the Amended Revolving Credit Facility contains customary affirmative and negative covenants in addition to events of default for a transaction of this type that, among other things, restrict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 indebtedness, liens, mergers or certain fundamental changes, asset dispositions, dividends, stock repurchases and other restricted payments, transactions with affiliates, sale-leaseback transactions, hedging transactions, loans and investments and other matters customarily restricted in such agreements.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July 21, 2020, the Company executed a temporary amendment to its Amended Revolving Credit Facility to provide for certain covenant relief, primarily to facilitate the issuance of the 2025 Notes, the repurchase of a portion of the 2022 Notes, and to pay down existing borrowings under the credit facility.</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amendment amends the existing credit agreement to, among other things: (i) temporarily replace the total consolidated debt to EBITDA ratio covenant with a consolidated liquidity covenant requiring the Company to maintain unrestricted cash and cash equivalents in the United States plus amounts available and permitted to be drawn under the Amended Revolving Credit Facility to be no less than $200.0 million; (ii) impose additional limitations on certain restricted payments during such temporary period; and (iii) increase the applicable margins to (x) 2.25% for loans based on the LIBO rate and (y) 1.25% for loans based on the base rate, subject to a 0.75% floor, and unused commitment fees to 0.50% under the Amended Revolving Credit Facility during the temporary period. These amendments shall apply from the effective date through the fiscal quarter ending June 30, 2021, unless terminated in advance by the Company.</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was in compliance with all covenants at March 31, 2021.</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Amended Revolving Credit Facility requires LendingTree, LLC to pledge as collateral, subject to certain customary exclusions, substantially all of its assets, including 100% of its equity in all of its domestic subsidiaries and 66% of the voting equity, and 100% of the non-voting equity, in all of its material foreign subsidiaries (of which there are currently none). The obligations under this facility are unconditionally guaranteed on a senior basis by LendingTree, Inc. and material domestic subsidiaries of LendingTree, LLC, which guaranties are secured by a pledge as collateral, subject to certain customary exclusions, of 100% of each such guarantor's assets, including 100% of each such guarantor’s equity in all of its domestic subsidiaries and 66% of the voting equity, and 100% of the non-voting equity, in all of its material foreign subsidiaries (of which there are currently none).</w:t>
      </w:r>
    </w:p>
    <w:p>
      <w:pPr>
        <w:spacing w:after="0" w:line="1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Except as noted in the covenant relief discussion above, the Company is required to pay an unused commitment fee quarterly in arrears on the difference between committed amounts and amounts actually borrowed under the Amended Revolving Credit Facility equal to an applicable percentage of 0.25% to 0.45% per annum based on a total consolidated debt to EBITDA ratio. The Company is required to pay a letter of credit participation fee and a letter of credit fronting fee quarterly in arrears. The letter of credit participation fee is based upon the aggregate face amount of outstanding letters of credit at an applicable percentage of 1.25% to 2.0% based on a total consolidated debt to EBITDA ratio. The letter of credit fronting fee is 0.125% per annum on the face amount of each letter of credit.</w:t>
      </w:r>
    </w:p>
    <w:p>
      <w:pPr>
        <w:spacing w:after="0" w:line="13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to the remaining unamortized debt issuance costs associated with the original revolving credit facility and the Revolving Credit Facility, debt issuance costs of $2.8 million related to the Amended Revolving Credit Facility entered into on December 10, 2019 are being amortized to interest expense over the life of the Amended Revolving Credit Facility. Debt issuance costs of $1.1 million related to the July 21, 2020 temporary amendment are being amortized to interest expense through June 30, 2021, unless the temporary amendment is terminated in advance by the Company. Unamortized debt issuance costs are included in prepaid and other current assets and other non-current assets in the Company's consolidated balance sheet.</w:t>
      </w:r>
    </w:p>
    <w:p>
      <w:pPr>
        <w:spacing w:after="0" w:line="1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first quarter of 2021, the Company recorded interest expense related to the Amended Revolving Credit Facility of $1.1 million which consisted of $0.6 million in unused commitment fees, and $0.5 million associated with the amortization of the debt issuance costs. In the first quarter of 2020, the Company recorded interest expense related to the Amended Revolving Credit Facility of $1.1 million which consisted of $0.6 million associated with borrowings bearing interest at the LIBO rate, $0.3 million in unused commitment fees, and $0.2 million associated with the amortization of the debt issuance costs.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unless otherwise indicated, the Company is unable to estimate the possible loss or range of losses that could potentially result from the application of such non-monetary remedies.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As of March 31, 2021, the Company had litigation settlement accruals of $0.1 million and $0.8 million in continuing operations and discontinued operations, respectively. As of December 31, 2020, the Company had litigation settlement accruals of $0.1 million and $0.5 million in continuing operations and discontinued operations, respectively. The litigation settlement accruals relate to litigation matters that were either settled or a firm offer for settlement was extended, thereby establishing an accrual amount that is both probable and reasonably estimable.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17—Discontinued Operations for additional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MEASUREMENTS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Other than the convertible notes and warrants, as well as the equity interest in Stash, the carrying amounts of the Company's financial instruments are equal to fair value at March 31, 2021.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13—Debt for additional information on the convertible notes and warrants, and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7—Equity Investment for additional information on the equity interest in Stash.</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Contingent consideration payments related to acquisitions are measured at fair value each reporting period using Level 3 unobservable inputs. The changes in the fair value of the Company's Level 3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1"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13335</wp:posOffset>
            </wp:positionV>
            <wp:extent cx="15944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Contingent consideration, beginning of period</w:t>
            </w:r>
          </w:p>
        </w:tc>
        <w:tc>
          <w:tcPr>
            <w:tcW w:w="21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8,249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33,464</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Transfers into Level 3</w:t>
            </w:r>
          </w:p>
        </w:tc>
        <w:tc>
          <w:tcPr>
            <w:tcW w:w="21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out of Level 3</w:t>
            </w:r>
          </w:p>
        </w:tc>
        <w:tc>
          <w:tcPr>
            <w:tcW w:w="2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Total net losses (gains) included in earnings (realized and unrealized)</w:t>
            </w:r>
          </w:p>
        </w:tc>
        <w:tc>
          <w:tcPr>
            <w:tcW w:w="21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797</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(8,122)</w:t>
            </w: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w:t>
            </w:r>
          </w:p>
        </w:tc>
        <w:tc>
          <w:tcPr>
            <w:tcW w:w="2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88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21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2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Contingent consideration, end of period</w:t>
            </w:r>
          </w:p>
        </w:tc>
        <w:tc>
          <w:tcPr>
            <w:tcW w:w="2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9,046</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22,342</w:t>
            </w: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contingent consideration liability at March 31, 2021 is the estimated fair value of the remaining earnout payment for the QuoteWizard acquisition. The Company will make an earnout payment ranging from zero to $23.4 million based on the achievement of certain defined performance targets for QuoteWizard.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8—Business Acquisitions for additional information.</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significant unobservable inputs used to calculate the fair value of the contingent consideration for QuoteWizard are the operating results growth rate and the discount rate. Actual results will differ from the projected results and could have a significant impact on the estimated fair value of the contingent consideration. Additionally, as the liability is stated at present value, the passage of time alone will increase the estimated fair value of the liability each reporting period. Any changes in fair value will be recorded in operating income in the consolidated statements of operations and comprehensive income.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quantitative information about Level 3 fair value measurements.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 at</w:t>
            </w:r>
          </w:p>
        </w:tc>
        <w:tc>
          <w:tcPr>
            <w:tcW w:w="2400" w:type="dxa"/>
            <w:vAlign w:val="bottom"/>
            <w:vMerge w:val="restart"/>
          </w:tcPr>
          <w:p>
            <w:pPr>
              <w:ind w:left="660"/>
              <w:spacing w:after="0"/>
              <w:rPr>
                <w:sz w:val="20"/>
                <w:szCs w:val="20"/>
                <w:color w:val="auto"/>
              </w:rPr>
            </w:pPr>
            <w:r>
              <w:rPr>
                <w:rFonts w:ascii="Arial" w:cs="Arial" w:eastAsia="Arial" w:hAnsi="Arial"/>
                <w:sz w:val="16"/>
                <w:szCs w:val="16"/>
                <w:b w:val="1"/>
                <w:bCs w:val="1"/>
                <w:color w:val="auto"/>
              </w:rPr>
              <w:t>Valuation Technique</w:t>
            </w:r>
          </w:p>
        </w:tc>
        <w:tc>
          <w:tcPr>
            <w:tcW w:w="2920" w:type="dxa"/>
            <w:vAlign w:val="bottom"/>
            <w:vMerge w:val="restart"/>
          </w:tcPr>
          <w:p>
            <w:pPr>
              <w:ind w:left="980"/>
              <w:spacing w:after="0"/>
              <w:rPr>
                <w:sz w:val="20"/>
                <w:szCs w:val="20"/>
                <w:color w:val="auto"/>
              </w:rPr>
            </w:pPr>
            <w:r>
              <w:rPr>
                <w:rFonts w:ascii="Arial" w:cs="Arial" w:eastAsia="Arial" w:hAnsi="Arial"/>
                <w:sz w:val="16"/>
                <w:szCs w:val="16"/>
                <w:b w:val="1"/>
                <w:bCs w:val="1"/>
                <w:color w:val="auto"/>
              </w:rPr>
              <w:t>Unobservable Input</w:t>
            </w:r>
          </w:p>
        </w:tc>
        <w:tc>
          <w:tcPr>
            <w:tcW w:w="286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Range (Weighted Average)</w:t>
            </w:r>
            <w:r>
              <w:rPr>
                <w:rFonts w:ascii="Arial" w:cs="Arial" w:eastAsia="Arial" w:hAnsi="Arial"/>
                <w:sz w:val="21"/>
                <w:szCs w:val="21"/>
                <w:b w:val="1"/>
                <w:bCs w:val="1"/>
                <w:color w:val="auto"/>
                <w:vertAlign w:val="superscript"/>
              </w:rPr>
              <w:t>(a)</w:t>
            </w:r>
          </w:p>
        </w:tc>
        <w:tc>
          <w:tcPr>
            <w:tcW w:w="0" w:type="dxa"/>
            <w:vAlign w:val="bottom"/>
          </w:tcPr>
          <w:p>
            <w:pPr>
              <w:spacing w:after="0"/>
              <w:rPr>
                <w:sz w:val="1"/>
                <w:szCs w:val="1"/>
                <w:color w:val="auto"/>
              </w:rPr>
            </w:pPr>
          </w:p>
        </w:tc>
      </w:tr>
      <w:tr>
        <w:trPr>
          <w:trHeight w:val="216"/>
        </w:trPr>
        <w:tc>
          <w:tcPr>
            <w:tcW w:w="1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March 31, 2021</w:t>
            </w:r>
          </w:p>
        </w:tc>
        <w:tc>
          <w:tcPr>
            <w:tcW w:w="2400" w:type="dxa"/>
            <w:vAlign w:val="bottom"/>
            <w:tcBorders>
              <w:bottom w:val="single" w:sz="8" w:color="auto"/>
            </w:tcBorders>
            <w:vMerge w:val="continue"/>
          </w:tcPr>
          <w:p>
            <w:pPr>
              <w:spacing w:after="0"/>
              <w:rPr>
                <w:sz w:val="18"/>
                <w:szCs w:val="18"/>
                <w:color w:val="auto"/>
              </w:rPr>
            </w:pPr>
          </w:p>
        </w:tc>
        <w:tc>
          <w:tcPr>
            <w:tcW w:w="2920" w:type="dxa"/>
            <w:vAlign w:val="bottom"/>
            <w:tcBorders>
              <w:bottom w:val="single" w:sz="8" w:color="auto"/>
            </w:tcBorders>
            <w:vMerge w:val="continue"/>
          </w:tcPr>
          <w:p>
            <w:pPr>
              <w:spacing w:after="0"/>
              <w:rPr>
                <w:sz w:val="18"/>
                <w:szCs w:val="18"/>
                <w:color w:val="auto"/>
              </w:rPr>
            </w:pPr>
          </w:p>
        </w:tc>
        <w:tc>
          <w:tcPr>
            <w:tcW w:w="2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jc w:val="center"/>
              <w:ind w:right="39"/>
              <w:spacing w:after="0"/>
              <w:rPr>
                <w:sz w:val="20"/>
                <w:szCs w:val="20"/>
                <w:color w:val="auto"/>
              </w:rPr>
            </w:pPr>
            <w:r>
              <w:rPr>
                <w:rFonts w:ascii="Arial" w:cs="Arial" w:eastAsia="Arial" w:hAnsi="Arial"/>
                <w:sz w:val="14"/>
                <w:szCs w:val="14"/>
                <w:b w:val="1"/>
                <w:bCs w:val="1"/>
                <w:i w:val="1"/>
                <w:iCs w:val="1"/>
                <w:color w:val="auto"/>
                <w:w w:val="89"/>
              </w:rPr>
              <w:t>(in thousands)</w:t>
            </w:r>
          </w:p>
        </w:tc>
        <w:tc>
          <w:tcPr>
            <w:tcW w:w="24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8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rPr>
              <w:t>Contingent</w:t>
            </w:r>
          </w:p>
        </w:tc>
        <w:tc>
          <w:tcPr>
            <w:tcW w:w="440" w:type="dxa"/>
            <w:vAlign w:val="bottom"/>
            <w:shd w:val="clear" w:color="auto" w:fill="CCEEFF"/>
          </w:tcPr>
          <w:p>
            <w:pPr>
              <w:jc w:val="right"/>
              <w:spacing w:after="0" w:line="179"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79" w:lineRule="exact"/>
              <w:rPr>
                <w:sz w:val="20"/>
                <w:szCs w:val="20"/>
                <w:color w:val="auto"/>
              </w:rPr>
            </w:pPr>
            <w:r>
              <w:rPr>
                <w:rFonts w:ascii="Arial" w:cs="Arial" w:eastAsia="Arial" w:hAnsi="Arial"/>
                <w:sz w:val="18"/>
                <w:szCs w:val="18"/>
                <w:color w:val="auto"/>
              </w:rPr>
              <w:t>9,046</w:t>
            </w:r>
          </w:p>
        </w:tc>
        <w:tc>
          <w:tcPr>
            <w:tcW w:w="2400" w:type="dxa"/>
            <w:vAlign w:val="bottom"/>
            <w:shd w:val="clear" w:color="auto" w:fill="CCEEFF"/>
          </w:tcPr>
          <w:p>
            <w:pPr>
              <w:ind w:left="60"/>
              <w:spacing w:after="0" w:line="179" w:lineRule="exact"/>
              <w:rPr>
                <w:sz w:val="20"/>
                <w:szCs w:val="20"/>
                <w:color w:val="auto"/>
              </w:rPr>
            </w:pPr>
            <w:r>
              <w:rPr>
                <w:rFonts w:ascii="Arial" w:cs="Arial" w:eastAsia="Arial" w:hAnsi="Arial"/>
                <w:sz w:val="18"/>
                <w:szCs w:val="18"/>
                <w:color w:val="auto"/>
              </w:rPr>
              <w:t>Option pricing model</w:t>
            </w:r>
          </w:p>
        </w:tc>
        <w:tc>
          <w:tcPr>
            <w:tcW w:w="2920" w:type="dxa"/>
            <w:vAlign w:val="bottom"/>
            <w:shd w:val="clear" w:color="auto" w:fill="CCEEFF"/>
          </w:tcPr>
          <w:p>
            <w:pPr>
              <w:ind w:left="320"/>
              <w:spacing w:after="0" w:line="179" w:lineRule="exact"/>
              <w:rPr>
                <w:sz w:val="20"/>
                <w:szCs w:val="20"/>
                <w:color w:val="auto"/>
              </w:rPr>
            </w:pPr>
            <w:r>
              <w:rPr>
                <w:rFonts w:ascii="Arial" w:cs="Arial" w:eastAsia="Arial" w:hAnsi="Arial"/>
                <w:sz w:val="18"/>
                <w:szCs w:val="18"/>
                <w:color w:val="auto"/>
              </w:rPr>
              <w:t>Operating results growth rate</w:t>
            </w:r>
          </w:p>
        </w:tc>
        <w:tc>
          <w:tcPr>
            <w:tcW w:w="2860" w:type="dxa"/>
            <w:vAlign w:val="bottom"/>
            <w:shd w:val="clear" w:color="auto" w:fill="CCEEFF"/>
          </w:tcPr>
          <w:p>
            <w:pPr>
              <w:jc w:val="right"/>
              <w:spacing w:after="0" w:line="179" w:lineRule="exact"/>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consideration</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Discount rate</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hanging="328"/>
        <w:spacing w:after="0" w:line="277" w:lineRule="auto"/>
        <w:tabs>
          <w:tab w:leader="none" w:pos="606"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Discount rates are weighted by the relative undiscounted value of expected earnout payments. Other unobservable inputs are weighted by the relative maximum potential earnout payments.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INFORMATION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for the purpose of assessing performance and allocating resources.</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Home segment includes the following products: purchase mortgage, refinance mortgage, home equity loans and lines of credit, reverse mortgage loans, and real estate. The Consumer segment includes the following products: credit cards, personal loans, small business loans, student loans, auto loans, deposit accounts, and other credit products such as credit repair and debt settlement. The Insurance segment consists of insurance quote products. Revenue from the resale of online advertising space to third parties in the first quarter of 2020 is included within the Other category. The Company ceased reselling online advertising space during the first quarter of 2020.</w:t>
      </w:r>
    </w:p>
    <w:p>
      <w:pPr>
        <w:spacing w:after="0" w:line="1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following tables are a reconciliation of segment profit, which is the Company's primary segment profitability measure, to income before income taxes and discontinued operations. Segment cost of revenue and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 For the Other category, segment cost of revenue and marketing expense in the first quarter of 2020 also includes the portion of cost of revenue attributable to costs paid for advertising re-sold to third parties.</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center"/>
              <w:ind w:left="83"/>
              <w:spacing w:after="0"/>
              <w:rPr>
                <w:sz w:val="20"/>
                <w:szCs w:val="20"/>
                <w:color w:val="auto"/>
              </w:rPr>
            </w:pPr>
            <w:r>
              <w:rPr>
                <w:rFonts w:ascii="Arial" w:cs="Arial" w:eastAsia="Arial" w:hAnsi="Arial"/>
                <w:sz w:val="14"/>
                <w:szCs w:val="14"/>
                <w:b w:val="1"/>
                <w:bCs w:val="1"/>
                <w:color w:val="auto"/>
                <w:w w:val="95"/>
              </w:rPr>
              <w:t>Three Months Ended March 31, 2021</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7"/>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Insurance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80"/>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3"/>
              <w:spacing w:after="0"/>
              <w:rPr>
                <w:sz w:val="20"/>
                <w:szCs w:val="20"/>
                <w:color w:val="auto"/>
              </w:rPr>
            </w:pPr>
            <w:r>
              <w:rPr>
                <w:rFonts w:ascii="Arial" w:cs="Arial" w:eastAsia="Arial" w:hAnsi="Arial"/>
                <w:sz w:val="14"/>
                <w:szCs w:val="14"/>
                <w:b w:val="1"/>
                <w:bCs w:val="1"/>
                <w:i w:val="1"/>
                <w:iCs w:val="1"/>
                <w:color w:val="auto"/>
                <w:w w:val="89"/>
              </w:rPr>
              <w:t>(in thousands)</w:t>
            </w: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128,125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57,907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86,614</w:t>
            </w:r>
          </w:p>
        </w:tc>
        <w:tc>
          <w:tcPr>
            <w:tcW w:w="860" w:type="dxa"/>
            <w:vAlign w:val="bottom"/>
            <w:shd w:val="clear" w:color="auto" w:fill="CCEEFF"/>
          </w:tcPr>
          <w:p>
            <w:pPr>
              <w:jc w:val="right"/>
              <w:ind w:right="664"/>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104</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272,750</w:t>
            </w:r>
          </w:p>
        </w:tc>
      </w:tr>
      <w:tr>
        <w:trPr>
          <w:trHeight w:val="213"/>
        </w:trPr>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89,135</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33,300</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53,772</w:t>
            </w: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196</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176,403</w:t>
            </w:r>
          </w:p>
        </w:tc>
      </w:tr>
      <w:tr>
        <w:trPr>
          <w:trHeight w:val="213"/>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38,990</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24,607</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32,842</w:t>
            </w:r>
          </w:p>
        </w:tc>
        <w:tc>
          <w:tcPr>
            <w:tcW w:w="8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b w:val="1"/>
                <w:bCs w:val="1"/>
                <w:color w:val="auto"/>
                <w:w w:val="98"/>
              </w:rPr>
              <w:t>(92)</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96,347</w:t>
            </w:r>
          </w:p>
        </w:tc>
      </w:tr>
      <w:tr>
        <w:trPr>
          <w:trHeight w:val="206"/>
        </w:trPr>
        <w:tc>
          <w:tcPr>
            <w:tcW w:w="5180" w:type="dxa"/>
            <w:vAlign w:val="bottom"/>
          </w:tcPr>
          <w:p>
            <w:pPr>
              <w:ind w:left="12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13,895</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21,059</w:t>
            </w: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34,989</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12,468</w:t>
            </w: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3,718</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11,312</w:t>
            </w: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797</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7"/>
        </w:trPr>
        <w:tc>
          <w:tcPr>
            <w:tcW w:w="5180" w:type="dxa"/>
            <w:vAlign w:val="bottom"/>
          </w:tcPr>
          <w:p>
            <w:pPr>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(1,907)</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(10,215)</w:t>
            </w:r>
          </w:p>
        </w:tc>
      </w:tr>
      <w:tr>
        <w:trPr>
          <w:trHeight w:val="213"/>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40,072</w:t>
            </w:r>
          </w:p>
        </w:tc>
      </w:tr>
      <w:tr>
        <w:trPr>
          <w:trHeight w:val="220"/>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27,950</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jc w:val="center"/>
              <w:ind w:right="121"/>
              <w:spacing w:after="0"/>
              <w:rPr>
                <w:sz w:val="20"/>
                <w:szCs w:val="20"/>
                <w:color w:val="auto"/>
              </w:rPr>
            </w:pPr>
            <w:r>
              <w:rPr>
                <w:rFonts w:ascii="Arial" w:cs="Arial" w:eastAsia="Arial" w:hAnsi="Arial"/>
                <w:sz w:val="14"/>
                <w:szCs w:val="14"/>
                <w:b w:val="1"/>
                <w:bCs w:val="1"/>
                <w:color w:val="auto"/>
                <w:w w:val="95"/>
              </w:rPr>
              <w:t>Three Months Ended March 31, 2020</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Insurance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3"/>
              <w:spacing w:after="0"/>
              <w:rPr>
                <w:sz w:val="20"/>
                <w:szCs w:val="20"/>
                <w:color w:val="auto"/>
              </w:rPr>
            </w:pPr>
            <w:r>
              <w:rPr>
                <w:rFonts w:ascii="Arial" w:cs="Arial" w:eastAsia="Arial" w:hAnsi="Arial"/>
                <w:sz w:val="14"/>
                <w:szCs w:val="14"/>
                <w:b w:val="1"/>
                <w:bCs w:val="1"/>
                <w:i w:val="1"/>
                <w:iCs w:val="1"/>
                <w:color w:val="auto"/>
                <w:w w:val="89"/>
              </w:rPr>
              <w:t>(in thousands)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79,174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119,924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82,737</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283,084</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Segment cost of revenue and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43,263</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76,825</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52,204</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173,869</w:t>
            </w:r>
          </w:p>
        </w:tc>
        <w:tc>
          <w:tcPr>
            <w:tcW w:w="0" w:type="dxa"/>
            <w:vAlign w:val="bottom"/>
          </w:tcPr>
          <w:p>
            <w:pPr>
              <w:spacing w:after="0"/>
              <w:rPr>
                <w:sz w:val="1"/>
                <w:szCs w:val="1"/>
                <w:color w:val="auto"/>
              </w:rPr>
            </w:pPr>
          </w:p>
        </w:tc>
      </w:tr>
      <w:tr>
        <w:trPr>
          <w:trHeight w:val="213"/>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Segment profit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35,911</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43,099</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30,533</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(328)</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109,215</w:t>
            </w:r>
          </w:p>
        </w:tc>
        <w:tc>
          <w:tcPr>
            <w:tcW w:w="0" w:type="dxa"/>
            <w:vAlign w:val="bottom"/>
          </w:tcPr>
          <w:p>
            <w:pPr>
              <w:spacing w:after="0"/>
              <w:rPr>
                <w:sz w:val="1"/>
                <w:szCs w:val="1"/>
                <w:color w:val="auto"/>
              </w:rPr>
            </w:pPr>
          </w:p>
        </w:tc>
      </w:tr>
      <w:tr>
        <w:trPr>
          <w:trHeight w:val="146"/>
        </w:trPr>
        <w:tc>
          <w:tcPr>
            <w:tcW w:w="5180" w:type="dxa"/>
            <w:vAlign w:val="bottom"/>
          </w:tcPr>
          <w:p>
            <w:pPr>
              <w:ind w:left="120"/>
              <w:spacing w:after="0" w:line="146" w:lineRule="exact"/>
              <w:rPr>
                <w:sz w:val="20"/>
                <w:szCs w:val="20"/>
                <w:color w:val="auto"/>
              </w:rPr>
            </w:pPr>
            <w:r>
              <w:rPr>
                <w:rFonts w:ascii="Arial" w:cs="Arial" w:eastAsia="Arial" w:hAnsi="Arial"/>
                <w:sz w:val="16"/>
                <w:szCs w:val="16"/>
                <w:color w:val="auto"/>
              </w:rPr>
              <w:t>Cost of revenue (exclusive of cost of advertising re-sold to third parties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13,166</w:t>
            </w:r>
          </w:p>
        </w:tc>
        <w:tc>
          <w:tcPr>
            <w:tcW w:w="0" w:type="dxa"/>
            <w:vAlign w:val="bottom"/>
          </w:tcPr>
          <w:p>
            <w:pPr>
              <w:spacing w:after="0"/>
              <w:rPr>
                <w:sz w:val="1"/>
                <w:szCs w:val="1"/>
                <w:color w:val="auto"/>
              </w:rPr>
            </w:pPr>
          </w:p>
        </w:tc>
      </w:tr>
      <w:tr>
        <w:trPr>
          <w:trHeight w:val="209"/>
        </w:trPr>
        <w:tc>
          <w:tcPr>
            <w:tcW w:w="5180" w:type="dxa"/>
            <w:vAlign w:val="bottom"/>
          </w:tcPr>
          <w:p>
            <w:pPr>
              <w:ind w:left="120"/>
              <w:spacing w:after="0"/>
              <w:rPr>
                <w:sz w:val="20"/>
                <w:szCs w:val="20"/>
                <w:color w:val="auto"/>
              </w:rPr>
            </w:pPr>
            <w:r>
              <w:rPr>
                <w:rFonts w:ascii="Arial" w:cs="Arial" w:eastAsia="Arial" w:hAnsi="Arial"/>
                <w:sz w:val="16"/>
                <w:szCs w:val="16"/>
                <w:color w:val="auto"/>
              </w:rPr>
              <w:t>included above)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22,755</w:t>
            </w:r>
          </w:p>
        </w:tc>
        <w:tc>
          <w:tcPr>
            <w:tcW w:w="0" w:type="dxa"/>
            <w:vAlign w:val="bottom"/>
          </w:tcPr>
          <w:p>
            <w:pPr>
              <w:spacing w:after="0"/>
              <w:rPr>
                <w:sz w:val="1"/>
                <w:szCs w:val="1"/>
                <w:color w:val="auto"/>
              </w:rPr>
            </w:pP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32,082</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10,963</w:t>
            </w:r>
          </w:p>
        </w:tc>
        <w:tc>
          <w:tcPr>
            <w:tcW w:w="0" w:type="dxa"/>
            <w:vAlign w:val="bottom"/>
          </w:tcPr>
          <w:p>
            <w:pPr>
              <w:spacing w:after="0"/>
              <w:rPr>
                <w:sz w:val="1"/>
                <w:szCs w:val="1"/>
                <w:color w:val="auto"/>
              </w:rPr>
            </w:pP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3,378</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13,757</w:t>
            </w:r>
          </w:p>
        </w:tc>
        <w:tc>
          <w:tcPr>
            <w:tcW w:w="0" w:type="dxa"/>
            <w:vAlign w:val="bottom"/>
          </w:tcPr>
          <w:p>
            <w:pPr>
              <w:spacing w:after="0"/>
              <w:rPr>
                <w:sz w:val="1"/>
                <w:szCs w:val="1"/>
                <w:color w:val="auto"/>
              </w:rPr>
            </w:pP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(8,122)</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Severance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20,749</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Interest expense, net</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(4,834)</w:t>
            </w:r>
          </w:p>
        </w:tc>
        <w:tc>
          <w:tcPr>
            <w:tcW w:w="0" w:type="dxa"/>
            <w:vAlign w:val="bottom"/>
          </w:tcPr>
          <w:p>
            <w:pPr>
              <w:spacing w:after="0"/>
              <w:rPr>
                <w:sz w:val="1"/>
                <w:szCs w:val="1"/>
                <w:color w:val="auto"/>
              </w:rPr>
            </w:pPr>
          </w:p>
        </w:tc>
      </w:tr>
      <w:tr>
        <w:trPr>
          <w:trHeight w:val="220"/>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15,915</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17—DISCONTINUED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LendingTree Loans Business is presented as discontinued operations in the accompanying financial statements. The LendingTree Loans Business originated various consumer mortgage loans through HLC. On June 6, 2012, the Company sold substantially all of the operating assets of HLC, including the LendingTree Loans Business, for $55.9 million in cash to a wholly-owned subsidiary of Discover Financial Services ("Discover"). Discover generally did not assume liabilities of HLC that arose before the closing date, except for certain liabilities directly related to assets Discover acquired. A portion of the purchase price received was deposited in escrow in accordance with the purchase agreement with Discover for certain loan loss obligations that remained with HLC following the sale. During 2018, the remaining funds in escrow were released to HLC in accordance with the terms of the purchase agreement with Discover.</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closing of the sale of substantially all of the operating assets of HLC on June 6, 2012, HLC ceased to originate consumer loans. Certain liability for losses on previously sold loans remains with HLC.</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Litigation settlements and contingencies and legal fees associated with ongoing related bankruptcy and legal proceedings against the Company are included in discontinued operations in the accompanying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Loan Center, Inc. Bankruptcy Filing</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On June 21, 2019, the U.S. District Court of Minnesota entered judgment in </w:t>
      </w:r>
      <w:r>
        <w:rPr>
          <w:rFonts w:ascii="Arial" w:cs="Arial" w:eastAsia="Arial" w:hAnsi="Arial"/>
          <w:sz w:val="18"/>
          <w:szCs w:val="18"/>
          <w:i w:val="1"/>
          <w:iCs w:val="1"/>
          <w:color w:val="auto"/>
        </w:rPr>
        <w:t>ResCap Liquidating Trust v. Home Loan Center, Inc.</w:t>
      </w:r>
      <w:r>
        <w:rPr>
          <w:rFonts w:ascii="Arial" w:cs="Arial" w:eastAsia="Arial" w:hAnsi="Arial"/>
          <w:sz w:val="18"/>
          <w:szCs w:val="18"/>
          <w:color w:val="auto"/>
        </w:rPr>
        <w:t xml:space="preserve">, against HLC for $68.5 million, </w:t>
      </w:r>
      <w:r>
        <w:rPr>
          <w:rFonts w:ascii="Arial" w:cs="Arial" w:eastAsia="Arial" w:hAnsi="Arial"/>
          <w:sz w:val="18"/>
          <w:szCs w:val="18"/>
          <w:i w:val="1"/>
          <w:iCs w:val="1"/>
          <w:color w:val="auto"/>
        </w:rPr>
        <w:t>see</w:t>
      </w:r>
      <w:r>
        <w:rPr>
          <w:rFonts w:ascii="Arial" w:cs="Arial" w:eastAsia="Arial" w:hAnsi="Arial"/>
          <w:sz w:val="18"/>
          <w:szCs w:val="18"/>
          <w:color w:val="auto"/>
        </w:rPr>
        <w:t xml:space="preserve"> Litigation Related to Discontinued Operations below. The judgment against HLC exceeded the assets of HLC, which were $11.2 million at July 21, 2019, including cash of $5.9 million. On July 19, 2019, HLC appealed the judgment to the United States Court of Appeals for the Eighth Circuit.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21, 2019, at the direction of the sole independent director of HLC, HLC voluntarily filed a petition under Chapter 11 of the United States Bankruptcy Code (the “Bankruptcy Code”) with the U.S. Bankruptcy Court in the Northern District of California in San Jose, California (the “Bankruptcy Court”) in order to preserve assets for the benefit of all creditors of HLC. On September 16, 2019, the Bankruptcy Court converted the bankruptcy to Chapter 7 of the Bankruptcy Code and appointed a Trustee to liquidate HLC's assets.</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a result of the voluntary petition, LendingTree, LLC was, as of the initial July 21, 2019 bankruptcy petition filing date, no longer deemed to have a controlling interest in HLC under applicable accounting standards. As a result, HLC and its consolidated subsidiary were deconsolidated from the Company’s consolidated financial statements as of July 21, 2019. The effect of such deconsolidation was the elimination of the consolidated assets and liabilities of HLC (and its consolidated subsidiary) from the Company’s consolidated balance sheets. Upon deconsolidation, in 2019 the Company recognized a loss of $5.5 million which includes a net gain of $4.5 million related to the removal of HLC's (and its consolidated subsidiary's) assets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liabilities and the recognition of a liability of $10.0 million related to LendingTree, LLC's ownership in HLC. No consideration was received by the Company as a result of the deconsolidation.</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HLC has indicated that it believes that it has claims against HLC’s sole shareholder, LendingTree, LLC, and certain of its officers and directors, relating to the declaration of a dividend by HLC in January 2016 of $40.0 million. LendingTree, LLC believes the declaration of the dividend was proper, that the amounts paid to LendingTree, LLC following such declaration are not subject to recovery by HLC and that any claims by HLC relating to such dividend declaration are without merit. During the second quarter of 2020, LendingTree, LLC and HLC entered into a settlement agreement in the amount of $36.0 million for the release of any and all claims against the Company defendants by HLC, including the dividend claim. The bankruptcy court held a hearing on July 16, 2020 on the motion to approve the settlement to which no objections were made, and approved the settlement the same day. The $36.0 million settlement payment was made in the third quarter of 2020. HLC’s voluntary petition under the Bankruptcy Code does not represent an event of default under LendingTree, LLC’s Second Amended and Restated Credit Agreement dated as of December 10, 2019, the Company’s indenture dated May 31, 2017 with respect to the Company’s 0.625% Convertible Senior Notes due 2022, or the Company’s indenture dated July 24, 2020 with respect to the Company’s 0.50% Convertible Senior Notes due 2025.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ResCap Liquidating Trust v. Home Loan Center, Inc., Case No. 14-cv-1716 (U.S. Dist. Ct., Minn.), </w:t>
      </w:r>
      <w:r>
        <w:rPr>
          <w:rFonts w:ascii="Arial" w:cs="Arial" w:eastAsia="Arial" w:hAnsi="Arial"/>
          <w:sz w:val="18"/>
          <w:szCs w:val="18"/>
          <w:color w:val="auto"/>
        </w:rPr>
        <w:t>successor to</w:t>
      </w:r>
      <w:r>
        <w:rPr>
          <w:rFonts w:ascii="Arial" w:cs="Arial" w:eastAsia="Arial" w:hAnsi="Arial"/>
          <w:sz w:val="18"/>
          <w:szCs w:val="18"/>
          <w:i w:val="1"/>
          <w:iCs w:val="1"/>
          <w:color w:val="auto"/>
        </w:rPr>
        <w:t xml:space="preserve"> Residential Funding Company, LLC v Home Loan Center, Inc., No. 13-cv-3451 (U.S. Dist. Ct., Minn.). </w:t>
      </w:r>
      <w:r>
        <w:rPr>
          <w:rFonts w:ascii="Arial" w:cs="Arial" w:eastAsia="Arial" w:hAnsi="Arial"/>
          <w:sz w:val="18"/>
          <w:szCs w:val="18"/>
          <w:color w:val="auto"/>
        </w:rPr>
        <w:t>On or about December 16, 2013, Home Loan Center, Inc. was served in the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captioned matter, which involves claims of Residential Funding Company, LLC ("RFC") for damages for breach of contract and indemnification for certain residential mortgage loans as well as residential mortgage-backed securitizations ("RMBS") containing mortgage loans. RFC asserted that, beginning in 2008, RFC faced massive repurchase demands and lawsuits from purchasers or insurers of the loans and RMBS that RFC had sold. RFC filed for bankruptcy protection in May 2012. Plaintiff alleged that, after RFC filed for Chapter 11 protection, hundreds of proofs of claim were filed, many of which mirrored the litigation filed against RFC prior to its bankruptcy.</w:t>
      </w:r>
    </w:p>
    <w:p>
      <w:pPr>
        <w:spacing w:after="0" w:line="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HLC, in federal and state courts in Minnesota and New York. In each case, plaintiff claimed that the defendant is liable for a portion of the global settlement in RFC’s bankruptcy.</w:t>
      </w:r>
    </w:p>
    <w:p>
      <w:pPr>
        <w:spacing w:after="0" w:line="4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Plaintiff asserted two claims against HLC: (1) breach of contract based on HLC’s alleged breach of representations and warranties concerning the quality and characteristics of the mortgage loans it sold to RFC; and (2) contractual indemnification for alleged liabilities, losses, and damages incurred by RFC arising out of purported defects in loans that RFC purchased from HLC and sold to third parties. Plaintiff alleged that the “types of defects” contained in the loans it purchased from HLC included “income misrepresentation, employment misrepresentation, appraisal misrepresentations or inaccuracies, undisclosed debt, and missing or inaccurate documents.” Plaintiff sought damages of up to $61.0 million plus attorney's fees and prejudgment interest.</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HLC denied the material allegations of the complaint and asserted numerous defenses thereto. The matter went to trial in the fourth quarter of 2018 and the jury returned a verdict of $28.7 million in favor of plaintiff. On June 21, 2019, the U.S. District Court in Minnesota entered judgment against HLC for $68.5 million. The judgment is comprised of: (i) $28.7 million in damages awarded by the jury; (ii) $14.1 million in pre-verdict interest; (iii) $23.1 million in attorneys' fees and costs, and (iv) $2.6 million in post-verdict, prejudgment interest.</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HLC’s filing under the Bankruptcy Code discussed above in Home Loan Center, Inc. Bankruptcy Filing creates an automatic stay of enforcement of the judgment entered against HLC by the U.S. District Court in Minnesota. On August 27, 2019, plaintiff filed a lawsuit captioned </w:t>
      </w:r>
      <w:r>
        <w:rPr>
          <w:rFonts w:ascii="Arial" w:cs="Arial" w:eastAsia="Arial" w:hAnsi="Arial"/>
          <w:sz w:val="17"/>
          <w:szCs w:val="17"/>
          <w:i w:val="1"/>
          <w:iCs w:val="1"/>
          <w:color w:val="auto"/>
        </w:rPr>
        <w:t>ResCap Liquidating</w:t>
      </w:r>
      <w:r>
        <w:rPr>
          <w:rFonts w:ascii="Arial" w:cs="Arial" w:eastAsia="Arial" w:hAnsi="Arial"/>
          <w:sz w:val="17"/>
          <w:szCs w:val="17"/>
          <w:color w:val="auto"/>
        </w:rPr>
        <w:t xml:space="preserve"> </w:t>
      </w:r>
      <w:r>
        <w:rPr>
          <w:rFonts w:ascii="Arial" w:cs="Arial" w:eastAsia="Arial" w:hAnsi="Arial"/>
          <w:sz w:val="17"/>
          <w:szCs w:val="17"/>
          <w:i w:val="1"/>
          <w:iCs w:val="1"/>
          <w:color w:val="auto"/>
        </w:rPr>
        <w:t>Trust v. LendingTree, LLC, et al., Case No. 19-cv-2360 (U.S. Dist. Ct., Minn.)</w:t>
      </w:r>
      <w:r>
        <w:rPr>
          <w:rFonts w:ascii="Arial" w:cs="Arial" w:eastAsia="Arial" w:hAnsi="Arial"/>
          <w:sz w:val="17"/>
          <w:szCs w:val="17"/>
          <w:color w:val="auto"/>
        </w:rPr>
        <w:t>, seeking to hold the Company liable for the judgment against HLC, under</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 of liability, agency and alter ego theories. The Company believes that these claims lack merit. On October 17, 2019, the Company filed a motion to dismiss the liability and agency claims, and oral arguments with respect to such motion were held on January 10, 2020. On March 20, 2020, the court denied the Company's motion to dismiss, or in the alternative, to compel arbitration, and on April 3, 2020, the Company appealed the court's findings with respect to the Company's request to compel arbitration of the first count of the lawsuit. On June 17, 2020, the Company entered into a settlement agreement with ResCap, pursuant to which, the Company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agreed to, among other things, pay ResCap $58.5 million, less any amounts ResCap receives in the HLC bankruptcy, in exchange for, among other things, ResCap releasing any and all claims against the Company, and the Company’s directors and officers, including any claims asserted in ResCap v. LendingTree. Pursuant to the settlement agreement, the Company will be responsible for the difference of $58.5 million minus the amount that ResCap receives through the HLC Bankruptcy. In the third and fourth quarters of 2020, the Company made payments of $26.5 million and $6.4 million, respectively, to the ResCap Liquidating Trust. The Company expects to be refunded $8.6 million of these amounts, subsequent to the final distributions in the HLC Bankruptcy. This $8.6 million is recorded within current assets of discontinued operations on the accompanying consolidated balance sheet as of March 31, 2021.</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Lehman Brothers Holdings Inc. v. 1st Advantage Mortgage, LLC et al., Case No. 08-13555 (SCC), Adversary Proceeding No. 16-01342 (SCC) (Bankr. S.D.N.Y.). </w:t>
      </w:r>
      <w:r>
        <w:rPr>
          <w:rFonts w:ascii="Arial" w:cs="Arial" w:eastAsia="Arial" w:hAnsi="Arial"/>
          <w:sz w:val="17"/>
          <w:szCs w:val="17"/>
          <w:color w:val="auto"/>
        </w:rPr>
        <w:t>In February 2016, Lehman Brothers Holdings, Inc. (“LBHI”) filed an Adversary Complaint against HLC and approximately 149 other</w:t>
      </w:r>
      <w:r>
        <w:rPr>
          <w:rFonts w:ascii="Arial" w:cs="Arial" w:eastAsia="Arial" w:hAnsi="Arial"/>
          <w:sz w:val="17"/>
          <w:szCs w:val="17"/>
          <w:i w:val="1"/>
          <w:iCs w:val="1"/>
          <w:color w:val="auto"/>
        </w:rPr>
        <w:t xml:space="preserve"> </w:t>
      </w:r>
      <w:r>
        <w:rPr>
          <w:rFonts w:ascii="Arial" w:cs="Arial" w:eastAsia="Arial" w:hAnsi="Arial"/>
          <w:sz w:val="17"/>
          <w:szCs w:val="17"/>
          <w:color w:val="auto"/>
        </w:rPr>
        <w:t>defendants (the "Complaint"). In December 2018, LBHI amended its complaint against HLC. The amended complaint references approximately 370 allegedly defective mortgage loans sold by HLC with purported "Claim Amounts" totaling $40.2 million. LBHI alleges it settled all such claims and is seeking indemnification from HLC for LBHI’s purported losses and liabilities associated with such settlements, plus prejudgment interest, attorneys’ fees, litigation costs and other expenses. The amended complaint does not specify the amount of LBHI’s purported damages. On December 4, 2019, LBHI filed a $44.7 million proof of claim in HLC’s bankruptcy seeking recovery for the claims asserted in the lawsuit. The Company believes that these claims lack merit and understands that HLC intends to defend this action vigorously.</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HLC’s filing under the Bankruptcy Code discussed above in Home Loan Center, Inc. Bankruptcy Filing creates an automatic stay of this proceeding. On June 11, 2020, LBHI filed a lawsuit captioned </w:t>
      </w:r>
      <w:r>
        <w:rPr>
          <w:rFonts w:ascii="Arial" w:cs="Arial" w:eastAsia="Arial" w:hAnsi="Arial"/>
          <w:sz w:val="17"/>
          <w:szCs w:val="17"/>
          <w:i w:val="1"/>
          <w:iCs w:val="1"/>
          <w:color w:val="auto"/>
        </w:rPr>
        <w:t>Lehman Brothers Holdings Inc. v. LendingTree, LLC, et al., Case No. 20-cv-01351 (U.S. Dist. Ct.,</w:t>
      </w:r>
      <w:r>
        <w:rPr>
          <w:rFonts w:ascii="Arial" w:cs="Arial" w:eastAsia="Arial" w:hAnsi="Arial"/>
          <w:sz w:val="17"/>
          <w:szCs w:val="17"/>
          <w:color w:val="auto"/>
        </w:rPr>
        <w:t xml:space="preserve"> </w:t>
      </w:r>
      <w:r>
        <w:rPr>
          <w:rFonts w:ascii="Arial" w:cs="Arial" w:eastAsia="Arial" w:hAnsi="Arial"/>
          <w:sz w:val="17"/>
          <w:szCs w:val="17"/>
          <w:i w:val="1"/>
          <w:iCs w:val="1"/>
          <w:color w:val="auto"/>
        </w:rPr>
        <w:t>Minn.), transferred to Case No. 08-13555 (SCC), Adversary Proceeding No. 21-01107 (SCC) (Bankr. S.D.N.Y.)</w:t>
      </w:r>
      <w:r>
        <w:rPr>
          <w:rFonts w:ascii="Arial" w:cs="Arial" w:eastAsia="Arial" w:hAnsi="Arial"/>
          <w:sz w:val="17"/>
          <w:szCs w:val="17"/>
          <w:color w:val="auto"/>
        </w:rPr>
        <w:t>, seeking to hold the Company liable for</w:t>
      </w:r>
      <w:r>
        <w:rPr>
          <w:rFonts w:ascii="Arial" w:cs="Arial" w:eastAsia="Arial" w:hAnsi="Arial"/>
          <w:sz w:val="17"/>
          <w:szCs w:val="17"/>
          <w:i w:val="1"/>
          <w:iCs w:val="1"/>
          <w:color w:val="auto"/>
        </w:rPr>
        <w:t xml:space="preserve"> </w:t>
      </w:r>
      <w:r>
        <w:rPr>
          <w:rFonts w:ascii="Arial" w:cs="Arial" w:eastAsia="Arial" w:hAnsi="Arial"/>
          <w:sz w:val="17"/>
          <w:szCs w:val="17"/>
          <w:color w:val="auto"/>
        </w:rPr>
        <w:t>their allowed bankruptcy claim of $13.3 million, under assumption of liability, agency and alter ego theories. The Company believes that these claims lack merit and intends to defend this action vigorously. In April 2021, the Company made a settlement offer to LBHI for $0.8 million, which is included as a liability on the accompanying consolidated balance sheet as of March 31,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of Discontinued Operations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components of net loss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1"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24"/>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78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50"/>
        </w:trPr>
        <w:tc>
          <w:tcPr>
            <w:tcW w:w="8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(353)</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w:t>
            </w: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r>
      <w:tr>
        <w:trPr>
          <w:trHeight w:val="230"/>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Net loss</w:t>
            </w:r>
          </w:p>
        </w:tc>
        <w:tc>
          <w:tcPr>
            <w:tcW w:w="78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(263)</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(4,575)</w:t>
            </w: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Losses from discontinued operations included all activity of HLC prior to bankruptcy, including litigation settlements, contingencies and legal fees associated with legal proceedings.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discontinued operations also include litigation settlements and contingencies and legal fees associated with ongoing legal proceedings against LendingTree, Inc. or LendingTree, LLC that arose due to the LendingTree Loans Business or the HLC bankruptcy filing.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identifies forward-looking statements.</w:t>
      </w:r>
    </w:p>
    <w:p>
      <w:pPr>
        <w:spacing w:after="0" w:line="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elsewhere in this quarterly report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2020 Annual Report.</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and LendingTree, LLC owns several companies.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and lines of credit, reverse mortgage loans, auto loans, credit cards, deposit accounts, personal loans, student loans, small business loans, insurance quotes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 or products, they are seeking. We also serve as a valued partner to lenders and other providers seeking an efficient, scalable and flexible source of customer acquisition with directly measurable benefits, by matching the consumer inquiries we generate with these Network Partners.</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My LendingTree platform offers a personalized comparison-shopping experience by providing free credit scores and credit score analysis. This platform enables us to monitor consumers' credit profiles and then identify and alert them to loans and other offerings on our marketplace that may be more favorable than the terms they may have at a given point in time. This is designed to provide consumers with measurable savings opportunities over their lifetimes.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focused on developing new product offerings and enhancements to improve the experiences that consumers and Network Partners have as they interact with us. By expanding our portfolio of financial services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partner network place us in a strong position to continue to benefit from this market shift.</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LendingTree Loans business is presented as discontinued operations in the accompanying consolidated balance sheets, consolidated statements of operations and comprehensive income and consolidated cash flows for all periods presented. Except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discussion under the heading "Discontinued Operations," the analysis within Management's Discussion and Analysis of Financial Condition and Results of Operations reflects our continuing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March 2020, a global pandemic was declared by the World Health Organization related to the rapidly growing outbreak of a novel strain of coronavirus ("COVID-19"). The pandemic has significantly impacted the economic conditions in the U.S., as federal, state and local governments react to the public health crisis, creating significant uncertainties in the U.S. economy. The downstream impact of various lockdown orders and related economic pullback are affecting our business and marketplace participants to varying degrees. We are continuously monitoring the impacts of the current economic conditions related to the COVID-19 pandemic and the effect on our business, financial condition and results of operations.</w:t>
      </w:r>
    </w:p>
    <w:p>
      <w:pPr>
        <w:spacing w:after="0" w:line="1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Of our three reportable segments, the Consumer segment has been most impacted. The impact to our Home and Insurance segments was much less substantial and these segments recovered by the end of 2020. While forecasting the timeline of full recovery for the Consumer segment remains challenging, the momentum of recovery has increased in each quarter subsequent to the onset of the COVID-19 pandemic. We are encouraged by the progress made, and continue to view the Consumer segment with optimism over the medium to long term. Most of our selling and marketing expenses are variable costs that we adjust dynamically in relation to revenue opportunities to profitably meet demand. Thus, as our revenue was negatively impacted during the recession, our marketing expenses generally decreased in line with revenue.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three reportable segments: Home, Consumer and Insurance.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On February 28, 2020, we acquired an equity interest in Stash Financial, Inc. (“Stash”) for $80.0 million. On January 6, 2021, we acquired additional equity interest for $1.2 million.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7—Equity Investment for additional information on the equity interest in Stash.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Carolina Office Properties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new corporate office is located on approximately 176,000 square feet of office space in Charlotte, North Carolina under an approximate 15-year lease that contractually commenced in April 2021.</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our expansion in North Carolina, in December 2016, we received a grant from the state that provides up to $4.9 million in reimbursements over 12 years beginning in 2017 for investing in real estate and infrastructure in addition to increasing jobs in North Carolina at specific targeted levels through 2020, and maintaining the jobs thereafter. Additionally, the city of Charlotte and the county of Mecklenburg provided a grant that will be paid over five years and is based on a percentage of new property tax we pay on the development of a corporate headquarters. In December 2018, we received an additional grant from the state that provides up to $8.4 million in reimbursements over 12 years beginning in 2020 for increasing jobs in North Carolina at specific targeted levels through 2023, and maintaining the jobs thereafter.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1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refinancings and, accordingly, lenders receive more organic mortgage lead volume. Due to lower lender demand, our revenue earned per consumer typically decreases, but with correspondingly lower selling and marketing costs.</w:t>
      </w:r>
    </w:p>
    <w:p>
      <w:pPr>
        <w:spacing w:after="0" w:line="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dynamically adjust selling and marketing expenditures in all interest rate environments to optimize our results against these variables.</w:t>
      </w:r>
    </w:p>
    <w:p>
      <w:pPr>
        <w:spacing w:after="0" w:line="1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According to Freddie Mac, 30-year mortgage interest rates increased from a monthly average of 2.68% in December 2020 to a monthly average of 3.08% in March 2021. On a quarterly basis, 30-year mortgage interest rates in the first quarter of 2021 averaged 2.88%, compared to 3.51% in the first quarter of 2020 and 2.76% in the fourth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91440</wp:posOffset>
            </wp:positionV>
            <wp:extent cx="4972050" cy="3240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7205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Typically, as mortgage interest rates rise, there are fewer consumers in the marketplace seeking refinancings and, accordingly, the mix of mortgage origination dollars will move toward purchase mortgages. However, limited inventory of homes for sale have impacted this trend in recent months. According to Mortgage Bankers Association ("MBA") data, total refinance origination dollars increased to 71% of total mortgage origination dollars in the first quarter of 2021 compared to 67% in the fourth quarter of 2020. In the first quarter of 2021, total refinance origination dollars decreased 9% from the fourth quarter of 2020 and increased 153% from the first quarter of 2020. Industry-wide mortgage origination dollars in the first quarter of 2021 decreased 13% from the fourth quarter of 2020 and increased 94% from first quarter of 2020.</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April 2021, the MBA projected 30-year mortgage interest rates to increase during 2021, to an average 3.7% for the year. According to MBA projections, the mix of mortgage origination dollars is expected to move back towards purchase mortgages with the refinance share representing approximately 49% for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According to Fannie Mae data, existing-home sales decreased 6% in the first quarter of 2021 compared to the fourth quarter of 2020, and increased 13% compared to the first quarter of 2020. Fannie Mae predicts an overall increase in existing-home sales of approximately 5% in 2021 compared to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2021 and 2020</w:t>
      </w:r>
    </w:p>
    <w:p>
      <w:pPr>
        <w:spacing w:after="0" w:line="149"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9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520"/>
              <w:spacing w:after="0" w:line="135"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tcPr>
          <w:p>
            <w:pPr>
              <w:jc w:val="right"/>
              <w:ind w:right="220"/>
              <w:spacing w:after="0" w:line="13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gridSpan w:val="3"/>
          </w:tcPr>
          <w:p>
            <w:pPr>
              <w:jc w:val="right"/>
              <w:ind w:right="500"/>
              <w:spacing w:after="0"/>
              <w:rPr>
                <w:sz w:val="20"/>
                <w:szCs w:val="20"/>
                <w:color w:val="auto"/>
              </w:rPr>
            </w:pPr>
            <w:r>
              <w:rPr>
                <w:rFonts w:ascii="Arial" w:cs="Arial" w:eastAsia="Arial" w:hAnsi="Arial"/>
                <w:sz w:val="13"/>
                <w:szCs w:val="13"/>
                <w:b w:val="1"/>
                <w:bCs w:val="1"/>
                <w:i w:val="1"/>
                <w:iCs w:val="1"/>
                <w:color w:val="auto"/>
              </w:rPr>
              <w:t>(Dollars in thousands)</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128,125</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79,174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48,951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Consumer</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57,907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119,924</w:t>
            </w:r>
          </w:p>
        </w:tc>
        <w:tc>
          <w:tcPr>
            <w:tcW w:w="18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(62,017)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Insurance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86,614</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82,737</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3,877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(1,145)</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272,750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283,084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(10,334)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16"/>
                <w:szCs w:val="16"/>
                <w:i w:val="1"/>
                <w:iCs w:val="1"/>
                <w:color w:val="auto"/>
              </w:rPr>
              <w:t>(exclusive of depreciation and amortization shown separately below)</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13,895</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14,252</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(357)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Selling and marketing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197,462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195,538</w:t>
            </w:r>
          </w:p>
        </w:tc>
        <w:tc>
          <w:tcPr>
            <w:tcW w:w="18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1,924</w:t>
            </w: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34,989</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32,082</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2,907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12,468</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10,963</w:t>
            </w:r>
          </w:p>
        </w:tc>
        <w:tc>
          <w:tcPr>
            <w:tcW w:w="18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1,505</w:t>
            </w: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3,718</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3,378</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340</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Amortization of intangibles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11,312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13,757</w:t>
            </w:r>
          </w:p>
        </w:tc>
        <w:tc>
          <w:tcPr>
            <w:tcW w:w="18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(2,445)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fair value of contingent consideration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(8,122)</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8,919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Severance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158</w:t>
            </w:r>
          </w:p>
        </w:tc>
        <w:tc>
          <w:tcPr>
            <w:tcW w:w="18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(158)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Litigation settlements and contingencies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(313)</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0"/>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costs and expenses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274,657</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262,335</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12,322</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5 %</w:t>
            </w:r>
          </w:p>
        </w:tc>
        <w:tc>
          <w:tcPr>
            <w:tcW w:w="0" w:type="dxa"/>
            <w:vAlign w:val="bottom"/>
          </w:tcPr>
          <w:p>
            <w:pPr>
              <w:spacing w:after="0"/>
              <w:rPr>
                <w:sz w:val="1"/>
                <w:szCs w:val="1"/>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 income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(1,907)</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20,749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(22,656)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(109)%</w:t>
            </w:r>
          </w:p>
        </w:tc>
        <w:tc>
          <w:tcPr>
            <w:tcW w:w="0" w:type="dxa"/>
            <w:vAlign w:val="bottom"/>
          </w:tcPr>
          <w:p>
            <w:pPr>
              <w:spacing w:after="0"/>
              <w:rPr>
                <w:sz w:val="1"/>
                <w:szCs w:val="1"/>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(10,215)</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(4,834)</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5,381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income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40,072</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40,072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27,950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15,915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12,035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76 %</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 benefit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(8,638)</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3,061</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11,699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from continuing operations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19,312</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18,976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336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2 %</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Loss from discontinued operations, net of tax</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(4,575)</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(4,312)</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22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and comprehensive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19,049</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4,648</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32 %</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decreased in the first quarter of 2021 compared to the first quarter of 2020 due to decreases in our Consumer segment and Other category, partially offset by increases in our Home and Insurance segments.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Consumer segment includes the following products: credit cards, personal loans, small business loans, student loans, auto loans, deposit accounts, and other credit products such as credit repair and debt settlement. Many of our Consumer segment products are not individually significant to revenue. Revenue from our Consumer segment decreased $62.0 million in the first quarter of 2021 from the first quarter of 2020, or 52%, primarily due to decreases in our credit cards, personal loans, small business loans and deposits products.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Revenue from our credit cards product decreased $34.0 million to $17.6 million in the first quarter of 2021 from $51.6 million in the first quarter of 2020, or 66%, primarily due to the impact of economic conditions related to the COVID-19 pandemic that caused lower issuer demand, resulting in a decrease in the number of approvals and a decrease in revenue earned per approval.</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Revenue from our personal loans product decreased $16.6 million to $14.9 million in the first quarter of 2021 from $31.5 million in the first quarter of 2020, or 53%, primarily due to the impact of economic conditions related to the COVID-19 pandemic that caused a decrease in consumers' risk tolerance and subsequent demand for this product.</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periods presented, no other products in our Consumer segment represented more than 10% of revenue; however, certain other Consumer products experienced notable changes primarily due to the impact of economic conditions related to the COVID-19 pandemic. Revenue from our small business loans product decreased $6.6 million in the first quarter of 2021 compared to the first quarter of 2020, due to government stimulus loans creating less consumer demand for traditional loans, and a decrease in revenue earned per consumer. Revenue from our deposits product decreased $5.5 million in the first quarter of 2021 compared to the first quarter of 2020, due to lower demand in a reduced interest rate environment and a decrease in revenue earned per consumer.</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ongoing COVID-19 pandemic is anticipated to continue to impact our Consumer product revenues in the near-term.</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Home segment includes the following products: purchase mortgage, refinance mortgage, home equity loans and lines of credit, reverse mortgage loans, and real estate. Revenue from our Home segment increased $49.0 million in the first quarter of 2021 from the first quarter of 2020, or 62%, primarily due to an increase in revenue from our refinance mortgage product, partially offset by a decrease in our purchase mortgage product. Revenue from our refinance mortgage product increased $52.0 million in the first quarter of 2021 compared to the first quarter of 2020, due to an increase in the number of consumers completing request forms resulting from increased refinancing activity in a declining interest rate environment, as well as an increase in revenue earned per consumer. Revenue from our purchase mortgage product decreased $2.6 million in the first quarter of 2021 compared to the first quarter of 2020, primarily due to a shift in lender focus toward refinance products as well as a decrease in revenue earned per consumer.</w:t>
      </w:r>
    </w:p>
    <w:p>
      <w:pPr>
        <w:spacing w:after="0" w:line="11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Revenue from our Insurance segment increased $3.9 million to $86.6 million in the first quarter of 2021 from $82.7 million in the first quarter of 2020, or 5%, due to an increase in the number of consumers seeking insurance coverage, partially offset by a decrease in revenue earned per consumer.</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in the Other category decreased $1.1 million in the first quarter of 2021 compared to the first quarter of 2020, primarily as we ceased reselling online advertising space during the first quarter of 2020.</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costs for online advertising resold to third parties, credit scoring fees, credit card fees, website network hosting and server fees.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decreased in the first quarter of 2021 from the first quarter of 2020, primarily due to a $1.1 million decrease for the cost of resold advertising space, as well as a $0.7 million decrease in credit card fees. This was partially offset by an increase in compensation and benefits of $0.9 million.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as a percentage of revenue remained consistent at 5% for each of the first quarters of 2021 and 2020.</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Selling and marketing expense increased in the first quarter of 2021 compared to the first quarter of 2020 primarily due to an increase in compensation and benefits of $2.0 million as a result of an increase in headcount.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w w:val="96"/>
              </w:rPr>
              <w:t>Three Months Ended March 31,</w:t>
            </w: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1"/>
                <w:szCs w:val="11"/>
                <w:color w:val="auto"/>
              </w:rPr>
            </w:pPr>
          </w:p>
        </w:tc>
        <w:tc>
          <w:tcPr>
            <w:tcW w:w="104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1"/>
                <w:szCs w:val="11"/>
                <w:color w:val="auto"/>
              </w:rPr>
            </w:pPr>
          </w:p>
        </w:tc>
        <w:tc>
          <w:tcPr>
            <w:tcW w:w="1080" w:type="dxa"/>
            <w:vAlign w:val="bottom"/>
          </w:tcPr>
          <w:p>
            <w:pPr>
              <w:jc w:val="right"/>
              <w:ind w:right="616"/>
              <w:spacing w:after="0" w:line="135"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76"/>
              <w:spacing w:after="0" w:line="13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3"/>
          </w:tcPr>
          <w:p>
            <w:pPr>
              <w:jc w:val="right"/>
              <w:ind w:right="636"/>
              <w:spacing w:after="0"/>
              <w:rPr>
                <w:sz w:val="20"/>
                <w:szCs w:val="20"/>
                <w:color w:val="auto"/>
              </w:rPr>
            </w:pPr>
            <w:r>
              <w:rPr>
                <w:rFonts w:ascii="Arial" w:cs="Arial" w:eastAsia="Arial" w:hAnsi="Arial"/>
                <w:sz w:val="13"/>
                <w:szCs w:val="13"/>
                <w:b w:val="1"/>
                <w:bCs w:val="1"/>
                <w:i w:val="1"/>
                <w:iCs w:val="1"/>
                <w:color w:val="auto"/>
              </w:rPr>
              <w:t>(Dollars in thousands)</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Online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173,081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3,740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Broadcast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1,167</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6,324</w:t>
            </w:r>
          </w:p>
        </w:tc>
        <w:tc>
          <w:tcPr>
            <w:tcW w:w="220" w:type="dxa"/>
            <w:vAlign w:val="bottom"/>
          </w:tcPr>
          <w:p>
            <w:pPr>
              <w:spacing w:after="0"/>
              <w:rPr>
                <w:sz w:val="19"/>
                <w:szCs w:val="19"/>
                <w:color w:val="auto"/>
              </w:rPr>
            </w:pPr>
          </w:p>
        </w:tc>
        <w:tc>
          <w:tcPr>
            <w:tcW w:w="1080" w:type="dxa"/>
            <w:vAlign w:val="bottom"/>
          </w:tcPr>
          <w:p>
            <w:pPr>
              <w:jc w:val="right"/>
              <w:ind w:right="136"/>
              <w:spacing w:after="0"/>
              <w:rPr>
                <w:sz w:val="20"/>
                <w:szCs w:val="20"/>
                <w:color w:val="auto"/>
              </w:rPr>
            </w:pPr>
            <w:r>
              <w:rPr>
                <w:rFonts w:ascii="Arial" w:cs="Arial" w:eastAsia="Arial" w:hAnsi="Arial"/>
                <w:sz w:val="18"/>
                <w:szCs w:val="18"/>
                <w:color w:val="auto"/>
              </w:rPr>
              <w:t>(5,157)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1,353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advertising expense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183,703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183,767</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(64)</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adjusted our advertising expenditures in the first quarter of 2021 compared to the first quarter of 2020 in response to changes in Network Partner demand on our marketplace as a result of the ongoing COVID-19 pandemic discussed above. We will continue to adjust selling and marketing expenditures dynamically in relation to this and in response to anticipated revenue opportunities.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General and administrative expense increased in the first quarter of 2021 compared to the first quarter of 2020, primarily due to increases in compensation and benefits, facilities expense, and technology expense of $4.7 million, $1.5 million, and $0.6 million, respectively. This was partially offset by decreases in professional fees and travel and entertainment expense of $1.5 million and $0.7 million, respectively.</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 as a percentage of revenue increased to 13% in the first quarter of 2021 compared to 11% in the first quarter of 2020.</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Product development expense increased in the first quarter of 2021 compared to the first quarter of 2020 as we continued to invest in internal development of new and enhanced features, functionality and business opportunities that we believe will enable us to better and more fully serve consumers and Network Partners.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Amortization of intangibles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decrease in amortization of intangibles in the first quarter of 2021 compared to the first quarter of 2020 was due to intangible assets associated with our recent business acquisitions becoming fully amortized.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first quarter of 2021, we recorded contingent consideration expense of $0.8 million due to the adjustment in the estimated fair value of the remaining earnout payment related to the QuoteWizard acquisition.</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first quarter of 2020, we recorded an aggregate gain of $8.1 million due to adjustments in the estimated fair value of the earnout payments related to our recent acquisitions. For the first quarter of 2020, the gain related to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QuoteWizard acquisition was $8.3 million, partially offset by contingent consideration expense for the Ovation acquisition of $0.1 million.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Interest expense increased in the first quarter of 2021 compared to the first quarter of 2020 due to the issuance of $575.0 million of our 0.50% Convertible Senior Notes due July 15, 2025 (the “2025 Notes”) as well as the repurchase of a portion of our existing 0.625% Convertible Senior Notes due June 1, 2022 (the “2022 Notes”) in July 2020. In the first quarter of 2021, interest expense of $6.8 million was recognized on the 2025 Notes. This increase to interest expense was partially offset by lower interest expense on the 2022 Notes in the first quarter of 2021 compared to the first quarter of 2020 as a result of the July 2020 repurchase of $130.3 million principal amount of the 2022 Notes.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13—Debt for additional information on the issuance of the 2025 Notes and the partial repurchase of the 2022 Notes.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 xml:space="preserve">For the first quarter of 2021, other income primarily consists of a $40.1 million gain on our investment in Stash as a result of an adjustment to the fair value based on observable market events.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7—Equity Investment for additional information on the equity interest in Stash.</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first quarter of 2021, the effective tax rate varied from the federal statutory rate of 21% primarily due to the effect of state taxes.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For the first quarter of 2020, the effective tax rate varied from the federal statutory rate of 21% in part due to a tax benefit of $1.1 million recognized for excess tax benefits resulting from employee exercises of stock options and vesting of restricted stock in accordance with ASU 2016-09 and the effect of state taxes, as well as a tax benefit of $6.1 million for the impact of the Coronavirus Aid, Relief, and Economic Security ("CARES") Act.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12— Income Taxes for additional information.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of discontinued operations include the results of the LendingTree Loans business formerly operated by our wholly-owned subsidiary, Home Loan Center, Inc., or HLC. The sale of substantially all of the assets of HLC, including the LendingTree Loans business, was completed on June 6, 2012. HLC filed a petition under Chapter 11 of the United States Bankruptcy Code on July 21, 2019, which was converted to Chapter 7 of the United States Bankruptcy Code on September 16, 2019.</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voluntary bankruptcy petition, as of the initial July 21, 2019 bankruptcy petition filing date, HLC and its consolidated subsidiary were deconsolidated from LendingTree’s consolidated financial statements. The effect of such deconsolidation was the elimination of the consolidated assets and liabilities of HLC (and its consolidated subsidiary) from LendingTree’s consolidated balance sheets.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bankruptcy filing, losses from the LendingTree Loans business were primarily due to litigation settlements and contingencies and legal fees associated with ongoing legal proceedings.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discontinued operations include litigation settlements and contingencies and legal fees associated with ongoing legal proceedings against LendingTree, Inc. or LendingTree, LLC that arose due to the LendingTree Loans business or the HLC bankruptcy filing.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17—Discontinued Operations to the consolidated financial statements included elsewhere in this report for more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Segment Profit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4"/>
                <w:szCs w:val="14"/>
                <w:b w:val="1"/>
                <w:bCs w:val="1"/>
                <w:color w:val="auto"/>
                <w:w w:val="96"/>
              </w:rPr>
              <w:t>Three Months Ended March 31,</w:t>
            </w: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1"/>
                <w:szCs w:val="11"/>
                <w:color w:val="auto"/>
              </w:rPr>
            </w:pPr>
          </w:p>
        </w:tc>
        <w:tc>
          <w:tcPr>
            <w:tcW w:w="1040" w:type="dxa"/>
            <w:vAlign w:val="bottom"/>
            <w:vMerge w:val="restart"/>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1"/>
                <w:szCs w:val="11"/>
                <w:color w:val="auto"/>
              </w:rPr>
            </w:pPr>
          </w:p>
        </w:tc>
        <w:tc>
          <w:tcPr>
            <w:tcW w:w="1080" w:type="dxa"/>
            <w:vAlign w:val="bottom"/>
          </w:tcPr>
          <w:p>
            <w:pPr>
              <w:jc w:val="right"/>
              <w:ind w:right="615"/>
              <w:spacing w:after="0" w:line="135"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75"/>
              <w:spacing w:after="0" w:line="13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3"/>
          </w:tcPr>
          <w:p>
            <w:pPr>
              <w:jc w:val="right"/>
              <w:ind w:right="635"/>
              <w:spacing w:after="0"/>
              <w:rPr>
                <w:sz w:val="20"/>
                <w:szCs w:val="20"/>
                <w:color w:val="auto"/>
              </w:rPr>
            </w:pPr>
            <w:r>
              <w:rPr>
                <w:rFonts w:ascii="Arial" w:cs="Arial" w:eastAsia="Arial" w:hAnsi="Arial"/>
                <w:sz w:val="13"/>
                <w:szCs w:val="13"/>
                <w:b w:val="1"/>
                <w:bCs w:val="1"/>
                <w:i w:val="1"/>
                <w:iCs w:val="1"/>
                <w:color w:val="auto"/>
              </w:rPr>
              <w:t>(Dollars in thousands)</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3,079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24,607</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43,099</w:t>
            </w:r>
          </w:p>
        </w:tc>
        <w:tc>
          <w:tcPr>
            <w:tcW w:w="22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(18,492)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32,842</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30,533</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2,309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236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profit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96,347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109,215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(12,868)</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16— Segment Information in the notes to the consolidated financial statements for additional information on segments and a reconciliation of segment profit to pre-tax income from continuing operations.</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Consumer segment profit decreased $18.5 million in the first quarter of 2021 from the first quarter of 2020, primarily due to a decrease in revenue, partially offset by a corresponding decrease in selling and marketing expense. We continue to be encouraged by the progress made in the Consumer segment since the onset of the COVID-19 pandemic. Credit card issuer budgets continue to increase, and there are sustained signs of increasing consumer health and spending. The profitability of our credit card product remains constrained in part due to lower approval rates and decreased competition on our network, as well as increased traffic acquisition costs in an environment where government stimulus has temporarily reduced consumers' demand for additional debt. Lender demand in our personal loans product continues to recover; however, consumers' lowered risk tolerance and subsequently lower demand continues to constrain this product. While the timeline of full recovery for the Consumer segment remains uncertain, we continue to view the segment with optimism over the medium to long term.</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Home segment profit increased $3.1 million in the first quarter of 2021 from the first quarter of 2020, primarily due to an increase in revenue, partially offset by a corresponding increase in selling and marketing expense. Refinance activity increased at the beginning of the first quarter of 2021, then decelerated in the latter part of the quarter as mortgage interest rates increased from the historical lows experienced in the fourth quarter of 2020. The Home segment performed well throughout as we are an integral part of our Network Partners' marketing model. Demand for our services, and competition on our network, continued to increase with mortgage revenue per lead improving 53% over the first quarter of 2020. In line with an acceleration of revenue, the Home segment margin contracted to 30% of revenue as we extended into lower-margin channels to fulfill increased lender demand. While there is uncertainty over near-term changes in interest rates, we are confident in our market-leading position and flexible business model.</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Insurance segment profit increased $2.3 million in the first quarter of 2021 from the first quarter of 2020, primarily due to an increase in revenue, partially offset by a corresponding increase in selling and marketing expense. We continue to expand our presence in the Insurance industry by broadening traffic acquisition sources, growing existing insurance carrier relationships, and increasing efforts to scale non-automobile categories. Our publisher platform and inbound channel each delivered record performance in the first quarter of 2021. These additional traffic sources enable incremental growth while reducing our reliance on paid search marketing. Additionally, our efforts to scale non-automobile categories continue to deliver returns. We observed record revenue from the home category in the first quarter of 2021, as we increasingly leverage our presence in the mortgage industry. We continue to make significant investments in our Medicare category.</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report Adjusted EBITDA as a supplemental measure to GAAP. This measure is the primary metric by which we evaluate the performance of our businesses, on which our marketing expenditures and internal budgets are based and by which, in most years,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and (8)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below, there are no adjustments for one-time items.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Non-cash compensation expense consists principally of expense associated with grants of restricted stock, restricted stock units and stock options, some of which awards have performance-based vesting conditions.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is a reconciliation of net income from continuing operations to Adjusted EBITDA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6"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from continuing operations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19,312</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18,976</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11,312</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13,757</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3,718</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3,378</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Severance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Loss on disposal of assets</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530</w:t>
            </w: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on investments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(40,072)</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Non-cash compensation expense</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16,436</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11,917</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797</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(8,122)</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Acquisition expense</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2,180</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10,215</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4,834</w:t>
            </w:r>
          </w:p>
        </w:tc>
      </w:tr>
      <w:tr>
        <w:trPr>
          <w:trHeight w:val="230"/>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8,638</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w:t>
            </w: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30,749</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2021, we had $162.1 million of cash and cash equivalents, compared to $169.9 million of cash and cash equivalents as of December 31, 2020.</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the first quarter of 2021, we acquired additional equity interest in Stash for $1.2 million.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7—Equity Investment to the consolidated financial statements included elsewhere in this report for additional information on the equity interest in Stash.</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could make an additional potential contingent consideration payment of up to $23.4 million related to the prior acquisition of QuoteWizard.</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revolving credit facility described below is an additional potential source of liquidity. We will continue to monitor the impact of the ongoing COVID-19 pandemic on our liquidity and capital resources. We expect our cashflow from operating activities to be negatively impacted by the economic recession.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On December 10, 2019, we entered into an amended and restated $500.0 million five-year senior secured revolving credit facility, which matures on December 10, 2024 (the “Amended Revolving Credit Facility”). Borrowings under the Amended Revolving Credit Facility can be used to finance working capital needs, capital expenditures and general corporate purposes, including to finance permitted acquisitions. In July 2020, we executed a temporary amendment to the Amended Revolving Credit Facility to provide for certain covenant relief, primarily to facilitate the issuance of the 2025 Notes, the repurchase of a portion of the 2022 Notes, and to pay down existing borrowings under the credit facility. The amendment applies from the effective date through the fiscal quarter ending June 30, 2021, unless terminated in advance by us.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13—Debt for additional information.</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May 5, 2021, we have outstanding a $0.2 million letter of credit under the Amended Revolving Credit Facility. The remaining borrowing capacity at May 5, 2021 is $499.8 million.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26"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2020</w:t>
            </w:r>
          </w:p>
        </w:tc>
      </w:tr>
      <w:tr>
        <w:trPr>
          <w:trHeight w:val="181"/>
        </w:trPr>
        <w:tc>
          <w:tcPr>
            <w:tcW w:w="8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5"/>
                <w:szCs w:val="15"/>
                <w:color w:val="auto"/>
              </w:rPr>
            </w:pPr>
          </w:p>
        </w:tc>
      </w:tr>
      <w:tr>
        <w:trPr>
          <w:trHeight w:val="23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8,925</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7"/>
              </w:rPr>
              <w:t>29,302</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(11,733)</w:t>
            </w:r>
          </w:p>
        </w:tc>
        <w:tc>
          <w:tcPr>
            <w:tcW w:w="480" w:type="dxa"/>
            <w:vAlign w:val="bottom"/>
          </w:tcPr>
          <w:p>
            <w:pPr>
              <w:spacing w:after="0"/>
              <w:rPr>
                <w:sz w:val="19"/>
                <w:szCs w:val="19"/>
                <w:color w:val="auto"/>
              </w:rPr>
            </w:pPr>
          </w:p>
        </w:tc>
        <w:tc>
          <w:tcPr>
            <w:tcW w:w="780" w:type="dxa"/>
            <w:vAlign w:val="bottom"/>
          </w:tcPr>
          <w:p>
            <w:pPr>
              <w:jc w:val="center"/>
              <w:ind w:left="35"/>
              <w:spacing w:after="0"/>
              <w:rPr>
                <w:sz w:val="20"/>
                <w:szCs w:val="20"/>
                <w:color w:val="auto"/>
              </w:rPr>
            </w:pPr>
            <w:r>
              <w:rPr>
                <w:rFonts w:ascii="Arial" w:cs="Arial" w:eastAsia="Arial" w:hAnsi="Arial"/>
                <w:sz w:val="18"/>
                <w:szCs w:val="18"/>
                <w:color w:val="auto"/>
                <w:w w:val="92"/>
              </w:rPr>
              <w:t>(84,189)</w:t>
            </w:r>
          </w:p>
        </w:tc>
      </w:tr>
      <w:tr>
        <w:trPr>
          <w:trHeight w:val="229"/>
        </w:trPr>
        <w:tc>
          <w:tcPr>
            <w:tcW w:w="8720" w:type="dxa"/>
            <w:vAlign w:val="bottom"/>
            <w:tcBorders>
              <w:bottom w:val="single" w:sz="8" w:color="999999"/>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Borders>
              <w:bottom w:val="single" w:sz="8" w:color="999999"/>
            </w:tcBorders>
            <w:shd w:val="clear" w:color="auto" w:fill="CCEEFF"/>
          </w:tcPr>
          <w:p>
            <w:pPr>
              <w:spacing w:after="0"/>
              <w:rPr>
                <w:sz w:val="19"/>
                <w:szCs w:val="19"/>
                <w:color w:val="auto"/>
              </w:rPr>
            </w:pPr>
          </w:p>
        </w:tc>
        <w:tc>
          <w:tcPr>
            <w:tcW w:w="96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80" w:type="dxa"/>
            <w:vAlign w:val="bottom"/>
            <w:tcBorders>
              <w:bottom w:val="single" w:sz="8" w:color="999999"/>
            </w:tcBorders>
            <w:shd w:val="clear" w:color="auto" w:fill="CCEEFF"/>
          </w:tcPr>
          <w:p>
            <w:pPr>
              <w:spacing w:after="0"/>
              <w:rPr>
                <w:sz w:val="19"/>
                <w:szCs w:val="19"/>
                <w:color w:val="auto"/>
              </w:rPr>
            </w:pPr>
          </w:p>
        </w:tc>
        <w:tc>
          <w:tcPr>
            <w:tcW w:w="780" w:type="dxa"/>
            <w:vAlign w:val="bottom"/>
            <w:tcBorders>
              <w:bottom w:val="single" w:sz="8" w:color="999999"/>
            </w:tcBorders>
            <w:shd w:val="clear" w:color="auto" w:fill="CCEEFF"/>
          </w:tcPr>
          <w:p>
            <w:pPr>
              <w:jc w:val="center"/>
              <w:ind w:left="55"/>
              <w:spacing w:after="0"/>
              <w:rPr>
                <w:sz w:val="20"/>
                <w:szCs w:val="20"/>
                <w:color w:val="auto"/>
              </w:rPr>
            </w:pPr>
            <w:r>
              <w:rPr>
                <w:rFonts w:ascii="Arial" w:cs="Arial" w:eastAsia="Arial" w:hAnsi="Arial"/>
                <w:sz w:val="18"/>
                <w:szCs w:val="18"/>
                <w:color w:val="auto"/>
                <w:w w:val="87"/>
              </w:rPr>
              <w:t>46,601</w:t>
            </w: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largest source of cash provided by our operating activities is revenues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certain contingent consideration payments, and income taxes.</w:t>
      </w:r>
    </w:p>
    <w:p>
      <w:pPr>
        <w:spacing w:after="0" w:line="4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Net cash provided by operating activities attributable to continuing operations decreased in the first three months of 2021 from the first three months of 2020 primarily due to unfavorable changes in accounts receivable, partially offset by favorable changes in accounts payable, accrued expenses and other current liabilities.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attributable to continuing operations in the first three months of 2021 of $11.7 million consisted of capital expenditures of $10.6 million primarily related to internally developed software and leasehold improvements for our new principal corporate offices, as well as the purchase of an additional $1.2 million equity interest in Stash, described above.</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used in investing activities attributable to continuing operations in the first three months of 2020 of $84.2 million consisted of the initial purchase of an $80.0 million equity interest in Stash and capital expenditures of $4.2 million primarily related to internally developed software.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Net cash used in financing activities attributable to continuing operations in the first three months of 2021 of $5.0 million consisted primarily of $4.8 million in withholding taxes paid upon surrender of shares to satisfy obligations on equity awards, net of proceeds from the exercise of stock options.</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attributable to continuing operations in the first three months of 2020 of $46.6 million consisted primarily of $55.0 million of net proceeds from our Amended Revolving Credit Facility, partially offset by $5.1 million in withholding taxes paid upon surrender of shares to satisfy obligations on equity awards, net of proceeds from the exercise of stock options, and a $3.0 million contingent consideration payment for SnapCap.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no off-balance sheet arrangements other than a letter of credit and our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information regarding new accounting pronouncements,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w:t>
      </w:r>
      <w:r>
        <w:rPr>
          <w:rFonts w:ascii="Arial" w:cs="Arial" w:eastAsia="Arial" w:hAnsi="Arial"/>
          <w:sz w:val="17"/>
          <w:szCs w:val="17"/>
          <w:b w:val="1"/>
          <w:bCs w:val="1"/>
          <w:color w:val="auto"/>
        </w:rPr>
        <w:t>—</w:t>
      </w:r>
      <w:r>
        <w:rPr>
          <w:rFonts w:ascii="Arial" w:cs="Arial" w:eastAsia="Arial" w:hAnsi="Arial"/>
          <w:sz w:val="17"/>
          <w:szCs w:val="17"/>
          <w:color w:val="auto"/>
        </w:rPr>
        <w:t xml:space="preserve">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than our Amended Revolving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Amended Revolving Credit Facility, if any. As of May 5, 2021, there were no borrowings under the Amended Revolving Credit Facility.</w:t>
      </w:r>
    </w:p>
    <w:p>
      <w:pPr>
        <w:spacing w:after="0" w:line="21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March 31, 2021,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March 31, 2021 that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2020 Annual Report and updated that information in Note 14—Contingencies and Note 17—Discontinued Operations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There have been no material changes to the risk factors included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2020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each of February 2018 and February 2019, the board of directors authorized and we announced a stock repurchase program which allowed for the repurchase of up to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March 31, 2021, no shares of common stock were repurchased under the stock repurchase program. As of </w:t>
      </w:r>
      <w:r>
        <w:rPr>
          <w:rFonts w:ascii="Arial" w:cs="Arial" w:eastAsia="Arial" w:hAnsi="Arial"/>
          <w:sz w:val="15"/>
          <w:szCs w:val="15"/>
          <w:color w:val="auto"/>
        </w:rPr>
        <w:t>April 23, 2021</w:t>
      </w:r>
      <w:r>
        <w:rPr>
          <w:rFonts w:ascii="Arial" w:cs="Arial" w:eastAsia="Arial" w:hAnsi="Arial"/>
          <w:sz w:val="16"/>
          <w:szCs w:val="16"/>
          <w:color w:val="auto"/>
        </w:rPr>
        <w:t>, approximately $179.7 million remains authorized for share repurchase.</w:t>
      </w:r>
    </w:p>
    <w:p>
      <w:pPr>
        <w:spacing w:after="0" w:line="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the LendingTree Sixth Amended and Restated 2008 Stock and Award Incentive Plan and the LendingTree 2017 Inducement Grant Plan allow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March 31, 2021, 16,796 shares were purchased related to these obligations under the LendingTree Sixth Amended and Restated 2008 Stock and Award Incentive Plan and 185 shares were purchased related to these obligations under the LendingTree 2017 Inducement Grant Plan. The withholding of those shares does not affect the dollar amount or number of shares that may be purchased under the stock repurchase program described above.</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March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w w:val="88"/>
              </w:rPr>
              <w:t>Shares Purchased as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24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54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35"/>
        </w:trPr>
        <w:tc>
          <w:tcPr>
            <w:tcW w:w="3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54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89"/>
        </w:trPr>
        <w:tc>
          <w:tcPr>
            <w:tcW w:w="3860" w:type="dxa"/>
            <w:vAlign w:val="bottom"/>
            <w:gridSpan w:val="2"/>
            <w:vMerge w:val="continue"/>
          </w:tcPr>
          <w:p>
            <w:pPr>
              <w:spacing w:after="0"/>
              <w:rPr>
                <w:sz w:val="16"/>
                <w:szCs w:val="16"/>
                <w:color w:val="auto"/>
              </w:rPr>
            </w:pPr>
          </w:p>
        </w:tc>
        <w:tc>
          <w:tcPr>
            <w:tcW w:w="1800" w:type="dxa"/>
            <w:vAlign w:val="bottom"/>
            <w:gridSpan w:val="2"/>
          </w:tcPr>
          <w:p>
            <w:pPr>
              <w:jc w:val="center"/>
              <w:ind w:right="80"/>
              <w:spacing w:after="0" w:line="189" w:lineRule="exact"/>
              <w:rPr>
                <w:sz w:val="20"/>
                <w:szCs w:val="20"/>
                <w:color w:val="auto"/>
              </w:rPr>
            </w:pPr>
            <w:r>
              <w:rPr>
                <w:rFonts w:ascii="Arial" w:cs="Arial" w:eastAsia="Arial" w:hAnsi="Arial"/>
                <w:sz w:val="14"/>
                <w:szCs w:val="14"/>
                <w:b w:val="1"/>
                <w:bCs w:val="1"/>
                <w:color w:val="auto"/>
                <w:w w:val="88"/>
              </w:rPr>
              <w:t xml:space="preserve">Shares Purchased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Paid per Share</w:t>
            </w:r>
          </w:p>
        </w:tc>
        <w:tc>
          <w:tcPr>
            <w:tcW w:w="1540" w:type="dxa"/>
            <w:vAlign w:val="bottom"/>
          </w:tcPr>
          <w:p>
            <w:pPr>
              <w:jc w:val="center"/>
              <w:ind w:left="188"/>
              <w:spacing w:after="0" w:line="189" w:lineRule="exact"/>
              <w:rPr>
                <w:sz w:val="20"/>
                <w:szCs w:val="20"/>
                <w:color w:val="auto"/>
              </w:rPr>
            </w:pPr>
            <w:r>
              <w:rPr>
                <w:rFonts w:ascii="Arial" w:cs="Arial" w:eastAsia="Arial" w:hAnsi="Arial"/>
                <w:sz w:val="14"/>
                <w:szCs w:val="14"/>
                <w:b w:val="1"/>
                <w:bCs w:val="1"/>
                <w:color w:val="auto"/>
                <w:w w:val="90"/>
              </w:rPr>
              <w:t xml:space="preserve">Programs </w:t>
            </w:r>
            <w:r>
              <w:rPr>
                <w:rFonts w:ascii="Arial" w:cs="Arial" w:eastAsia="Arial" w:hAnsi="Arial"/>
                <w:sz w:val="18"/>
                <w:szCs w:val="18"/>
                <w:b w:val="1"/>
                <w:bCs w:val="1"/>
                <w:color w:val="auto"/>
                <w:w w:val="90"/>
                <w:vertAlign w:val="superscript"/>
              </w:rPr>
              <w:t>(2)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79"/>
        </w:trPr>
        <w:tc>
          <w:tcPr>
            <w:tcW w:w="3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center"/>
              <w:ind w:right="10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3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1/1/2021 - 1/31/2021</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271.88</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2/1/2021 - 2/28/2021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15,247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295.91</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3/1/2021 - 3/31/2021</w:t>
            </w:r>
          </w:p>
        </w:tc>
        <w:tc>
          <w:tcPr>
            <w:tcW w:w="1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258.23</w:t>
            </w: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16,981</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292.89</w:t>
            </w: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179,673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hanging="328"/>
        <w:spacing w:after="0" w:line="311" w:lineRule="auto"/>
        <w:tabs>
          <w:tab w:leader="none" w:pos="654"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January 2021, February 2021 and March 2021, 1,031 shares, 15,247 shares and 703 shares, respectively (totaling 16,981 shares), were purchased to satisfy federal and state withholding obligations of our employees upon the settlement of restricted stock units, all in accordance with our Sixth Amended and Restated 2008 Stock and Award Incentive Plan and 2017 Inducement Grant Plan, as described above.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right="859" w:hanging="8"/>
        <w:spacing w:after="0" w:line="402" w:lineRule="auto"/>
        <w:tabs>
          <w:tab w:leader="none" w:pos="6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 In April 2021, the Company terminated the LendingTree 2017 Inducement Grant Plan.</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Exhibit</w:t>
            </w:r>
          </w:p>
        </w:tc>
        <w:tc>
          <w:tcPr>
            <w:tcW w:w="600" w:type="dxa"/>
            <w:vAlign w:val="bottom"/>
            <w:tcBorders>
              <w:bottom w:val="single" w:sz="8" w:color="auto"/>
            </w:tcBorders>
          </w:tcPr>
          <w:p>
            <w:pPr>
              <w:spacing w:after="0"/>
              <w:rPr>
                <w:sz w:val="16"/>
                <w:szCs w:val="16"/>
                <w:color w:val="auto"/>
              </w:rPr>
            </w:pPr>
          </w:p>
        </w:tc>
        <w:tc>
          <w:tcPr>
            <w:tcW w:w="6540" w:type="dxa"/>
            <w:vAlign w:val="bottom"/>
            <w:tcBorders>
              <w:bottom w:val="single" w:sz="8" w:color="auto"/>
            </w:tcBorders>
            <w:gridSpan w:val="8"/>
          </w:tcPr>
          <w:p>
            <w:pPr>
              <w:ind w:left="2580"/>
              <w:spacing w:after="0"/>
              <w:rPr>
                <w:sz w:val="20"/>
                <w:szCs w:val="20"/>
                <w:color w:val="auto"/>
              </w:rPr>
            </w:pPr>
            <w:r>
              <w:rPr>
                <w:rFonts w:ascii="Arial" w:cs="Arial" w:eastAsia="Arial" w:hAnsi="Arial"/>
                <w:sz w:val="14"/>
                <w:szCs w:val="14"/>
                <w:b w:val="1"/>
                <w:bCs w:val="1"/>
                <w:color w:val="auto"/>
              </w:rPr>
              <w:t>Description</w:t>
            </w:r>
          </w:p>
        </w:tc>
        <w:tc>
          <w:tcPr>
            <w:tcW w:w="294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Location</w:t>
            </w:r>
          </w:p>
        </w:tc>
      </w:tr>
      <w:tr>
        <w:trPr>
          <w:trHeight w:val="40"/>
        </w:trPr>
        <w:tc>
          <w:tcPr>
            <w:tcW w:w="1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r>
      <w:tr>
        <w:trPr>
          <w:trHeight w:val="189"/>
        </w:trPr>
        <w:tc>
          <w:tcPr>
            <w:tcW w:w="1160" w:type="dxa"/>
            <w:vAlign w:val="bottom"/>
            <w:shd w:val="clear" w:color="auto" w:fill="CCEEFF"/>
          </w:tcPr>
          <w:p>
            <w:pPr>
              <w:jc w:val="right"/>
              <w:ind w:right="111"/>
              <w:spacing w:after="0" w:line="189" w:lineRule="exact"/>
              <w:rPr>
                <w:sz w:val="20"/>
                <w:szCs w:val="20"/>
                <w:color w:val="auto"/>
              </w:rPr>
            </w:pPr>
            <w:r>
              <w:rPr>
                <w:rFonts w:ascii="Arial" w:cs="Arial" w:eastAsia="Arial" w:hAnsi="Arial"/>
                <w:sz w:val="18"/>
                <w:szCs w:val="18"/>
                <w:color w:val="auto"/>
              </w:rPr>
              <w:t>3.1</w:t>
            </w:r>
          </w:p>
        </w:tc>
        <w:tc>
          <w:tcPr>
            <w:tcW w:w="7140" w:type="dxa"/>
            <w:vAlign w:val="bottom"/>
            <w:gridSpan w:val="9"/>
            <w:shd w:val="clear" w:color="auto" w:fill="CCEEFF"/>
          </w:tcPr>
          <w:p>
            <w:pPr>
              <w:spacing w:after="0" w:line="189" w:lineRule="exact"/>
              <w:rPr>
                <w:rFonts w:ascii="Arial" w:cs="Arial" w:eastAsia="Arial" w:hAnsi="Arial"/>
                <w:sz w:val="18"/>
                <w:szCs w:val="18"/>
                <w:color w:val="0000FF"/>
              </w:rPr>
            </w:pPr>
            <w:hyperlink r:id="rId62">
              <w:r>
                <w:rPr>
                  <w:rFonts w:ascii="Arial" w:cs="Arial" w:eastAsia="Arial" w:hAnsi="Arial"/>
                  <w:sz w:val="18"/>
                  <w:szCs w:val="18"/>
                  <w:color w:val="0000FF"/>
                </w:rPr>
                <w:t>Amended and Restated Certificate of Incorporation of LendingTree, Inc.</w:t>
              </w:r>
            </w:hyperlink>
          </w:p>
        </w:tc>
        <w:tc>
          <w:tcPr>
            <w:tcW w:w="29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95"/>
              </w:rPr>
              <w:t>Exhibit 3.1 to the Registrant's Current</w:t>
            </w:r>
          </w:p>
        </w:tc>
      </w:tr>
      <w:tr>
        <w:trPr>
          <w:trHeight w:val="142"/>
        </w:trPr>
        <w:tc>
          <w:tcPr>
            <w:tcW w:w="1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0000FF"/>
            </w:tcBorders>
            <w:shd w:val="clear" w:color="auto" w:fill="CCEEFF"/>
          </w:tcPr>
          <w:p>
            <w:pPr>
              <w:spacing w:after="0"/>
              <w:rPr>
                <w:sz w:val="12"/>
                <w:szCs w:val="12"/>
                <w:color w:val="auto"/>
              </w:rPr>
            </w:pPr>
          </w:p>
        </w:tc>
        <w:tc>
          <w:tcPr>
            <w:tcW w:w="370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860" w:type="dxa"/>
            <w:vAlign w:val="bottom"/>
            <w:tcBorders>
              <w:top w:val="single" w:sz="8" w:color="0000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940" w:type="dxa"/>
            <w:vAlign w:val="bottom"/>
            <w:tcBorders>
              <w:top w:val="single" w:sz="8" w:color="CCEEFF"/>
            </w:tcBorders>
            <w:shd w:val="clear" w:color="auto" w:fill="CCEEFF"/>
          </w:tcPr>
          <w:p>
            <w:pPr>
              <w:ind w:left="60"/>
              <w:spacing w:after="0" w:line="142" w:lineRule="exact"/>
              <w:rPr>
                <w:sz w:val="20"/>
                <w:szCs w:val="20"/>
                <w:color w:val="auto"/>
              </w:rPr>
            </w:pPr>
            <w:r>
              <w:rPr>
                <w:rFonts w:ascii="Arial" w:cs="Arial" w:eastAsia="Arial" w:hAnsi="Arial"/>
                <w:sz w:val="16"/>
                <w:szCs w:val="16"/>
                <w:color w:val="auto"/>
              </w:rPr>
              <w:t>Report on Form 8-K filed August 25,</w:t>
            </w:r>
          </w:p>
        </w:tc>
      </w:tr>
      <w:tr>
        <w:trPr>
          <w:trHeight w:val="229"/>
        </w:trPr>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2008</w:t>
            </w:r>
          </w:p>
        </w:tc>
      </w:tr>
      <w:tr>
        <w:trPr>
          <w:trHeight w:val="189"/>
        </w:trPr>
        <w:tc>
          <w:tcPr>
            <w:tcW w:w="1160" w:type="dxa"/>
            <w:vAlign w:val="bottom"/>
          </w:tcPr>
          <w:p>
            <w:pPr>
              <w:jc w:val="right"/>
              <w:ind w:right="111"/>
              <w:spacing w:after="0" w:line="189" w:lineRule="exact"/>
              <w:rPr>
                <w:sz w:val="20"/>
                <w:szCs w:val="20"/>
                <w:color w:val="auto"/>
              </w:rPr>
            </w:pPr>
            <w:r>
              <w:rPr>
                <w:rFonts w:ascii="Arial" w:cs="Arial" w:eastAsia="Arial" w:hAnsi="Arial"/>
                <w:sz w:val="18"/>
                <w:szCs w:val="18"/>
                <w:color w:val="auto"/>
              </w:rPr>
              <w:t>3.2</w:t>
            </w:r>
          </w:p>
        </w:tc>
        <w:tc>
          <w:tcPr>
            <w:tcW w:w="7140" w:type="dxa"/>
            <w:vAlign w:val="bottom"/>
            <w:gridSpan w:val="9"/>
          </w:tcPr>
          <w:p>
            <w:pPr>
              <w:spacing w:after="0" w:line="189" w:lineRule="exact"/>
              <w:rPr>
                <w:rFonts w:ascii="Arial" w:cs="Arial" w:eastAsia="Arial" w:hAnsi="Arial"/>
                <w:sz w:val="18"/>
                <w:szCs w:val="18"/>
                <w:color w:val="0000FF"/>
              </w:rPr>
            </w:pPr>
            <w:hyperlink r:id="rId63">
              <w:r>
                <w:rPr>
                  <w:rFonts w:ascii="Arial" w:cs="Arial" w:eastAsia="Arial" w:hAnsi="Arial"/>
                  <w:sz w:val="18"/>
                  <w:szCs w:val="18"/>
                  <w:color w:val="0000FF"/>
                </w:rPr>
                <w:t>Fourth Amended and Restated By-laws of LendingTree, Inc.</w:t>
              </w:r>
            </w:hyperlink>
          </w:p>
        </w:tc>
        <w:tc>
          <w:tcPr>
            <w:tcW w:w="2940" w:type="dxa"/>
            <w:vAlign w:val="bottom"/>
          </w:tcPr>
          <w:p>
            <w:pPr>
              <w:ind w:left="60"/>
              <w:spacing w:after="0" w:line="189" w:lineRule="exact"/>
              <w:rPr>
                <w:sz w:val="20"/>
                <w:szCs w:val="20"/>
                <w:color w:val="auto"/>
              </w:rPr>
            </w:pPr>
            <w:r>
              <w:rPr>
                <w:rFonts w:ascii="Arial" w:cs="Arial" w:eastAsia="Arial" w:hAnsi="Arial"/>
                <w:sz w:val="18"/>
                <w:szCs w:val="18"/>
                <w:color w:val="auto"/>
                <w:w w:val="95"/>
              </w:rPr>
              <w:t>Exhibit 3.1 to the Registrant's Current</w:t>
            </w:r>
          </w:p>
        </w:tc>
      </w:tr>
      <w:tr>
        <w:trPr>
          <w:trHeight w:val="142"/>
        </w:trPr>
        <w:tc>
          <w:tcPr>
            <w:tcW w:w="1160" w:type="dxa"/>
            <w:vAlign w:val="bottom"/>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37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tcPr>
          <w:p>
            <w:pPr>
              <w:ind w:left="60"/>
              <w:spacing w:after="0" w:line="142" w:lineRule="exact"/>
              <w:rPr>
                <w:sz w:val="20"/>
                <w:szCs w:val="20"/>
                <w:color w:val="auto"/>
              </w:rPr>
            </w:pPr>
            <w:r>
              <w:rPr>
                <w:rFonts w:ascii="Arial" w:cs="Arial" w:eastAsia="Arial" w:hAnsi="Arial"/>
                <w:sz w:val="16"/>
                <w:szCs w:val="16"/>
                <w:color w:val="auto"/>
              </w:rPr>
              <w:t>Report on Form 8-K filed November</w:t>
            </w:r>
          </w:p>
        </w:tc>
      </w:tr>
      <w:tr>
        <w:trPr>
          <w:trHeight w:val="230"/>
        </w:trPr>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tcPr>
          <w:p>
            <w:pPr>
              <w:ind w:left="60"/>
              <w:spacing w:after="0"/>
              <w:rPr>
                <w:sz w:val="20"/>
                <w:szCs w:val="20"/>
                <w:color w:val="auto"/>
              </w:rPr>
            </w:pPr>
            <w:r>
              <w:rPr>
                <w:rFonts w:ascii="Arial" w:cs="Arial" w:eastAsia="Arial" w:hAnsi="Arial"/>
                <w:sz w:val="18"/>
                <w:szCs w:val="18"/>
                <w:color w:val="auto"/>
              </w:rPr>
              <w:t>15, 2017</w:t>
            </w:r>
          </w:p>
        </w:tc>
      </w:tr>
      <w:tr>
        <w:trPr>
          <w:trHeight w:val="189"/>
        </w:trPr>
        <w:tc>
          <w:tcPr>
            <w:tcW w:w="1160" w:type="dxa"/>
            <w:vAlign w:val="bottom"/>
            <w:shd w:val="clear" w:color="auto" w:fill="CCEEFF"/>
          </w:tcPr>
          <w:p>
            <w:pPr>
              <w:jc w:val="right"/>
              <w:ind w:right="111"/>
              <w:spacing w:after="0" w:line="189" w:lineRule="exact"/>
              <w:rPr>
                <w:sz w:val="20"/>
                <w:szCs w:val="20"/>
                <w:color w:val="auto"/>
              </w:rPr>
            </w:pPr>
            <w:r>
              <w:rPr>
                <w:rFonts w:ascii="Arial" w:cs="Arial" w:eastAsia="Arial" w:hAnsi="Arial"/>
                <w:sz w:val="18"/>
                <w:szCs w:val="18"/>
                <w:color w:val="auto"/>
              </w:rPr>
              <w:t>31.1</w:t>
            </w:r>
          </w:p>
        </w:tc>
        <w:tc>
          <w:tcPr>
            <w:tcW w:w="7140" w:type="dxa"/>
            <w:vAlign w:val="bottom"/>
            <w:gridSpan w:val="9"/>
            <w:shd w:val="clear" w:color="auto" w:fill="CCEEFF"/>
          </w:tcPr>
          <w:p>
            <w:pPr>
              <w:spacing w:after="0" w:line="189" w:lineRule="exact"/>
              <w:rPr>
                <w:rFonts w:ascii="Arial" w:cs="Arial" w:eastAsia="Arial" w:hAnsi="Arial"/>
                <w:sz w:val="18"/>
                <w:szCs w:val="18"/>
                <w:color w:val="0000FF"/>
                <w:w w:val="95"/>
              </w:rPr>
            </w:pPr>
            <w:hyperlink w:anchor="page45">
              <w:r>
                <w:rPr>
                  <w:rFonts w:ascii="Arial" w:cs="Arial" w:eastAsia="Arial" w:hAnsi="Arial"/>
                  <w:sz w:val="18"/>
                  <w:szCs w:val="18"/>
                  <w:color w:val="0000FF"/>
                  <w:w w:val="95"/>
                </w:rPr>
                <w:t>Certification of the Chief Executive Officer pursuant to Rule 13a-14(a) or Rule 15d-14(a) of the</w:t>
              </w:r>
            </w:hyperlink>
          </w:p>
        </w:tc>
        <w:tc>
          <w:tcPr>
            <w:tcW w:w="29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w:t>
            </w:r>
          </w:p>
        </w:tc>
      </w:tr>
      <w:tr>
        <w:trPr>
          <w:trHeight w:val="156"/>
        </w:trPr>
        <w:tc>
          <w:tcPr>
            <w:tcW w:w="1160" w:type="dxa"/>
            <w:vAlign w:val="bottom"/>
            <w:tcBorders>
              <w:top w:val="single" w:sz="8" w:color="CCEEFF"/>
              <w:bottom w:val="single" w:sz="8" w:color="CCEEFF"/>
            </w:tcBorders>
            <w:shd w:val="clear" w:color="auto" w:fill="CCEEFF"/>
          </w:tcPr>
          <w:p>
            <w:pPr>
              <w:spacing w:after="0"/>
              <w:rPr>
                <w:sz w:val="13"/>
                <w:szCs w:val="13"/>
                <w:color w:val="auto"/>
              </w:rPr>
            </w:pPr>
          </w:p>
        </w:tc>
        <w:tc>
          <w:tcPr>
            <w:tcW w:w="7100" w:type="dxa"/>
            <w:vAlign w:val="bottom"/>
            <w:tcBorders>
              <w:top w:val="single" w:sz="8" w:color="0000FF"/>
              <w:bottom w:val="single" w:sz="8" w:color="0000FF"/>
            </w:tcBorders>
            <w:gridSpan w:val="7"/>
            <w:shd w:val="clear" w:color="auto" w:fill="CCEEFF"/>
          </w:tcPr>
          <w:p>
            <w:pPr>
              <w:spacing w:after="0" w:line="156" w:lineRule="exact"/>
              <w:rPr>
                <w:rFonts w:ascii="Arial" w:cs="Arial" w:eastAsia="Arial" w:hAnsi="Arial"/>
                <w:sz w:val="18"/>
                <w:szCs w:val="18"/>
                <w:color w:val="0000FF"/>
                <w:w w:val="92"/>
              </w:rPr>
            </w:pPr>
            <w:hyperlink w:anchor="page45">
              <w:r>
                <w:rPr>
                  <w:rFonts w:ascii="Arial" w:cs="Arial" w:eastAsia="Arial" w:hAnsi="Arial"/>
                  <w:sz w:val="18"/>
                  <w:szCs w:val="18"/>
                  <w:color w:val="0000FF"/>
                  <w:w w:val="92"/>
                </w:rPr>
                <w:t>Securities Exchange Act of 1934 as adopted pursuant to Section 302 of the Sarbanes-Oxley Act</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9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76"/>
        </w:trPr>
        <w:tc>
          <w:tcPr>
            <w:tcW w:w="1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0000FF"/>
            </w:tcBorders>
            <w:shd w:val="clear" w:color="auto" w:fill="CCEEFF"/>
          </w:tcPr>
          <w:p>
            <w:pPr>
              <w:spacing w:after="0" w:line="156"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of 2002.</w:t>
              </w:r>
            </w:hyperlink>
          </w:p>
        </w:tc>
        <w:tc>
          <w:tcPr>
            <w:tcW w:w="6520" w:type="dxa"/>
            <w:vAlign w:val="bottom"/>
            <w:tcBorders>
              <w:bottom w:val="single" w:sz="8" w:color="CCEEFF"/>
            </w:tcBorders>
            <w:gridSpan w:val="7"/>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940" w:type="dxa"/>
            <w:vAlign w:val="bottom"/>
            <w:tcBorders>
              <w:bottom w:val="single" w:sz="8" w:color="CCEEFF"/>
            </w:tcBorders>
            <w:shd w:val="clear" w:color="auto" w:fill="CCEEFF"/>
          </w:tcPr>
          <w:p>
            <w:pPr>
              <w:spacing w:after="0"/>
              <w:rPr>
                <w:sz w:val="15"/>
                <w:szCs w:val="15"/>
                <w:color w:val="auto"/>
              </w:rPr>
            </w:pPr>
          </w:p>
        </w:tc>
      </w:tr>
      <w:tr>
        <w:trPr>
          <w:trHeight w:val="189"/>
        </w:trPr>
        <w:tc>
          <w:tcPr>
            <w:tcW w:w="1160" w:type="dxa"/>
            <w:vAlign w:val="bottom"/>
          </w:tcPr>
          <w:p>
            <w:pPr>
              <w:jc w:val="right"/>
              <w:ind w:right="111"/>
              <w:spacing w:after="0" w:line="189" w:lineRule="exact"/>
              <w:rPr>
                <w:sz w:val="20"/>
                <w:szCs w:val="20"/>
                <w:color w:val="auto"/>
              </w:rPr>
            </w:pPr>
            <w:r>
              <w:rPr>
                <w:rFonts w:ascii="Arial" w:cs="Arial" w:eastAsia="Arial" w:hAnsi="Arial"/>
                <w:sz w:val="18"/>
                <w:szCs w:val="18"/>
                <w:color w:val="auto"/>
              </w:rPr>
              <w:t>31.2</w:t>
            </w:r>
          </w:p>
        </w:tc>
        <w:tc>
          <w:tcPr>
            <w:tcW w:w="7140" w:type="dxa"/>
            <w:vAlign w:val="bottom"/>
            <w:tcBorders>
              <w:bottom w:val="single" w:sz="8" w:color="0000FF"/>
            </w:tcBorders>
            <w:gridSpan w:val="9"/>
          </w:tcPr>
          <w:p>
            <w:pPr>
              <w:spacing w:after="0" w:line="189" w:lineRule="exact"/>
              <w:rPr>
                <w:rFonts w:ascii="Arial" w:cs="Arial" w:eastAsia="Arial" w:hAnsi="Arial"/>
                <w:sz w:val="18"/>
                <w:szCs w:val="18"/>
                <w:color w:val="0000FF"/>
                <w:w w:val="95"/>
              </w:rPr>
            </w:pPr>
            <w:hyperlink w:anchor="page46">
              <w:r>
                <w:rPr>
                  <w:rFonts w:ascii="Arial" w:cs="Arial" w:eastAsia="Arial" w:hAnsi="Arial"/>
                  <w:sz w:val="18"/>
                  <w:szCs w:val="18"/>
                  <w:color w:val="0000FF"/>
                  <w:w w:val="95"/>
                </w:rPr>
                <w:t>Certification of the Chief Financial Officer pursuant to Rule 13a-14(a) or Rule 15d-14(a) of the</w:t>
              </w:r>
            </w:hyperlink>
          </w:p>
        </w:tc>
        <w:tc>
          <w:tcPr>
            <w:tcW w:w="2940" w:type="dxa"/>
            <w:vAlign w:val="bottom"/>
          </w:tcPr>
          <w:p>
            <w:pPr>
              <w:ind w:left="60"/>
              <w:spacing w:after="0" w:line="189" w:lineRule="exact"/>
              <w:rPr>
                <w:sz w:val="20"/>
                <w:szCs w:val="20"/>
                <w:color w:val="auto"/>
              </w:rPr>
            </w:pPr>
            <w:r>
              <w:rPr>
                <w:rFonts w:ascii="Arial" w:cs="Arial" w:eastAsia="Arial" w:hAnsi="Arial"/>
                <w:sz w:val="18"/>
                <w:szCs w:val="18"/>
                <w:color w:val="auto"/>
              </w:rPr>
              <w:t>†</w:t>
            </w:r>
          </w:p>
        </w:tc>
      </w:tr>
      <w:tr>
        <w:trPr>
          <w:trHeight w:val="156"/>
        </w:trPr>
        <w:tc>
          <w:tcPr>
            <w:tcW w:w="1160" w:type="dxa"/>
            <w:vAlign w:val="bottom"/>
          </w:tcPr>
          <w:p>
            <w:pPr>
              <w:spacing w:after="0"/>
              <w:rPr>
                <w:sz w:val="13"/>
                <w:szCs w:val="13"/>
                <w:color w:val="auto"/>
              </w:rPr>
            </w:pPr>
          </w:p>
        </w:tc>
        <w:tc>
          <w:tcPr>
            <w:tcW w:w="7140" w:type="dxa"/>
            <w:vAlign w:val="bottom"/>
            <w:gridSpan w:val="9"/>
          </w:tcPr>
          <w:p>
            <w:pPr>
              <w:spacing w:after="0" w:line="156" w:lineRule="exact"/>
              <w:rPr>
                <w:rFonts w:ascii="Arial" w:cs="Arial" w:eastAsia="Arial" w:hAnsi="Arial"/>
                <w:sz w:val="18"/>
                <w:szCs w:val="18"/>
                <w:color w:val="0000FF"/>
                <w:w w:val="93"/>
              </w:rPr>
            </w:pPr>
            <w:hyperlink w:anchor="page46">
              <w:r>
                <w:rPr>
                  <w:rFonts w:ascii="Arial" w:cs="Arial" w:eastAsia="Arial" w:hAnsi="Arial"/>
                  <w:sz w:val="18"/>
                  <w:szCs w:val="18"/>
                  <w:color w:val="0000FF"/>
                  <w:w w:val="93"/>
                </w:rPr>
                <w:t>Securities Exchange Act of 1934 as adopted pursuant to Section 302 of the Sarbanes-Oxley Act</w:t>
              </w:r>
            </w:hyperlink>
          </w:p>
        </w:tc>
        <w:tc>
          <w:tcPr>
            <w:tcW w:w="294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712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46">
              <w:r>
                <w:rPr>
                  <w:rFonts w:ascii="Arial" w:cs="Arial" w:eastAsia="Arial" w:hAnsi="Arial"/>
                  <w:sz w:val="18"/>
                  <w:szCs w:val="18"/>
                  <w:color w:val="0000FF"/>
                </w:rPr>
                <w:t>of 2002.</w:t>
              </w:r>
            </w:hyperlink>
          </w:p>
        </w:tc>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21"/>
        </w:trPr>
        <w:tc>
          <w:tcPr>
            <w:tcW w:w="11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89"/>
        </w:trPr>
        <w:tc>
          <w:tcPr>
            <w:tcW w:w="1160" w:type="dxa"/>
            <w:vAlign w:val="bottom"/>
            <w:shd w:val="clear" w:color="auto" w:fill="CCEEFF"/>
          </w:tcPr>
          <w:p>
            <w:pPr>
              <w:jc w:val="right"/>
              <w:ind w:right="111"/>
              <w:spacing w:after="0" w:line="189" w:lineRule="exact"/>
              <w:rPr>
                <w:sz w:val="20"/>
                <w:szCs w:val="20"/>
                <w:color w:val="auto"/>
              </w:rPr>
            </w:pPr>
            <w:r>
              <w:rPr>
                <w:rFonts w:ascii="Arial" w:cs="Arial" w:eastAsia="Arial" w:hAnsi="Arial"/>
                <w:sz w:val="18"/>
                <w:szCs w:val="18"/>
                <w:color w:val="auto"/>
              </w:rPr>
              <w:t>32.1</w:t>
            </w:r>
          </w:p>
        </w:tc>
        <w:tc>
          <w:tcPr>
            <w:tcW w:w="7140" w:type="dxa"/>
            <w:vAlign w:val="bottom"/>
            <w:gridSpan w:val="9"/>
            <w:shd w:val="clear" w:color="auto" w:fill="CCEEFF"/>
          </w:tcPr>
          <w:p>
            <w:pPr>
              <w:spacing w:after="0" w:line="189" w:lineRule="exact"/>
              <w:rPr>
                <w:rFonts w:ascii="Arial" w:cs="Arial" w:eastAsia="Arial" w:hAnsi="Arial"/>
                <w:sz w:val="18"/>
                <w:szCs w:val="18"/>
                <w:color w:val="0000FF"/>
                <w:w w:val="99"/>
              </w:rPr>
            </w:pPr>
            <w:hyperlink w:anchor="page47">
              <w:r>
                <w:rPr>
                  <w:rFonts w:ascii="Arial" w:cs="Arial" w:eastAsia="Arial" w:hAnsi="Arial"/>
                  <w:sz w:val="18"/>
                  <w:szCs w:val="18"/>
                  <w:color w:val="0000FF"/>
                  <w:w w:val="99"/>
                </w:rPr>
                <w:t>Certification of the Chief Executive Officer pursuant to 18 U.S.C. Section 1350 as adopted</w:t>
              </w:r>
            </w:hyperlink>
          </w:p>
        </w:tc>
        <w:tc>
          <w:tcPr>
            <w:tcW w:w="29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w:t>
            </w:r>
          </w:p>
        </w:tc>
      </w:tr>
      <w:tr>
        <w:trPr>
          <w:trHeight w:val="156"/>
        </w:trPr>
        <w:tc>
          <w:tcPr>
            <w:tcW w:w="1160" w:type="dxa"/>
            <w:vAlign w:val="bottom"/>
            <w:tcBorders>
              <w:top w:val="single" w:sz="8" w:color="CCEEFF"/>
            </w:tcBorders>
            <w:shd w:val="clear" w:color="auto" w:fill="CCEEFF"/>
          </w:tcPr>
          <w:p>
            <w:pPr>
              <w:spacing w:after="0"/>
              <w:rPr>
                <w:sz w:val="13"/>
                <w:szCs w:val="13"/>
                <w:color w:val="auto"/>
              </w:rPr>
            </w:pPr>
          </w:p>
        </w:tc>
        <w:tc>
          <w:tcPr>
            <w:tcW w:w="7060" w:type="dxa"/>
            <w:vAlign w:val="bottom"/>
            <w:tcBorders>
              <w:top w:val="single" w:sz="8" w:color="0000FF"/>
            </w:tcBorders>
            <w:gridSpan w:val="5"/>
            <w:shd w:val="clear" w:color="auto" w:fill="CCEEFF"/>
          </w:tcPr>
          <w:p>
            <w:pPr>
              <w:spacing w:after="0" w:line="156" w:lineRule="exact"/>
              <w:rPr>
                <w:rFonts w:ascii="Arial" w:cs="Arial" w:eastAsia="Arial" w:hAnsi="Arial"/>
                <w:sz w:val="18"/>
                <w:szCs w:val="18"/>
                <w:color w:val="0000FF"/>
              </w:rPr>
            </w:pPr>
            <w:hyperlink w:anchor="page47">
              <w:r>
                <w:rPr>
                  <w:rFonts w:ascii="Arial" w:cs="Arial" w:eastAsia="Arial" w:hAnsi="Arial"/>
                  <w:sz w:val="18"/>
                  <w:szCs w:val="18"/>
                  <w:color w:val="0000FF"/>
                </w:rPr>
                <w:t>pursuant to Section 906 of the Sarbanes-Oxley Act of 2002.</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940" w:type="dxa"/>
            <w:vAlign w:val="bottom"/>
            <w:tcBorders>
              <w:top w:val="single" w:sz="8" w:color="CCEEFF"/>
            </w:tcBorders>
            <w:shd w:val="clear" w:color="auto" w:fill="CCEEFF"/>
          </w:tcPr>
          <w:p>
            <w:pPr>
              <w:spacing w:after="0"/>
              <w:rPr>
                <w:sz w:val="13"/>
                <w:szCs w:val="13"/>
                <w:color w:val="auto"/>
              </w:rPr>
            </w:pPr>
          </w:p>
        </w:tc>
      </w:tr>
      <w:tr>
        <w:trPr>
          <w:trHeight w:val="21"/>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7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60" w:type="dxa"/>
            <w:vAlign w:val="bottom"/>
          </w:tcPr>
          <w:p>
            <w:pPr>
              <w:jc w:val="right"/>
              <w:ind w:right="111"/>
              <w:spacing w:after="0" w:line="189" w:lineRule="exact"/>
              <w:rPr>
                <w:sz w:val="20"/>
                <w:szCs w:val="20"/>
                <w:color w:val="auto"/>
              </w:rPr>
            </w:pPr>
            <w:r>
              <w:rPr>
                <w:rFonts w:ascii="Arial" w:cs="Arial" w:eastAsia="Arial" w:hAnsi="Arial"/>
                <w:sz w:val="18"/>
                <w:szCs w:val="18"/>
                <w:color w:val="auto"/>
              </w:rPr>
              <w:t>32.2</w:t>
            </w:r>
          </w:p>
        </w:tc>
        <w:tc>
          <w:tcPr>
            <w:tcW w:w="7140" w:type="dxa"/>
            <w:vAlign w:val="bottom"/>
            <w:gridSpan w:val="9"/>
          </w:tcPr>
          <w:p>
            <w:pPr>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Certification of the Chief Financial Officer pursuant to 18 U.S.C. Section 1350 as adopted</w:t>
              </w:r>
            </w:hyperlink>
          </w:p>
        </w:tc>
        <w:tc>
          <w:tcPr>
            <w:tcW w:w="2940" w:type="dxa"/>
            <w:vAlign w:val="bottom"/>
          </w:tcPr>
          <w:p>
            <w:pPr>
              <w:ind w:left="60"/>
              <w:spacing w:after="0" w:line="189" w:lineRule="exact"/>
              <w:rPr>
                <w:sz w:val="20"/>
                <w:szCs w:val="20"/>
                <w:color w:val="auto"/>
              </w:rPr>
            </w:pPr>
            <w:r>
              <w:rPr>
                <w:rFonts w:ascii="Arial" w:cs="Arial" w:eastAsia="Arial" w:hAnsi="Arial"/>
                <w:sz w:val="18"/>
                <w:szCs w:val="18"/>
                <w:color w:val="auto"/>
              </w:rPr>
              <w:t>††</w:t>
            </w:r>
          </w:p>
        </w:tc>
      </w:tr>
      <w:tr>
        <w:trPr>
          <w:trHeight w:val="156"/>
        </w:trPr>
        <w:tc>
          <w:tcPr>
            <w:tcW w:w="1160" w:type="dxa"/>
            <w:vAlign w:val="bottom"/>
          </w:tcPr>
          <w:p>
            <w:pPr>
              <w:spacing w:after="0"/>
              <w:rPr>
                <w:sz w:val="13"/>
                <w:szCs w:val="13"/>
                <w:color w:val="auto"/>
              </w:rPr>
            </w:pPr>
          </w:p>
        </w:tc>
        <w:tc>
          <w:tcPr>
            <w:tcW w:w="70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48">
              <w:r>
                <w:rPr>
                  <w:rFonts w:ascii="Arial" w:cs="Arial" w:eastAsia="Arial" w:hAnsi="Arial"/>
                  <w:sz w:val="18"/>
                  <w:szCs w:val="18"/>
                  <w:color w:val="0000FF"/>
                </w:rPr>
                <w:t>pursuant to Section 906 of the Sarbanes-Oxley Act of 2002.</w:t>
              </w:r>
            </w:hyperlink>
          </w:p>
        </w:tc>
        <w:tc>
          <w:tcPr>
            <w:tcW w:w="60" w:type="dxa"/>
            <w:vAlign w:val="bottom"/>
            <w:gridSpan w:val="3"/>
          </w:tcPr>
          <w:p>
            <w:pPr>
              <w:spacing w:after="0"/>
              <w:rPr>
                <w:sz w:val="13"/>
                <w:szCs w:val="13"/>
                <w:color w:val="auto"/>
              </w:rPr>
            </w:pPr>
          </w:p>
        </w:tc>
        <w:tc>
          <w:tcPr>
            <w:tcW w:w="2940" w:type="dxa"/>
            <w:vAlign w:val="bottom"/>
          </w:tcPr>
          <w:p>
            <w:pPr>
              <w:spacing w:after="0"/>
              <w:rPr>
                <w:sz w:val="13"/>
                <w:szCs w:val="13"/>
                <w:color w:val="auto"/>
              </w:rPr>
            </w:pPr>
          </w:p>
        </w:tc>
      </w:tr>
      <w:tr>
        <w:trPr>
          <w:trHeight w:val="21"/>
        </w:trPr>
        <w:tc>
          <w:tcPr>
            <w:tcW w:w="11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7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75"/>
        </w:trPr>
        <w:tc>
          <w:tcPr>
            <w:tcW w:w="1160" w:type="dxa"/>
            <w:vAlign w:val="bottom"/>
            <w:shd w:val="clear" w:color="auto" w:fill="CCEEFF"/>
          </w:tcPr>
          <w:p>
            <w:pPr>
              <w:jc w:val="right"/>
              <w:ind w:right="51"/>
              <w:spacing w:after="0" w:line="176" w:lineRule="exact"/>
              <w:rPr>
                <w:sz w:val="20"/>
                <w:szCs w:val="20"/>
                <w:color w:val="auto"/>
              </w:rPr>
            </w:pPr>
            <w:r>
              <w:rPr>
                <w:rFonts w:ascii="Arial" w:cs="Arial" w:eastAsia="Arial" w:hAnsi="Arial"/>
                <w:sz w:val="18"/>
                <w:szCs w:val="18"/>
                <w:color w:val="auto"/>
              </w:rPr>
              <w:t>101.INS</w:t>
            </w:r>
          </w:p>
        </w:tc>
        <w:tc>
          <w:tcPr>
            <w:tcW w:w="714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auto"/>
                <w:w w:val="92"/>
              </w:rPr>
              <w:t xml:space="preserve">XBRL Instance Document </w:t>
            </w:r>
            <w:r>
              <w:rPr>
                <w:rFonts w:ascii="Arial" w:cs="Arial" w:eastAsia="Arial" w:hAnsi="Arial"/>
                <w:sz w:val="18"/>
                <w:szCs w:val="18"/>
                <w:b w:val="1"/>
                <w:bCs w:val="1"/>
                <w:color w:val="auto"/>
                <w:w w:val="92"/>
              </w:rPr>
              <w:t>—</w:t>
            </w:r>
            <w:r>
              <w:rPr>
                <w:rFonts w:ascii="Arial" w:cs="Arial" w:eastAsia="Arial" w:hAnsi="Arial"/>
                <w:sz w:val="18"/>
                <w:szCs w:val="18"/>
                <w:color w:val="auto"/>
                <w:w w:val="92"/>
              </w:rPr>
              <w:t xml:space="preserve"> The instance document does not appear in the Interactive Data File</w:t>
            </w:r>
          </w:p>
        </w:tc>
        <w:tc>
          <w:tcPr>
            <w:tcW w:w="294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w:t>
            </w:r>
          </w:p>
        </w:tc>
      </w:tr>
      <w:tr>
        <w:trPr>
          <w:trHeight w:val="229"/>
        </w:trPr>
        <w:tc>
          <w:tcPr>
            <w:tcW w:w="1160" w:type="dxa"/>
            <w:vAlign w:val="bottom"/>
            <w:shd w:val="clear" w:color="auto" w:fill="CCEEFF"/>
          </w:tcPr>
          <w:p>
            <w:pPr>
              <w:spacing w:after="0"/>
              <w:rPr>
                <w:sz w:val="19"/>
                <w:szCs w:val="19"/>
                <w:color w:val="auto"/>
              </w:rPr>
            </w:pPr>
          </w:p>
        </w:tc>
        <w:tc>
          <w:tcPr>
            <w:tcW w:w="71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2940" w:type="dxa"/>
            <w:vAlign w:val="bottom"/>
            <w:shd w:val="clear" w:color="auto" w:fill="CCEEFF"/>
          </w:tcPr>
          <w:p>
            <w:pPr>
              <w:spacing w:after="0"/>
              <w:rPr>
                <w:sz w:val="19"/>
                <w:szCs w:val="19"/>
                <w:color w:val="auto"/>
              </w:rPr>
            </w:pPr>
          </w:p>
        </w:tc>
      </w:tr>
      <w:tr>
        <w:trPr>
          <w:trHeight w:val="230"/>
        </w:trPr>
        <w:tc>
          <w:tcPr>
            <w:tcW w:w="1160" w:type="dxa"/>
            <w:vAlign w:val="bottom"/>
          </w:tcPr>
          <w:p>
            <w:pPr>
              <w:jc w:val="right"/>
              <w:ind w:right="51"/>
              <w:spacing w:after="0"/>
              <w:rPr>
                <w:sz w:val="20"/>
                <w:szCs w:val="20"/>
                <w:color w:val="auto"/>
              </w:rPr>
            </w:pPr>
            <w:r>
              <w:rPr>
                <w:rFonts w:ascii="Arial" w:cs="Arial" w:eastAsia="Arial" w:hAnsi="Arial"/>
                <w:sz w:val="18"/>
                <w:szCs w:val="18"/>
                <w:color w:val="auto"/>
              </w:rPr>
              <w:t>101.SCH</w:t>
            </w:r>
          </w:p>
        </w:tc>
        <w:tc>
          <w:tcPr>
            <w:tcW w:w="714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29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29"/>
        </w:trPr>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101.CAL</w:t>
            </w:r>
          </w:p>
        </w:tc>
        <w:tc>
          <w:tcPr>
            <w:tcW w:w="71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jc w:val="right"/>
              <w:ind w:right="51"/>
              <w:spacing w:after="0"/>
              <w:rPr>
                <w:sz w:val="20"/>
                <w:szCs w:val="20"/>
                <w:color w:val="auto"/>
              </w:rPr>
            </w:pPr>
            <w:r>
              <w:rPr>
                <w:rFonts w:ascii="Arial" w:cs="Arial" w:eastAsia="Arial" w:hAnsi="Arial"/>
                <w:sz w:val="18"/>
                <w:szCs w:val="18"/>
                <w:color w:val="auto"/>
              </w:rPr>
              <w:t>101.DEF</w:t>
            </w:r>
          </w:p>
        </w:tc>
        <w:tc>
          <w:tcPr>
            <w:tcW w:w="71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9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101.LAB</w:t>
            </w:r>
          </w:p>
        </w:tc>
        <w:tc>
          <w:tcPr>
            <w:tcW w:w="71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jc w:val="right"/>
              <w:ind w:right="51"/>
              <w:spacing w:after="0"/>
              <w:rPr>
                <w:sz w:val="20"/>
                <w:szCs w:val="20"/>
                <w:color w:val="auto"/>
              </w:rPr>
            </w:pPr>
            <w:r>
              <w:rPr>
                <w:rFonts w:ascii="Arial" w:cs="Arial" w:eastAsia="Arial" w:hAnsi="Arial"/>
                <w:sz w:val="18"/>
                <w:szCs w:val="18"/>
                <w:color w:val="auto"/>
              </w:rPr>
              <w:t>101.PRE</w:t>
            </w:r>
          </w:p>
        </w:tc>
        <w:tc>
          <w:tcPr>
            <w:tcW w:w="71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940" w:type="dxa"/>
            <w:vAlign w:val="bottom"/>
          </w:tcPr>
          <w:p>
            <w:pPr>
              <w:ind w:lef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57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160" w:hanging="414"/>
        <w:spacing w:after="0" w:line="220"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contained in  †††</w:t>
      </w:r>
    </w:p>
    <w:p>
      <w:pPr>
        <w:ind w:left="1160"/>
        <w:spacing w:after="0"/>
        <w:rPr>
          <w:rFonts w:ascii="Arial" w:cs="Arial" w:eastAsia="Arial" w:hAnsi="Arial"/>
          <w:sz w:val="18"/>
          <w:szCs w:val="18"/>
          <w:color w:val="auto"/>
        </w:rPr>
      </w:pPr>
      <w:r>
        <w:rPr>
          <w:rFonts w:ascii="Arial" w:cs="Arial" w:eastAsia="Arial" w:hAnsi="Arial"/>
          <w:sz w:val="18"/>
          <w:szCs w:val="18"/>
          <w:color w:val="auto"/>
        </w:rPr>
        <w:t>Exhibit 101)</w:t>
      </w:r>
    </w:p>
    <w:p>
      <w:pPr>
        <w:spacing w:after="0" w:line="7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both"/>
        <w:ind w:firstLine="8"/>
        <w:spacing w:after="0" w:line="263" w:lineRule="auto"/>
        <w:tabs>
          <w:tab w:leader="none" w:pos="2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03" w:lineRule="exact"/>
        <w:rPr>
          <w:sz w:val="20"/>
          <w:szCs w:val="20"/>
          <w:color w:val="auto"/>
        </w:rPr>
      </w:pPr>
    </w:p>
    <w:p>
      <w:pPr>
        <w:jc w:val="both"/>
        <w:ind w:firstLine="8"/>
        <w:spacing w:after="0" w:line="286" w:lineRule="auto"/>
        <w:tabs>
          <w:tab w:leader="none" w:pos="4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36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LENDINGTREE, INC.</w:t>
      </w:r>
    </w:p>
    <w:p>
      <w:pPr>
        <w:spacing w:after="0" w:line="248" w:lineRule="exact"/>
        <w:rPr>
          <w:sz w:val="20"/>
          <w:szCs w:val="20"/>
          <w:color w:val="auto"/>
        </w:rPr>
      </w:pPr>
    </w:p>
    <w:p>
      <w:pPr>
        <w:ind w:left="462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17145</wp:posOffset>
            </wp:positionV>
            <wp:extent cx="37630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J.D. Moriarty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04"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2021 of LendingTree, Inc.;</w:t>
      </w:r>
    </w:p>
    <w:p>
      <w:pPr>
        <w:spacing w:after="0" w:line="90"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right="860" w:hanging="328"/>
        <w:spacing w:after="0" w:line="334" w:lineRule="auto"/>
        <w:tabs>
          <w:tab w:leader="none" w:pos="657"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328"/>
        <w:spacing w:after="0" w:line="263" w:lineRule="auto"/>
        <w:tabs>
          <w:tab w:leader="none" w:pos="6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60" w:right="280" w:hanging="328"/>
        <w:spacing w:after="0" w:line="277" w:lineRule="auto"/>
        <w:tabs>
          <w:tab w:leader="none" w:pos="65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144"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8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J.D. Moriarty, certify that:</w:t>
      </w:r>
    </w:p>
    <w:p>
      <w:pPr>
        <w:spacing w:after="0" w:line="104"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2021 of LendingTree, Inc.;</w:t>
      </w:r>
    </w:p>
    <w:p>
      <w:pPr>
        <w:spacing w:after="0" w:line="90"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5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right="860" w:hanging="328"/>
        <w:spacing w:after="0" w:line="334" w:lineRule="auto"/>
        <w:tabs>
          <w:tab w:leader="none" w:pos="657"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328"/>
        <w:spacing w:after="0" w:line="263" w:lineRule="auto"/>
        <w:tabs>
          <w:tab w:leader="none" w:pos="65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60" w:right="280" w:hanging="328"/>
        <w:spacing w:after="0" w:line="277" w:lineRule="auto"/>
        <w:tabs>
          <w:tab w:leader="none" w:pos="65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5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144"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J.D. Moriarty</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8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49" w:lineRule="exact"/>
        <w:rPr>
          <w:sz w:val="20"/>
          <w:szCs w:val="20"/>
          <w:color w:val="auto"/>
        </w:rPr>
      </w:pPr>
    </w:p>
    <w:p>
      <w:pPr>
        <w:ind w:left="340" w:right="80" w:hanging="332"/>
        <w:spacing w:after="0" w:line="334" w:lineRule="auto"/>
        <w:tabs>
          <w:tab w:leader="none" w:pos="33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March 31, 2021 of LendingTree, Inc. (the “Report”) which this statement accompanies fully complies with the requirements of Section 13(a) or 15(d) of the Securities Exchange Act of 1934 (15 U.S.C. 78m or 78o(d)); and</w:t>
      </w:r>
    </w:p>
    <w:p>
      <w:pPr>
        <w:ind w:right="240" w:firstLine="8"/>
        <w:spacing w:after="0" w:line="383" w:lineRule="auto"/>
        <w:tabs>
          <w:tab w:leader="none" w:pos="3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May 5, 2021</w:t>
      </w:r>
    </w:p>
    <w:p>
      <w:pPr>
        <w:spacing w:after="0" w:line="1"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8658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16"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8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I, J.D. Moriarty, certify, pursuant to 18 U.S.C. Section 1350, as adopted pursuant to Section 906 of the Sarbanes-Oxley Act of 2002, that to my knowledge:</w:t>
      </w:r>
    </w:p>
    <w:p>
      <w:pPr>
        <w:spacing w:after="0" w:line="127" w:lineRule="exact"/>
        <w:rPr>
          <w:sz w:val="20"/>
          <w:szCs w:val="20"/>
          <w:color w:val="auto"/>
        </w:rPr>
      </w:pPr>
    </w:p>
    <w:p>
      <w:pPr>
        <w:ind w:left="340" w:right="80" w:hanging="332"/>
        <w:spacing w:after="0" w:line="334" w:lineRule="auto"/>
        <w:tabs>
          <w:tab w:leader="none" w:pos="33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March 31, 2021 of LendingTree, Inc. (the “Report”) which this statement accompanies fully complies with the requirements of Section 13(a) or 15(d) of the Securities Exchange Act of 1934 (15 U.S.C. 78m or 78o(d)); and</w:t>
      </w:r>
    </w:p>
    <w:p>
      <w:pPr>
        <w:ind w:right="240" w:firstLine="8"/>
        <w:spacing w:after="0" w:line="383" w:lineRule="auto"/>
        <w:tabs>
          <w:tab w:leader="none" w:pos="3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May 5, 2021</w:t>
      </w:r>
    </w:p>
    <w:p>
      <w:pPr>
        <w:spacing w:after="0" w:line="1"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J.D. Moriarty</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2"/>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2"/>
    </w:lvl>
  </w:abstractNum>
  <w:abstractNum w:abstractNumId="12">
    <w:nsid w:val="6B68079A"/>
    <w:multiLevelType w:val="hybridMultilevel"/>
    <w:lvl w:ilvl="0">
      <w:lvlJc w:val="left"/>
      <w:lvlText w:val="%1"/>
      <w:numFmt w:val="decimal"/>
      <w:start w:val="104"/>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62" Type="http://schemas.openxmlformats.org/officeDocument/2006/relationships/hyperlink" Target="http://www.sec.gov/Archives/edgar/data/1434621/000110465908054882/a08-22125_1ex3d1.htm" TargetMode="External"/><Relationship Id="rId63" Type="http://schemas.openxmlformats.org/officeDocument/2006/relationships/hyperlink" Target="http://www.sec.gov/Archives/edgar/data/1434621/000143462117000080/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2021-05-05T16:10:58Z</dcterms:created>
  <dcterms:modified xsi:type="dcterms:W3CDTF">2021-05-05T16:10:58Z</dcterms:modified>
</cp:coreProperties>
</file>