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8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75565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7"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3"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55245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158115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26-2414818</w:t>
            </w:r>
          </w:p>
        </w:tc>
      </w:tr>
      <w:tr>
        <w:trPr>
          <w:trHeight w:val="229"/>
        </w:trPr>
        <w:tc>
          <w:tcPr>
            <w:tcW w:w="7440" w:type="dxa"/>
            <w:vAlign w:val="bottom"/>
            <w:gridSpan w:val="7"/>
          </w:tcPr>
          <w:p>
            <w:pPr>
              <w:jc w:val="center"/>
              <w:ind w:right="18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9"/>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1415 Vantage Park Dr., Suite 700, Charlotte, North Carolina 28203</w:t>
            </w: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20" w:type="dxa"/>
            <w:vAlign w:val="bottom"/>
            <w:gridSpan w:val="3"/>
          </w:tcPr>
          <w:p>
            <w:pPr>
              <w:jc w:val="center"/>
              <w:ind w:left="113"/>
              <w:spacing w:after="0"/>
              <w:rPr>
                <w:sz w:val="20"/>
                <w:szCs w:val="20"/>
                <w:color w:val="auto"/>
              </w:rPr>
            </w:pPr>
            <w:r>
              <w:rPr>
                <w:rFonts w:ascii="Times New Roman" w:cs="Times New Roman" w:eastAsia="Times New Roman" w:hAnsi="Times New Roman"/>
                <w:sz w:val="17"/>
                <w:szCs w:val="17"/>
                <w:color w:val="auto"/>
              </w:rPr>
              <w:t>(Address of principal executive offices)(Zip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04"/>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9"/>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2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130"/>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36"/>
        </w:trPr>
        <w:tc>
          <w:tcPr>
            <w:tcW w:w="7440" w:type="dxa"/>
            <w:vAlign w:val="bottom"/>
            <w:gridSpan w:val="7"/>
          </w:tcPr>
          <w:p>
            <w:pPr>
              <w:jc w:val="center"/>
              <w:ind w:right="35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99"/>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Times New Roman" w:cs="Times New Roman" w:eastAsia="Times New Roman" w:hAnsi="Times New Roman"/>
                <w:sz w:val="17"/>
                <w:szCs w:val="17"/>
                <w:color w:val="auto"/>
              </w:rPr>
              <w:t>Title of each class</w:t>
            </w:r>
          </w:p>
        </w:tc>
        <w:tc>
          <w:tcPr>
            <w:tcW w:w="38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48"/>
        </w:trPr>
        <w:tc>
          <w:tcPr>
            <w:tcW w:w="3620" w:type="dxa"/>
            <w:vAlign w:val="bottom"/>
            <w:gridSpan w:val="4"/>
          </w:tcPr>
          <w:p>
            <w:pPr>
              <w:jc w:val="center"/>
              <w:ind w:left="216"/>
              <w:spacing w:after="0"/>
              <w:rPr>
                <w:sz w:val="20"/>
                <w:szCs w:val="20"/>
                <w:color w:val="auto"/>
              </w:rPr>
            </w:pPr>
            <w:r>
              <w:rPr>
                <w:rFonts w:ascii="Times New Roman" w:cs="Times New Roman" w:eastAsia="Times New Roman" w:hAnsi="Times New Roman"/>
                <w:sz w:val="17"/>
                <w:szCs w:val="17"/>
                <w:color w:val="auto"/>
              </w:rPr>
              <w:t>Common Stock, $0.01 par value per share</w:t>
            </w:r>
          </w:p>
        </w:tc>
        <w:tc>
          <w:tcPr>
            <w:tcW w:w="1160" w:type="dxa"/>
            <w:vAlign w:val="bottom"/>
          </w:tcPr>
          <w:p>
            <w:pPr>
              <w:spacing w:after="0"/>
              <w:rPr>
                <w:sz w:val="21"/>
                <w:szCs w:val="21"/>
                <w:color w:val="auto"/>
              </w:rPr>
            </w:pPr>
          </w:p>
        </w:tc>
        <w:tc>
          <w:tcPr>
            <w:tcW w:w="266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color w:val="auto"/>
              </w:rPr>
              <w:t>TREE</w:t>
            </w:r>
          </w:p>
        </w:tc>
        <w:tc>
          <w:tcPr>
            <w:tcW w:w="120" w:type="dxa"/>
            <w:vAlign w:val="bottom"/>
          </w:tcPr>
          <w:p>
            <w:pPr>
              <w:spacing w:after="0"/>
              <w:rPr>
                <w:sz w:val="21"/>
                <w:szCs w:val="21"/>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169" w:lineRule="exact"/>
        <w:rPr>
          <w:sz w:val="24"/>
          <w:szCs w:val="24"/>
          <w:color w:val="auto"/>
        </w:rPr>
      </w:pPr>
    </w:p>
    <w:p>
      <w:pPr>
        <w:jc w:val="both"/>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jc w:val="both"/>
        <w:ind w:firstLine="162"/>
        <w:spacing w:after="0" w:line="24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9" w:lineRule="exact"/>
        <w:rPr>
          <w:sz w:val="24"/>
          <w:szCs w:val="24"/>
          <w:color w:val="auto"/>
        </w:rPr>
      </w:pPr>
    </w:p>
    <w:p>
      <w:pPr>
        <w:jc w:val="both"/>
        <w:ind w:firstLine="16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20" w:type="dxa"/>
        <w:tblCellMar>
          <w:top w:w="0" w:type="dxa"/>
          <w:left w:w="0" w:type="dxa"/>
          <w:bottom w:w="0" w:type="dxa"/>
          <w:right w:w="0" w:type="dxa"/>
        </w:tblCellMar>
      </w:tblP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7" w:lineRule="exact"/>
        <w:rPr>
          <w:sz w:val="24"/>
          <w:szCs w:val="24"/>
          <w:color w:val="auto"/>
        </w:rPr>
      </w:pPr>
    </w:p>
    <w:p>
      <w:pPr>
        <w:ind w:right="20" w:firstLine="162"/>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As of July 23, 2024, there were 13,341,984 shares of the registrant's common stock, par value $0.01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40" w:type="dxa"/>
            <w:vAlign w:val="bottom"/>
            <w:gridSpan w:val="7"/>
          </w:tcPr>
          <w:p>
            <w:pPr>
              <w:jc w:val="center"/>
              <w:ind w:right="3000"/>
              <w:spacing w:after="0" w:line="176" w:lineRule="exact"/>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1040" w:type="dxa"/>
            <w:vAlign w:val="bottom"/>
          </w:tcPr>
          <w:p>
            <w:pPr>
              <w:spacing w:after="0"/>
              <w:rPr>
                <w:sz w:val="15"/>
                <w:szCs w:val="15"/>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334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Financial Statements</w:t>
            </w:r>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314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r>
      <w:tr>
        <w:trPr>
          <w:trHeight w:val="43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Unregistered Sales of Equity Securities, Use of Proceeds,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980" w:type="dxa"/>
            <w:vAlign w:val="bottom"/>
            <w:gridSpan w:val="9"/>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9480" w:type="dxa"/>
            <w:vAlign w:val="bottom"/>
            <w:gridSpan w:val="14"/>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Exhibits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4"/>
        </w:trPr>
        <w:tc>
          <w:tcPr>
            <w:tcW w:w="8720" w:type="dxa"/>
            <w:vAlign w:val="bottom"/>
          </w:tcPr>
          <w:p>
            <w:pPr>
              <w:spacing w:after="0"/>
              <w:rPr>
                <w:sz w:val="11"/>
                <w:szCs w:val="11"/>
                <w:color w:val="auto"/>
              </w:rPr>
            </w:pPr>
          </w:p>
        </w:tc>
        <w:tc>
          <w:tcPr>
            <w:tcW w:w="252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7"/>
        </w:trPr>
        <w:tc>
          <w:tcPr>
            <w:tcW w:w="8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3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112,051</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of $1,930 and $2,222, respectively)</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107,711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54,954</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31,457</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205,937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196,482</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$35,832 and $36,827, respectively)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46,400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54,830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57,222</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381,539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381,539</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47,665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50,620</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60,076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r>
      <w:tr>
        <w:trPr>
          <w:trHeight w:val="229"/>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5,746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802,193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802,759</w:t>
            </w:r>
          </w:p>
        </w:tc>
      </w:tr>
      <w:tr>
        <w:trPr>
          <w:trHeight w:val="243"/>
        </w:trPr>
        <w:tc>
          <w:tcPr>
            <w:tcW w:w="8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9"/>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95,173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70,544</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113,110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75,629</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467,722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525,617</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72,180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75,023</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3,095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656,373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678,627</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50,000,000 shares authorized; 16,695,394 and 16,396,911 shares issued, respectively,</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13,339,928 and 13,041,445 shares outstanding, respectively</w:t>
            </w:r>
          </w:p>
        </w:tc>
        <w:tc>
          <w:tcPr>
            <w:tcW w:w="2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1,240,766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1,227,849</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(828,935)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(837,703)</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3,355,466 and 3,355,466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145,820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124,132</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802,193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802,759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6"/>
        </w:trPr>
        <w:tc>
          <w:tcPr>
            <w:tcW w:w="5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210,140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182,453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377,908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382,961</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6"/>
        </w:trPr>
        <w:tc>
          <w:tcPr>
            <w:tcW w:w="5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separately below)</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8,411</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16,956</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148,387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256,563</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253,176</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27,118</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52,914</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65,843</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10,374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22,231</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25,256</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4,601</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9,268</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2,956</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r>
      <w:tr>
        <w:trPr>
          <w:trHeight w:val="229"/>
        </w:trPr>
        <w:tc>
          <w:tcPr>
            <w:tcW w:w="5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200,553</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175,840</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361,142</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389,359</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9,587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16,766</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(6,398)</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29"/>
        </w:trPr>
        <w:tc>
          <w:tcPr>
            <w:tcW w:w="50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1,052</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2,086</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9,438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11,013</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13,964</w:t>
            </w:r>
          </w:p>
        </w:tc>
      </w:tr>
      <w:tr>
        <w:trPr>
          <w:trHeight w:val="229"/>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7,752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8,768</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13,342</w:t>
            </w:r>
          </w:p>
        </w:tc>
      </w:tr>
      <w:tr>
        <w:trPr>
          <w:trHeight w:val="257"/>
        </w:trPr>
        <w:tc>
          <w:tcPr>
            <w:tcW w:w="5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13,257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13,179</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13,407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13,364</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0.67</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5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0.66</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124,132</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16,397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1,227,849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(837,703)</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1,016</w:t>
            </w:r>
          </w:p>
        </w:tc>
        <w:tc>
          <w:tcPr>
            <w:tcW w:w="160" w:type="dxa"/>
            <w:vAlign w:val="bottom"/>
          </w:tcPr>
          <w:p>
            <w:pPr>
              <w:spacing w:after="0"/>
              <w:rPr>
                <w:sz w:val="17"/>
                <w:szCs w:val="17"/>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1,016</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7,789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7,789</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(1,422)</w:t>
            </w:r>
          </w:p>
        </w:tc>
        <w:tc>
          <w:tcPr>
            <w:tcW w:w="160" w:type="dxa"/>
            <w:vAlign w:val="bottom"/>
          </w:tcPr>
          <w:p>
            <w:pPr>
              <w:spacing w:after="0"/>
              <w:rPr>
                <w:sz w:val="13"/>
                <w:szCs w:val="13"/>
                <w:color w:val="auto"/>
              </w:rPr>
            </w:pPr>
          </w:p>
        </w:tc>
        <w:tc>
          <w:tcPr>
            <w:tcW w:w="92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180</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(1,424)</w:t>
            </w:r>
          </w:p>
        </w:tc>
        <w:tc>
          <w:tcPr>
            <w:tcW w:w="200" w:type="dxa"/>
            <w:vAlign w:val="bottom"/>
          </w:tcPr>
          <w:p>
            <w:pPr>
              <w:spacing w:after="0"/>
              <w:rPr>
                <w:sz w:val="13"/>
                <w:szCs w:val="13"/>
                <w:color w:val="auto"/>
              </w:rPr>
            </w:pPr>
          </w:p>
        </w:tc>
        <w:tc>
          <w:tcPr>
            <w:tcW w:w="11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131,515</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16,577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1,234,214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(836,687)</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194"/>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40" w:type="dxa"/>
            <w:vAlign w:val="bottom"/>
          </w:tcPr>
          <w:p>
            <w:pPr>
              <w:spacing w:after="0"/>
              <w:rPr>
                <w:sz w:val="16"/>
                <w:szCs w:val="16"/>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7,752</w:t>
            </w:r>
          </w:p>
        </w:tc>
        <w:tc>
          <w:tcPr>
            <w:tcW w:w="16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7,752</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7,437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7,437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employee stock purchase plan, restricted stock</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awards and restricted stock units, net of</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(884)</w:t>
            </w:r>
          </w:p>
        </w:tc>
        <w:tc>
          <w:tcPr>
            <w:tcW w:w="160" w:type="dxa"/>
            <w:vAlign w:val="bottom"/>
          </w:tcPr>
          <w:p>
            <w:pPr>
              <w:spacing w:after="0"/>
              <w:rPr>
                <w:sz w:val="12"/>
                <w:szCs w:val="12"/>
                <w:color w:val="auto"/>
              </w:rPr>
            </w:pPr>
          </w:p>
        </w:tc>
        <w:tc>
          <w:tcPr>
            <w:tcW w:w="92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118</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2"/>
                <w:szCs w:val="12"/>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(885)</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145,820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16,695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1,240,766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(828,935)</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53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6"/>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207,940</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16,167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1,189,255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(715,299)</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13,457</w:t>
            </w:r>
          </w:p>
        </w:tc>
        <w:tc>
          <w:tcPr>
            <w:tcW w:w="160" w:type="dxa"/>
            <w:vAlign w:val="bottom"/>
          </w:tcPr>
          <w:p>
            <w:pPr>
              <w:spacing w:after="0"/>
              <w:rPr>
                <w:sz w:val="17"/>
                <w:szCs w:val="17"/>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13,457</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11,274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11,274</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(1,693)</w:t>
            </w:r>
          </w:p>
        </w:tc>
        <w:tc>
          <w:tcPr>
            <w:tcW w:w="160" w:type="dxa"/>
            <w:vAlign w:val="bottom"/>
          </w:tcPr>
          <w:p>
            <w:pPr>
              <w:spacing w:after="0"/>
              <w:rPr>
                <w:sz w:val="17"/>
                <w:szCs w:val="17"/>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98</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(1,694)</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4"/>
        </w:trPr>
        <w:tc>
          <w:tcPr>
            <w:tcW w:w="3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230,979</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16,265</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1,198,836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(701,842)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(115)</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(115)</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10,199</w:t>
            </w:r>
          </w:p>
        </w:tc>
        <w:tc>
          <w:tcPr>
            <w:tcW w:w="160" w:type="dxa"/>
            <w:vAlign w:val="bottom"/>
          </w:tcPr>
          <w:p>
            <w:pPr>
              <w:spacing w:after="0"/>
              <w:rPr>
                <w:sz w:val="17"/>
                <w:szCs w:val="17"/>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10,199</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320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652</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59</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652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241,715</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16,324</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1,209,687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(701,957)</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8"/>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income and comprehensive income</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8,768</w:t>
            </w:r>
          </w:p>
        </w:tc>
        <w:tc>
          <w:tcPr>
            <w:tcW w:w="4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13,342</w:t>
            </w:r>
          </w:p>
        </w:tc>
      </w:tr>
      <w:tr>
        <w:trPr>
          <w:trHeight w:val="231"/>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impairments and disposal of assets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781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5,167</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2,956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9,268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9,479</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15,226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21,473</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1,270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118</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Reduction in carrying amount of ROU asset, offset by change in operating lease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settlement of convertible debt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(30,897)</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 of investments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current assets and liabilities: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(52,701)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6,809</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26,383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(4,337)</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26"/>
        </w:trPr>
        <w:tc>
          <w:tcPr>
            <w:tcW w:w="8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27"/>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765</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28,224</w:t>
            </w:r>
          </w:p>
        </w:tc>
      </w:tr>
      <w:tr>
        <w:trPr>
          <w:trHeight w:val="219"/>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w:t>
            </w:r>
          </w:p>
        </w:tc>
      </w:tr>
      <w:tr>
        <w:trPr>
          <w:trHeight w:val="22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(5,474)</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(4,853)</w:t>
            </w:r>
          </w:p>
        </w:tc>
      </w:tr>
      <w:tr>
        <w:trPr>
          <w:trHeight w:val="221"/>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term loan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related to net-share settlement of stock-based compensation, net of proceeds from exercise of stock options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0.50% Convertible Senior Notes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(151,687)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(156,294)</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proceeds from term loan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125,000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costs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w:t>
            </w:r>
          </w:p>
        </w:tc>
      </w:tr>
      <w:tr>
        <w:trPr>
          <w:trHeight w:val="22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Payment of original issue discount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(40,578)</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(159,665)</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restricted cash and restricted cash equivalents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(45,287)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(136,294)</w:t>
            </w:r>
          </w:p>
        </w:tc>
      </w:tr>
      <w:tr>
        <w:trPr>
          <w:trHeight w:val="228"/>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112,056</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298,969</w:t>
            </w:r>
          </w:p>
        </w:tc>
      </w:tr>
      <w:tr>
        <w:trPr>
          <w:trHeight w:val="234"/>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66,769</w:t>
            </w:r>
          </w:p>
        </w:tc>
        <w:tc>
          <w:tcPr>
            <w:tcW w:w="4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162,675</w:t>
            </w:r>
          </w:p>
        </w:tc>
      </w:tr>
      <w:tr>
        <w:trPr>
          <w:trHeight w:val="148"/>
        </w:trPr>
        <w:tc>
          <w:tcPr>
            <w:tcW w:w="8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June 30, 2024 and for the three and six months ended June 30, 2024 and 2023,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2024 are not necessarily indicative of the results to be expected for the year ending December 31, 2024, or any other period. The accompanying consolidated balance sheet as of December 31, 2023 was derived from audited financial statements included in the Company's Annual Report on Form 10-K for the year ended December 31, 2023 (the “2023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2023 Annual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 economic conditions worsen, such future changes may have an adverse impact on the Company's results of operations, financial position and liquidity.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June 30, 2024,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Early adoption is permitted, including adoption in interim periods. An entity should adopt the guidance as of the beginning of the earliest period presented. The Company is evaluating the impact this ASU will have on its consolidated financial statements.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 and whether to early adopt.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32,166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62,609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85,238</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Personal loans</w:t>
            </w:r>
          </w:p>
        </w:tc>
        <w:tc>
          <w:tcPr>
            <w:tcW w:w="28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26,936</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47,063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51,736</w:t>
            </w: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28,965</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60,289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110,450</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Consumer</w:t>
            </w:r>
          </w:p>
        </w:tc>
        <w:tc>
          <w:tcPr>
            <w:tcW w:w="28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55,901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107,352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162,186</w:t>
            </w: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122,071</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207,943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135,480</w:t>
            </w:r>
          </w:p>
        </w:tc>
      </w:tr>
      <w:tr>
        <w:trPr>
          <w:trHeight w:val="229"/>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0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210,140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182,453</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377,908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382,961</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was expected to remain a customer and receive services. Subscription fees were recognized over the period a consumer was receiving services. As of the second quarter of 2023, the Company discontinued providing its credit services product to consumers and no longer receives upfront and subscription fees.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and other current assets on the consolidated balance sheets related to estimated variable consideration was $16.7 million and $13.7 million at June 30, 2024 and December 31,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contract liability was in the Ovation business that closed during 2023, there was no contract liability at December 31, 2023. During the second quarter and first six months of 2023, the Company recognized revenue of $0.1 million and $0.9 million, respectively, that was included in the contract liability balance at December 31, 2022.</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There was an increase of $0.2 million in the second quarter of 2024, and there was a decrease of $0.9 million in the second quarter of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4—CASH AND RESTRICTED CASH</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Total cash, cash equivalents, restricted cash and restricted cash equivalents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66,769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112,051</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restricted cash and restricted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66,769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112,056</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6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2,222</w:t>
            </w:r>
          </w:p>
        </w:tc>
        <w:tc>
          <w:tcPr>
            <w:tcW w:w="3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w:t>
            </w: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34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30"/>
        </w:trPr>
        <w:tc>
          <w:tcPr>
            <w:tcW w:w="6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1,930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1,930</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r>
      <w:tr>
        <w:trPr>
          <w:trHeight w:val="574"/>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6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The balance of goodwill, net and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5"/>
        </w:trPr>
        <w:tc>
          <w:tcPr>
            <w:tcW w:w="6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21"/>
                <w:szCs w:val="21"/>
                <w:color w:val="auto"/>
              </w:rPr>
            </w:pPr>
          </w:p>
        </w:tc>
        <w:tc>
          <w:tcPr>
            <w:tcW w:w="12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r>
      <w:tr>
        <w:trPr>
          <w:trHeight w:val="256"/>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40,478</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47,665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50,620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goodwill at each of June 30, 2024 and December 31, 2023 consisted of $59.3 million associated with the Home segment, $166.1 million associated with the Consumer segment, and $156.1 million associated with the Insurance segment.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concluded that a triggering event had occurred related to its goodwill and an interim quantitative impairment test was performed as of September 30, 2023. During the third quarter of 2023, the Company’s market capitalization fell below its book value. Additionally, the Home reporting unit continued to struggle due to the effects of the significant increases in mortgage rates, low for-sale home inventories and the rise in home prices. The Insurance reporting unit continued to see pressure due to the consumer price inflation negatively impacting carrier underwriting. Upon completing a quantitative goodwill impairment test, the Company concluded that the carrying value of the Insurance reporting unit exceeded its fair value which resulted in a goodwill impairment charge of $38.6 million in the third quarter of 2023. The fair value of the Home and Consumer reporting units exceeded their carrying amounts, indicating no goodwill impairment. The Company will monitor the recovery of the Insurance reporting unit and Home reporting unit. Any changes in the timing of the recovery compared to current expectations could cause an impairment to the Insurance or Home reporting unit.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76,100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8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76,100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37,523</w:t>
            </w:r>
          </w:p>
        </w:tc>
        <w:tc>
          <w:tcPr>
            <w:tcW w:w="0" w:type="dxa"/>
            <w:vAlign w:val="bottom"/>
          </w:tcPr>
          <w:p>
            <w:pPr>
              <w:spacing w:after="0"/>
              <w:rPr>
                <w:sz w:val="1"/>
                <w:szCs w:val="1"/>
                <w:color w:val="auto"/>
              </w:rPr>
            </w:pPr>
          </w:p>
        </w:tc>
      </w:tr>
      <w:tr>
        <w:trPr>
          <w:trHeight w:val="340"/>
        </w:trPr>
        <w:tc>
          <w:tcPr>
            <w:tcW w:w="66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88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76,100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77,400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(36,922)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40,478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June 30, 2024,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9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30"/>
        </w:trPr>
        <w:tc>
          <w:tcPr>
            <w:tcW w:w="9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7—EQUITY INVESTMENT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income (expense) in the consolidated statements of operations and comprehensive income.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2023, the Company recorded an impairment charge of $1.4 million on one of its investments in equity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third quarter of 2023, the Company determined there was an impairment indicator related to its Stash investment and performed a valuation of</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investment. Based on the valuation, the Company determined the estimated fair value was below the carrying value of the investment and recorded an impairment charge of $113.1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8—ACCRUED EXPENSES AND OTHER CURRENT LIABILITIES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86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59,062</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10,734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7,196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6,115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r>
      <w:tr>
        <w:trPr>
          <w:trHeight w:val="23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10,001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8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95,173</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70,544</w:t>
            </w:r>
          </w:p>
        </w:tc>
      </w:tr>
      <w:tr>
        <w:trPr>
          <w:trHeight w:val="58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9—SHAREHOLDERS' EQUITY</w:t>
            </w: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7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5"/>
        </w:trPr>
        <w:tc>
          <w:tcPr>
            <w:tcW w:w="5860" w:type="dxa"/>
            <w:vAlign w:val="bottom"/>
          </w:tcPr>
          <w:p>
            <w:pPr>
              <w:spacing w:after="0"/>
              <w:rPr>
                <w:sz w:val="21"/>
                <w:szCs w:val="21"/>
                <w:color w:val="auto"/>
              </w:rPr>
            </w:pPr>
          </w:p>
        </w:tc>
        <w:tc>
          <w:tcPr>
            <w:tcW w:w="28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18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58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186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13,257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12,881</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186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186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Borders>
              <w:bottom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18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13,407</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12,915</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12,912</w:t>
            </w: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second quarter of 2024, the weighted average shares that were anti-dilutive, and therefore excluded from the calculation of diluted income per share, included options to purchase 1.0 million shares of common stock and 0.1 million restricted stock units. For the first six months of 2024, the weighted average shares that were anti-dilutive, and therefore excluded from the calculation of diluted income per share, included options to purchase 1.0 million shares of common stock and 0.1 million restricted stock units.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second quarter of 2023,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For the second quarter of 2023, the weighted average shares that were anti-dilutive, and therefore excluded from the calculation of diluted income per share, included options to purchase 1.2 million shares of common stock and 0.6 million restricted stock units. For the first six months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2023, the weighted average shares that were anti-dilutive, and therefore excluded from the calculation of diluted income per share, included options to purchase 1.0 million shares of common stock and 0.5 million restricted stock units.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convertible notes and the warrants issued by the Company could be converted into the Company’s common stock, subject to certain contingencies.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Debt for additional information.</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Approximately 0.6 million shares in the second quarter and first six months of 2024, and approximately 0.8 million and 1.2 million shares in the second quarter and first six months of 2023, respectively, associated with the 0.50% Convertible Senior Notes due July 15, 2025 were excluded from the calculation of diluted income (loss) per share because their inclusion would have been anti-dilutive. Shares of the Company's common stock associated with the warrants issued by the Company in 2020 were excluded from the calculation of diluted income (loss) per share for the second quarter and first six months of 2024 and the second quarter and first six months of 2023 as they were anti-dilutive since the strike price of the warrants was greater than the average market price of the Company's common stock during the relevant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plan authorized for the repurchase of LendingTree's common stock. During the first six months of 2024 and 2023, the Company did not repurchase shares of its common stock. At June 30, 2024, approximately $96.7 million of the previous authorizations to repurchase common stock remain available.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6"/>
        </w:trPr>
        <w:tc>
          <w:tcPr>
            <w:tcW w:w="49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169</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829</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1,853</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5,440</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10,773</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1,094</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2,431</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7,437</w:t>
            </w:r>
          </w:p>
        </w:tc>
        <w:tc>
          <w:tcPr>
            <w:tcW w:w="9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10,199</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15,226</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21,473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ind w:right="3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2024</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734,775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150.74</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26.00</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169.01</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June 30, 2024</w:t>
            </w: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457,465</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220.05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June 30, 2024</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368,235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214.00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6"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$41.59 on the last trading day of the quarter ended June 30, 2024 and the exercise price, multiplied by the number of shares covered by in-the-money options) that would have been received by the option holder had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holder exercised these options on June 30, 2024. The intrinsic value changes based on the market value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line="202"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(a)</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2024</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718,438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229.02</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275.82</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June 30, 2024</w:t>
            </w: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699,312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227.74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June 30, 2024</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$41.59 on the last trading day of the quarter ended June 30, 2024 and the exercise price, multiplied by the number of shares covered by in-the-money options) that would have been received by the option holder had the option holder exercised these options on June 30, 2024. The intrinsic value changes based on the market value of the Company's common stock.</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 maximum of 363,464 shares may be earned for achieving superior performance up to 167% of the remaining unvested target number of shares. As of June 30, 2024, no additional performance-based nonqualified stock options with a market condition had been earned.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units (“RSUs”)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2024</w:t>
            </w:r>
          </w:p>
        </w:tc>
        <w:tc>
          <w:tcPr>
            <w:tcW w:w="5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471,593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404,965</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(232,197)</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4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(26,306)</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June 30, 2024</w:t>
            </w:r>
          </w:p>
        </w:tc>
        <w:tc>
          <w:tcPr>
            <w:tcW w:w="548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618,055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48.36</w:t>
            </w:r>
          </w:p>
        </w:tc>
        <w:tc>
          <w:tcPr>
            <w:tcW w:w="0" w:type="dxa"/>
            <w:vAlign w:val="bottom"/>
          </w:tcPr>
          <w:p>
            <w:pPr>
              <w:spacing w:after="0"/>
              <w:rPr>
                <w:sz w:val="1"/>
                <w:szCs w:val="1"/>
                <w:color w:val="auto"/>
              </w:rPr>
            </w:pPr>
          </w:p>
        </w:tc>
      </w:tr>
      <w:tr>
        <w:trPr>
          <w:trHeight w:val="905"/>
        </w:trPr>
        <w:tc>
          <w:tcPr>
            <w:tcW w:w="3920" w:type="dxa"/>
            <w:vAlign w:val="bottom"/>
          </w:tcPr>
          <w:p>
            <w:pPr>
              <w:spacing w:after="0"/>
              <w:rPr>
                <w:sz w:val="24"/>
                <w:szCs w:val="24"/>
                <w:color w:val="auto"/>
              </w:rPr>
            </w:pPr>
          </w:p>
        </w:tc>
        <w:tc>
          <w:tcPr>
            <w:tcW w:w="364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14</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Market Conditions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performance conditions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68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RSUs with Market Conditions</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2024</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69,000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June 30, 2024</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57,500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1"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2024, the Company granted RSUs with market conditions that will vest if the Company's 45 trading day average closing stock prices equals or exceeds certain price hurdles ($41.17, $52.94 and $64.70) during the performance period of March 1, 2024 to March 1, 2028. Upon achievement of each price hurdle, one-half of the awards will vest immediately, and the other half of the awards will vest on the first anniversary of the achievement date.</w:t>
      </w:r>
    </w:p>
    <w:p>
      <w:pPr>
        <w:spacing w:after="0" w:line="1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4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r>
      <w:tr>
        <w:trPr>
          <w:trHeight w:val="229"/>
        </w:trPr>
        <w:tc>
          <w:tcPr>
            <w:tcW w:w="5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(2)</w:t>
            </w: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68.06 %</w:t>
            </w:r>
          </w:p>
        </w:tc>
      </w:tr>
      <w:tr>
        <w:trPr>
          <w:trHeight w:val="230"/>
        </w:trPr>
        <w:tc>
          <w:tcPr>
            <w:tcW w:w="5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4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30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(4)</w:t>
            </w:r>
          </w:p>
        </w:tc>
        <w:tc>
          <w:tcPr>
            <w:tcW w:w="4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148" w:lineRule="exact"/>
        <w:rPr>
          <w:sz w:val="20"/>
          <w:szCs w:val="20"/>
          <w:color w:val="auto"/>
        </w:rPr>
      </w:pPr>
    </w:p>
    <w:p>
      <w:pPr>
        <w:ind w:left="98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RSUs with market conditions granted was calculated using a four-year performance period plus one year to account for the time-based vesting requirement.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RSUs with market conditions granted, no dividends are expected to be paid over the contractual term of the stock options, resulting in a zero expected dividend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2021, the Company implemented an employee stock purchase plan (“ESPP”), under which a total of 262,731 shares of the Company's common stock were reserved for issuance. As of June 30, 2024, 134,412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six months ended June 30, 2024, 27,852 shares were issued under the ESPP.</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granted employee stock purchase rights to certain employees with a grant date fair value per share of $11.27 and $8.19,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3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9"/>
              </w:rPr>
              <w:t>0.50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9"/>
        </w:trPr>
        <w:tc>
          <w:tcPr>
            <w:tcW w:w="8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82 %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8460" w:type="dxa"/>
            <w:vAlign w:val="bottom"/>
            <w:tcBorders>
              <w:bottom w:val="single" w:sz="8" w:color="999999"/>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1220" w:type="dxa"/>
            <w:vAlign w:val="bottom"/>
            <w:tcBorders>
              <w:bottom w:val="single" w:sz="8" w:color="999999"/>
            </w:tcBorders>
          </w:tcPr>
          <w:p>
            <w:pPr>
              <w:jc w:val="right"/>
              <w:ind w:right="370"/>
              <w:spacing w:after="0"/>
              <w:rPr>
                <w:sz w:val="20"/>
                <w:szCs w:val="20"/>
                <w:color w:val="auto"/>
              </w:rPr>
            </w:pPr>
            <w:r>
              <w:rPr>
                <w:rFonts w:ascii="Times New Roman" w:cs="Times New Roman" w:eastAsia="Times New Roman" w:hAnsi="Times New Roman"/>
                <w:sz w:val="18"/>
                <w:szCs w:val="18"/>
                <w:color w:val="auto"/>
              </w:rPr>
              <w:t>5.28 %</w:t>
            </w:r>
          </w:p>
        </w:tc>
        <w:tc>
          <w:tcPr>
            <w:tcW w:w="156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4.76 %</w:t>
            </w:r>
          </w:p>
        </w:tc>
      </w:tr>
    </w:tbl>
    <w:p>
      <w:pPr>
        <w:spacing w:after="0" w:line="23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(2,245)</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5280" w:type="dxa"/>
            <w:vAlign w:val="bottom"/>
            <w:tcBorders>
              <w:bottom w:val="single" w:sz="8" w:color="999999"/>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20" w:type="dxa"/>
            <w:vAlign w:val="bottom"/>
            <w:tcBorders>
              <w:bottom w:val="single" w:sz="8" w:color="999999"/>
            </w:tcBorders>
          </w:tcPr>
          <w:p>
            <w:pPr>
              <w:spacing w:after="0"/>
              <w:rPr>
                <w:sz w:val="19"/>
                <w:szCs w:val="19"/>
                <w:color w:val="auto"/>
              </w:rPr>
            </w:pPr>
          </w:p>
        </w:tc>
        <w:tc>
          <w:tcPr>
            <w:tcW w:w="114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17.9 %</w:t>
            </w:r>
          </w:p>
        </w:tc>
        <w:tc>
          <w:tcPr>
            <w:tcW w:w="380" w:type="dxa"/>
            <w:vAlign w:val="bottom"/>
            <w:tcBorders>
              <w:bottom w:val="single" w:sz="8" w:color="999999"/>
            </w:tcBorders>
          </w:tcPr>
          <w:p>
            <w:pPr>
              <w:spacing w:after="0"/>
              <w:rPr>
                <w:sz w:val="19"/>
                <w:szCs w:val="19"/>
                <w:color w:val="auto"/>
              </w:rPr>
            </w:pPr>
          </w:p>
        </w:tc>
        <w:tc>
          <w:tcPr>
            <w:tcW w:w="10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202.7 %</w:t>
            </w:r>
          </w:p>
        </w:tc>
        <w:tc>
          <w:tcPr>
            <w:tcW w:w="12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spacing w:after="0"/>
              <w:rPr>
                <w:sz w:val="19"/>
                <w:szCs w:val="19"/>
                <w:color w:val="auto"/>
              </w:rPr>
            </w:pPr>
          </w:p>
        </w:tc>
        <w:tc>
          <w:tcPr>
            <w:tcW w:w="1140" w:type="dxa"/>
            <w:vAlign w:val="bottom"/>
            <w:tcBorders>
              <w:bottom w:val="single" w:sz="8" w:color="999999"/>
            </w:tcBorders>
          </w:tcPr>
          <w:p>
            <w:pPr>
              <w:ind w:left="560"/>
              <w:spacing w:after="0"/>
              <w:rPr>
                <w:sz w:val="20"/>
                <w:szCs w:val="20"/>
                <w:color w:val="auto"/>
              </w:rPr>
            </w:pPr>
            <w:r>
              <w:rPr>
                <w:rFonts w:ascii="Times New Roman" w:cs="Times New Roman" w:eastAsia="Times New Roman" w:hAnsi="Times New Roman"/>
                <w:sz w:val="18"/>
                <w:szCs w:val="18"/>
                <w:i w:val="1"/>
                <w:iCs w:val="1"/>
                <w:color w:val="auto"/>
              </w:rPr>
              <w:t>20.4 %</w:t>
            </w:r>
          </w:p>
        </w:tc>
        <w:tc>
          <w:tcPr>
            <w:tcW w:w="580" w:type="dxa"/>
            <w:vAlign w:val="bottom"/>
            <w:tcBorders>
              <w:bottom w:val="single" w:sz="8" w:color="999999"/>
            </w:tcBorders>
          </w:tcPr>
          <w:p>
            <w:pPr>
              <w:spacing w:after="0"/>
              <w:rPr>
                <w:sz w:val="19"/>
                <w:szCs w:val="19"/>
                <w:color w:val="auto"/>
              </w:rPr>
            </w:pPr>
          </w:p>
        </w:tc>
        <w:tc>
          <w:tcPr>
            <w:tcW w:w="8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second quarter and first six months of 2024, and the second quarter and first six months of 2023 the effective tax rate varied from the federal statutory rate of 21% primarily due to the change in the valuation allowance, net of the current period change in tax effected net indefinite-lived intangibles.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Notes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2024, the Company repurchased approximately $161.3 million in principal amount of the 2025 Notes for $151.7 million plus accrued and unpaid interest of approximately $0.3 million. As a result of the repurchase, the Company recognized a gain on the extinguishment of $9.6 million and a loss on the write-off of unamortized debt issuance costs of $1.0 million, both of which are included in interest income/expense, net in the consolidated statements of operations and comprehensive income.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fourth quarter of 2023, the Company repurchased approximately $100.2 million in principal amount of its 2025 Notes, through privately-negotiated transactions with certain holders of the 2025 Notes, for $81.2 million in cash plus accrued and unpaid interest of approximately $0.2 million. During the year ended December 31, 2023, the Company recognized a gain on the extinguishment of debt of $53.3 million, a loss on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write-off of unamortized debt issuance costs of $3.2 million and incurred debt repayment costs of $1.6 million, all of which are included in interest (expense) income, net in the consolidated statements of operations and comprehensive income.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the 2025 Notes were not entitled to convert the 2025 Notes during the calendar quarter ended June 30, 2024 as the last reported sale price of the Company's common stock, for at least 20 trading days (whether or not consecutive) during the period of 30 consecutive trading days ending on March 31, 2024, was not greater than or equal to 130% of the conversion price of the 2025 Notes on each applicable trading day.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six months of 2024, the Company recorded interest expense on the 2025 Notes of $1.3 million which consisted of $0.6 million associated with the 0.50% coupon rate and $0.7 million associated with the amortization of the debt issuance costs. In the first six months of 2023, the Company recorded interest expense on the 2025 Notes of $2.3 million which consisted of $1.1 million associated with the 0.50% coupon rate and $1.2 million associated with the amortization of the debt issuance costs.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fair value of the 2025 Notes was estimated to be approximately $113.7 million using the Level 1 observable input of the last quoted market price on June 30, 2024.</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debt issuance costs, and net carrying value of the 2025 Notes, all of which was recorded as a non-current liability in the June 30, 2024 consolidated balance sheet,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122,915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284,188</w:t>
            </w:r>
          </w:p>
        </w:tc>
      </w:tr>
      <w:tr>
        <w:trPr>
          <w:trHeight w:val="229"/>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122,237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281,867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Hedge and Warrants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24, 2020, in connection with the issuance of the 2025 Notes, the Company entered into Convertible Note Hedge (the “2020 Hedge”) and warrant transactions with respect to the Company’s common stock.</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2025 Notes.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repurchases of the 2025 Notes noted above, the Company entered into agreements with the counterparties for the 2020 Hedge and 2020 Warrants transactions to terminate the respective portions of these call spread transactions effective as of each settlement date in notional amounts corresponding to the principal amount of the 2025 Notes repurchased. Subsequent to such termination, the outstanding portion of the 2020 Hedge covers 0.3 million shares of the Company's common stock and 2020 Warrants to acquire 0.3 million shares of the Company's common stock remain outstanding.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15, 2021, the Company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$245.6 million of borrowings outstanding under the 2021 Term Loan bearing interest at the SOFR option rate of 9.2% and had no borrowings under the Revolving Facility. As of December 31, 2023, the Company had $246.9 million of borrowings outstanding under the 2021 Term Loan and no borrowings under the Revolving Facility. As of June 30, 2024, borrowings of $3.1 million under the 2021 Term Loan are recorded as current portion of long-term debt on the consolidated balance sheet.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each of June 30, 2024 and December 31, 2023, the Company had outstanding one letter of credit issued in the amount of $0.2 million.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covenants at June 30, 2024.</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six months of 2024, the Company recorded interest expense related to its Revolving Facility of $0.9 million which consisted of $0.4 million in unused commitment fees and $0.5 million associated with the amortization of the debt issuance costs. In the first six months of 2024, the Company recorded interest expense related to the 2021 Term Loan of $11.4 million associated with borrowings bearing interest at the SOFR rate.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six months of 2023, the Company recorded interest expense related to its Revolving Facility of $0.7 million which consisted of $0.2 million in unused commitment fees and $0.5 million associated with the amortization of the debt issuance costs. In the first six months of 2023, the Company recorded interest expense related to the 2021 Term Loan of $10.7 million associated with borrowings bearing interest at the LIBO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27, 2024, the Company entered into a $175.0 million first lien term loan facility (the “2024 Term Loan”), which matures on March 27, 2031. The Company drew $125.0 million of the 2024 Term Loan upon closing while the remaining $50.0 million will be available as a delayed draw term loan until March 27, 2025. The proceeds of the 2024 Term Loan made on March 27, 2024 will be used to pay fees and expenses incurred in connection with the closing of the 2024 Term Loan and delayed draw term loan, and will be used for working capital and general corporate purposes, which may include repayment of the 2025 Notes. As of June 30, 2024, the Company had $121.9 million borrowings outstanding under the 2024 Term Loan bearing interest at the SOFR rate of 11.1%. As of June 30, 2024, borrowings of $12.5 million under the 2024 Term Loan are recorded as current portion of long-term debt on the consolidated balance sheet.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 Term Loan is pre-payable at par, after 12 months of call protection (during which time prepayment would be at 101% of par), or with respect to prepayments made with respect to a change of control, at 101% of par, and carries a seven-year term. The Company's borrowings under the 2024 Term Loan bear interest at annual rates at (i) a SOFR rate on a daily basis applicable for an interest period of one month and (ii) 5.75%, with the opportunity for a one-time 25 basis point step-down at a gross first lien leverage ratio less than or equal to 3.75x after six fiscal quarters from the date of closing.</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2024 Term Loan has certain financial covenants which are tested on a quarterly basis. The covenants include a requirement for the Company to have a minimum cash balance of $40.0 million and a minimum Consolidated EBITDA (as such term is defined in the 2024 Term Loan agreement dated as of March 27, 2024) based on the applicable quarter. The Company was in compliance with all covenants at June 30, 2024.</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2024 Term Loan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agreements of this type, all subject to certain exceptions. In addition, the Company is required to file an ATM Shelf Registration (as defined in the 2024 Term Loan agreement) with the SEC. In the event of a default in the minimum Consolidated EBITDA covenant, the Company is required to utilize the ATM Equity Program (as defined in the 2024 Term Loan agreement) to sell common stock and use the proceeds to cure the event of default in the minimum Consolidated EBITDA covenant.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make mandatory prepayments of the outstanding principal amount of loans under the 2024 Term Loan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 Term Loan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events. The occurrence of a default could result in the acceleration of the obligations under the facility.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facility, the Company granted a security interest to substantially all of the Company’s assets and the assets of its material subsidiaries, subject to certain exceptions.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the 2024 Term Loan, the Company incurred financing costs of $7.3 million upon closing consisting of $4.2 million of debt issuance costs and $3.1 million of original issue discount which are being amortized to interest expense over the life of the 2024 Term Loan. Additionally, the Company is required to pay an unused commitment fee quarterly in arrears in an amount equal to 1.50% per annum on the amount of the undrawn portion of the delayed draw term loan commitments under the 2024 Term Loan.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six months of 2024, the Company recorded interest expense related to the 2024 Term Loan of $4.2 million which consisted of $3.7 million associated with borrowings bearing interest at the SOFR rate, $0.2 million associated with unused commitment fees, $0.2 million associated with the amortization of debt issuance costs, and $0.1 million associated with the accretion of the original issue discount.</w:t>
      </w:r>
    </w:p>
    <w:p>
      <w:pPr>
        <w:spacing w:after="0" w:line="12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gross carrying amount, debt issuance costs, original issue discount, and net carrying value of the 2024 Term Loan in the June 30, 2024 consolidated balance sheet, are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carrying amount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9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9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11,770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carrying amount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109,375</w:t>
            </w: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3,691</w:t>
            </w:r>
          </w:p>
        </w:tc>
      </w:tr>
      <w:tr>
        <w:trPr>
          <w:trHeight w:val="230"/>
        </w:trPr>
        <w:tc>
          <w:tcPr>
            <w:tcW w:w="9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2,699</w:t>
            </w:r>
          </w:p>
        </w:tc>
      </w:tr>
      <w:tr>
        <w:trPr>
          <w:trHeight w:val="230"/>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102,985</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litigation settlement accruals of $0.6 million and $0.6 million, respectively. The litigation settlement accruals relate to litigation matters that were either settled or a firm offer for settlement was extended, thereby establishing an accrual amount that is both probable and reasonably estimable.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Other than the convertible notes and warrants, as well as the equity interests, the carrying amounts of the Company's financial instruments are equal to fair value at June 30,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12—Debt for additional information on the convertible notes and warrants.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15—SEGMENT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and home equity loans and lines of credit. The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The Insurance segment consists of insurance quote products and sales of insurance policies in the agency businesses.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122,071</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210,140</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22,877</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28,989</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85,706</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137,652</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9,289</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26,912</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36,365</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72,488</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9,587</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58,398</w:t>
            </w:r>
          </w:p>
        </w:tc>
        <w:tc>
          <w:tcPr>
            <w:tcW w:w="82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182,453</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41,807</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33,647</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103,944</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13,347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40,670</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24,751</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78,509</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6,613</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r>
      <w:tr>
        <w:trPr>
          <w:trHeight w:val="693"/>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4"/>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207,943</w:t>
            </w:r>
          </w:p>
        </w:tc>
        <w:tc>
          <w:tcPr>
            <w:tcW w:w="82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377,908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43,710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138,129</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234,898</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18,899</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54,352</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69,814</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143,010</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16,956</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52,914</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16,766</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11,013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135,480</w:t>
            </w:r>
          </w:p>
        </w:tc>
        <w:tc>
          <w:tcPr>
            <w:tcW w:w="82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382,961</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56,783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86,640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224,495</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28,455</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75,546</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54,903</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158,466</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23,062</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25,256</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8,012</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(6,398)</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13,964</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16—RESTRUCTURING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September 2023, the Company completed workforce reductions of 14 employees. The Company incurred approximately $0.9 million in severance charges in connection with the workforce reductions, consisting of cash expenditures for employee separation costs of approximately $0.7 million in the third quarter of 2023 and non-cash charges for the accelerated vesting of certain equity awards of approximately $0.2 million through the fourth quarter of 2023. The cash payments are expected to be substantially completed by the third quarter of 2024.</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6, 2023, the Company made the decision to close the Ovation credit services business ( the "Ovation Closure".) The Ovation Closure included the elimination of approximately 197 employees, or 18% of the Company's workforce. As a result of the Ovation Closure, the Company incurred $2.1 million in restructuring expense in connection with cash expenditures for employee separation costs. In connection with the Ovation Closure, in the first quarter of 2023, the Company recorded asset impairment charges of $4.2 million, of which $2.1 million related to intangible assets, $1.7 million related to property and equipment, and $0.4 million related to an operating lease right-of-use asset. The cash payments for the Ovation Closure were completed in the first quarter of 2024.</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24, 2023, the Company committed to a workforce reduction plan (the “Reduction Plan”), to reduce operating costs. The Reduction Plan included the elimination of approximately 162 employees, or 13% of the Company’s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restructuring expense of $4.3 million in the first quarter of 2023 and an additional $1.0 million of restructuring expense in the second quarter of 2023 related to the Reduction Plan. The Reduction Plan, including cash payments, is expected to be substantially completed by the end of the third quarter of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Accrued Balance at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3"/>
                <w:szCs w:val="13"/>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Accrued Balance at</w:t>
            </w:r>
          </w:p>
        </w:tc>
        <w:tc>
          <w:tcPr>
            <w:tcW w:w="0" w:type="dxa"/>
            <w:vAlign w:val="bottom"/>
          </w:tcPr>
          <w:p>
            <w:pPr>
              <w:spacing w:after="0"/>
              <w:rPr>
                <w:sz w:val="1"/>
                <w:szCs w:val="1"/>
                <w:color w:val="auto"/>
              </w:rPr>
            </w:pPr>
          </w:p>
        </w:tc>
      </w:tr>
      <w:tr>
        <w:trPr>
          <w:trHeight w:val="198"/>
        </w:trPr>
        <w:tc>
          <w:tcPr>
            <w:tcW w:w="2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    Income Statement Impact</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Q3 2023 action</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Q2 2023 action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Q1 2023 action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7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17—SUBSEQUENT EVENTS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July 2024, the Company repurchased approximately $7.6 million in principal amount of its 2025 Notes, through individual privately-negotiated transactions with certain holders of the 2025 Notes, for $7.2 million in cash.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on Form 10-Q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Annual Report on Form 10-K for the year ended December 31, 2023 (the "2023 Annual Report").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We offer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We primarily seek to match in-market consumers with multiple providers on our marketplace who can provide them competing quotes for loans, deposit products, insurance or other related offerings they are seeking. We also serve as a valued partner to lenders and other providers seeking an efficient, scalable and flexible source of customer acquisition with directly measurable benefits, by matching the consumer inquiries we generate with these providers.</w:t>
      </w:r>
    </w:p>
    <w:p>
      <w:pPr>
        <w:spacing w:after="0" w:line="7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Our Spring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and see recommended credit score improvement actions, and loans or other products offered by LendingTree.</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consumer and small business financial services industry is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including inflationary pressures and interest rates, and any resulting impacts on our financial position and results of operations. Refer to Part I, Item 1A. “Risk Factors” of our 2023 Annual Report for additional information.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2024, the challenging interest rate environment and inflationary pressures have continued to present challenges for many of our mortgage lending partners. In our Home segment, mortgage rates have remained relatively consistent in the first and second quarters of 2024 compared to the fourth quarter of 2023, but nearly doubled compared to the first quarter of 2022. The increased mortgage rates continue to cause reduced refinance volumes and continue to put pressure on purchase activity. In our Insurance segment, demand from our carrier partners has increased significantly and we continue to be optimistic about the second half of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may be adversely affected by the overall reduced demand for refinancing in a rising rate environment.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According to Freddie Mac, the monthly average 30-year mortgage interest rates increased slightly from a monthly average of 6.82% in December 2023 to a monthly average of 6.92% in June 2024. On a quarterly basis, 30-year mortgage interest rates in the second quarter of 2024 averaged 6.99%, compared to 6.49% in the second quarter of 2023 and 7.29% in the fourth quarter of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900430</wp:posOffset>
            </wp:positionV>
            <wp:extent cx="5554980" cy="435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498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increased to 22% of total mortgage origination dollars in the second quarter of 2024 compared to 19% in the fourth quarter of 2023 and 20% in the second quarter of 2023. In the second quarter of 2024, total refinance origination dollars increased 24% from the fourth quarter of 2023 and increased 1% from the second quarter of 2023. Industry-wide mortgage origination dollars in the second quarter of 2024 increased 8% from the fourth quarter of 2023 and decreased 7% from second quarter of 2023.</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According to MBA projections, the mix of mortgage origination dollars is expected to continue to be weighted towards purchase mortgages with the refinance share representing approximately 24% for 2024 compared to 19% in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Fannie Mae data, existing home sales increased approximately 5% in the second quarter of 2024 compared to the fourth quarter of 2023, and decreased approximately 3% compared to the second quarter of 2023. Fannie Mae predicts an overall increase in existing-home sales of approximately 2% in 2024 compared to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w:t>
      </w:r>
      <w:r>
        <w:rPr>
          <w:rFonts w:ascii="Times New Roman" w:cs="Times New Roman" w:eastAsia="Times New Roman" w:hAnsi="Times New Roman"/>
          <w:sz w:val="23"/>
          <w:szCs w:val="23"/>
          <w:b w:val="1"/>
          <w:bCs w:val="1"/>
          <w:color w:val="auto"/>
          <w:vertAlign w:val="superscript"/>
        </w:rPr>
        <w:t>TM</w:t>
      </w:r>
    </w:p>
    <w:p>
      <w:pPr>
        <w:spacing w:after="0" w:line="11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consider certain metrics related to LendingTree Spring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("Spring") set forth below to help us evaluate our business and growth trends and assess operational efficiencies. We believe our Spring platform drives repeat user engagement resulting in lower acquisition costs and increases consumer lifetime value. The calculation of the metrics discussed below may differ from other similarly titled metrics used by other companies, securities analysts or investors.</w:t>
      </w:r>
    </w:p>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added 0.7 million net new users in the second quarter of 2024, bringing cumulative active users to 29.5 million as of June 30, 2024. We calculate the number of Spring users at a period end as the number of users that had an active account at any point during the quarter that includes the period end date. Users that deactivated their accounts prior to the most recent quarter are no longer considered in the user base at the end of the most recent quarter. We attribute approximately $6.5 million of revenue, or 3% of total revenue, in the second quarter of 2024 to registered Spring users who initiated their transaction from the Spring platform. During the second quarter of 2024, approximately 0.3 million Spring users initiated a transaction from the Spring platform that contributed to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Reductions and Simplification of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24, 2023, we committed to a workforce reduction plan (the “Reduction Plan”), to reduce operating costs, which included the elimination of approximately 13% of the Company’s workforce. As a result of the Reduction Plan, we incurred approximately $5.3 million in severance charges in connection with the workforce reduction, $4.3 million of which was incurred in the first quarter of 2023 and $1.0 million was incurred in the second quarter of 2023. Part of this Reduction Plan included the shut down of our LendingTree customer call center as well as our Medicare insurance agency operations within QuoteWizard. We estimate the Reduction Plan reduced annual compensation expense by approximately $14 million, comprised of $2 million in cost of revenue, $4 million in selling and marketing expense, $3 million in general and administrative expense, and $5 million in product development.</w:t>
      </w: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Separately, in 2023, we made the decision to close our Ovation credit services business, an asset group within our Consumer segment, by mid- 2023. As a result, the Company recorded an asset impairment charge of $4.2 million in the first quarter of 2023 related to the write-off of certain long-term assets. Additionally, we incurred $2.1 million in severance charges in the second quarter of 2023 in connection with cash expenditures for employee separation costs.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is capital-intensive, requires elevated overhead, and future prospects were becoming uncertain.</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Ovation business accounted for approximately 3% of total revenue and 3% of total costs and expenses, with an immaterial impact to net income on the consolidated statement of operations and comprehensive income (loss) for the year ended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we repurchased approximately $7.6 million in principal amount of our 0.50% Convertible Senior Notes due July 15, 2025 (the "2025 Notes"), through individual privately-negotiated transactions with certain holders of such notes, for approximately $7.2 million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2024 and 2023</w:t>
      </w:r>
    </w:p>
    <w:p>
      <w:pPr>
        <w:spacing w:after="0" w:line="2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20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1"/>
                <w:szCs w:val="11"/>
                <w:color w:val="auto"/>
              </w:rPr>
            </w:pPr>
          </w:p>
        </w:tc>
        <w:tc>
          <w:tcPr>
            <w:tcW w:w="980" w:type="dxa"/>
            <w:vAlign w:val="bottom"/>
          </w:tcPr>
          <w:p>
            <w:pPr>
              <w:jc w:val="right"/>
              <w:ind w:right="560"/>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81"/>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1"/>
                <w:szCs w:val="11"/>
                <w:color w:val="auto"/>
              </w:rPr>
            </w:pPr>
          </w:p>
        </w:tc>
        <w:tc>
          <w:tcPr>
            <w:tcW w:w="960" w:type="dxa"/>
            <w:vAlign w:val="bottom"/>
          </w:tcPr>
          <w:p>
            <w:pPr>
              <w:jc w:val="right"/>
              <w:ind w:right="540"/>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400"/>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4"/>
          </w:tcPr>
          <w:p>
            <w:pPr>
              <w:jc w:val="right"/>
              <w:ind w:right="399"/>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(9,397)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62,609</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85,238</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82,477</w:t>
            </w:r>
          </w:p>
        </w:tc>
        <w:tc>
          <w:tcPr>
            <w:tcW w:w="16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(26,576)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107,352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162,186</w:t>
            </w:r>
          </w:p>
        </w:tc>
        <w:tc>
          <w:tcPr>
            <w:tcW w:w="1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(54,834)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58,398</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63,673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207,943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135,480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72,463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210,140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182,453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27,687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377,908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382,961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(5,053)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16,956</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(6,106)</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and amortization shown separately below)</w:t>
            </w: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148,387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116,065</w:t>
            </w:r>
          </w:p>
        </w:tc>
        <w:tc>
          <w:tcPr>
            <w:tcW w:w="160" w:type="dxa"/>
            <w:vAlign w:val="bottom"/>
          </w:tcPr>
          <w:p>
            <w:pPr>
              <w:spacing w:after="0"/>
              <w:rPr>
                <w:sz w:val="18"/>
                <w:szCs w:val="18"/>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32,322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256,563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253,176</w:t>
            </w:r>
          </w:p>
        </w:tc>
        <w:tc>
          <w:tcPr>
            <w:tcW w:w="16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3,387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27,118</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(2,042)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16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(227)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1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6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(515)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(3,356)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(7,787)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(495)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(471)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200,553</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175,840</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24,713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14 %</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361,142</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389,359</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(28,217)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9,587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6,613</w:t>
            </w:r>
          </w:p>
        </w:tc>
        <w:tc>
          <w:tcPr>
            <w:tcW w:w="160" w:type="dxa"/>
            <w:vAlign w:val="bottom"/>
          </w:tcPr>
          <w:p>
            <w:pPr>
              <w:spacing w:after="0"/>
              <w:rPr>
                <w:sz w:val="18"/>
                <w:szCs w:val="18"/>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2,974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16,766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(6,398)</w:t>
            </w:r>
          </w:p>
        </w:tc>
        <w:tc>
          <w:tcPr>
            <w:tcW w:w="16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23,164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362 %</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60" w:type="dxa"/>
            <w:vAlign w:val="bottom"/>
          </w:tcPr>
          <w:p>
            <w:pPr>
              <w:spacing w:after="0"/>
              <w:rPr>
                <w:sz w:val="18"/>
                <w:szCs w:val="18"/>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5,739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1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(25,928)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160" w:type="dxa"/>
            <w:vAlign w:val="bottom"/>
          </w:tcPr>
          <w:p>
            <w:pPr>
              <w:spacing w:after="0"/>
              <w:rPr>
                <w:sz w:val="18"/>
                <w:szCs w:val="18"/>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9,326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8,327 %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11,013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13,964</w:t>
            </w:r>
          </w:p>
        </w:tc>
        <w:tc>
          <w:tcPr>
            <w:tcW w:w="1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(2,951)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215"/>
        </w:trPr>
        <w:tc>
          <w:tcPr>
            <w:tcW w:w="3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1,459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643 %</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0" w:type="dxa"/>
            <w:vAlign w:val="bottom"/>
          </w:tcPr>
          <w:p>
            <w:pPr>
              <w:spacing w:after="0"/>
              <w:rPr>
                <w:sz w:val="1"/>
                <w:szCs w:val="1"/>
                <w:color w:val="auto"/>
              </w:rPr>
            </w:pPr>
          </w:p>
        </w:tc>
      </w:tr>
      <w:tr>
        <w:trPr>
          <w:trHeight w:val="158"/>
        </w:trPr>
        <w:tc>
          <w:tcPr>
            <w:tcW w:w="30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(loss) and comprehensive</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7,752</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7,867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6,841 %</w:t>
            </w:r>
          </w:p>
        </w:tc>
        <w:tc>
          <w:tcPr>
            <w:tcW w:w="120" w:type="dxa"/>
            <w:vAlign w:val="bottom"/>
          </w:tcPr>
          <w:p>
            <w:pPr>
              <w:spacing w:after="0"/>
              <w:rPr>
                <w:sz w:val="13"/>
                <w:szCs w:val="13"/>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8,768</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13,342</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(4,574)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Revenue increased in the second quarter of 2024 compared to the second quarter of 2023 due to increases in our Insurance segment partially offset by decreases in our Home and Consumer segments. Revenue decreased in the first six months of 2024 compared to the first six months of 2023 due to decreases in our Home and Consumer segments, partially offset by increases in our Insurance segment.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Many of our Consumer segment products are not individually significant to revenue. Revenue from our Consumer segment decreased $26.6 million, or 32%, in the second quarter of 2024 from the second quarter of 2023 and decreased $54.8 million, or 34%, in the first six months of 2024 from the first six months of 2023 primarily due to decreases in our credit cards and other credit products.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 from our personal loans product decreased $1.2 million, or 4%, to $26.9 million in the second quarter of 2024 from $28.1 million in the second quarter of 2023. The decrease in revenue was due to a 19% decrease in revenue earned per consumer, representing $5.4 million of the decrease, partially offset by an 18% increase in volume, representing $4.2 million of an increase. Revenue from our personal loans product decreased $4.7 million, or 9%, to $47.1 million in the first six months of 2024 from $51.7 million in the first six months of 2023. The decrease in revenue was due to a 16% decrease in revenue earned per consumer, representing $8.2 million of the decrease, partially offset by an 8% increase in volume, representing $3.5 million of an increase. We measure volume for our personal loans product as the number of unique consumers completing request forms.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current periods, no other products in our Consumer segment represented more than 10% of revenue; however, certain other Consumer products experienced notable changes. Revenue from our credit cards product decreased $15.6 million, or 74%, in the second quarter of 2024 compared to the second quarter of 2023 and decreased $26.1 million, or 66%, in the first six months of 2024 compared to the first six months of 2023 primarily due to a decrease in volume. We measure volume for our credit cards product as the number of consumers clicking through to a card issuer. Revenue from our other credit products decreased $4.6 million, or 44%, in the second quarter of 2024 compared to the second quarter of 2023 and decreased $12.0 million, 55%, in the first six months of 2024 compared to the first six months of 2023 due to the closure of our Ovation credit services business at the end of the second quarter of 2023.</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Revenue from our Home segment decreased $9.4 million, or 23%, in the second quarter of 2024 from the second quarter of 2023, and decreased $22.6 million, or 27%, in the first six months of 2024 from the first six months of 2023 due to decreases in revenue from each of our Home products.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our mortgage products decreased $6.1 million, or 37%, to $10.2 million in the second quarter of 2024 from $16.2 million in the second quarter of 2023. The decrease in revenue was due to a 31% decrease in volume, representing $4.6 million of the decrease, and a 9% decrease in revenue earned per consumer, representing $1.5 million of the decrease.</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Revenue from our mortgage products decreased $16.4 million, or 45%, to $19.8 million in the first six months of 2024 from $36.2 million in the first six months of 2023. The decrease in revenue was due to a 37% decrease in volume, representing $11.8 million of the decrease, and a 13% decrease in revenue earned per consumer, representing $4.6 million of the decrease. We measure volume for our mortgage products as the number of consumers completing request forms.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our purchase mortgage product decreased $3.6 million in the second quarter of 2024 compared to the second quarter of 2023, and decreased $9.4 million in the first six months of 2024 compared to the first six months of 2023 primarily due to a decrease in the number of consumers completing request forms and a decrease in revenue earned per consumer. Revenue from our refinance mortgage product decreased $2.5 million in the second quarter of 2024 compared to the second quarter of 2023 and decreased $6.9 million in the first six months of 2024 compared to the first six months of 2023 due to a decrease in the number of consumers completing request forms and a decrease in revenue earned per consumer, as interest rates have risen.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 from our home equity loans product decreased $3.3 million, or 13%, to $22.0 million in the second quarter of 2024 from $25.3 million in the second quarter of 2023. The decrease in revenue was due to a 17% decrease in revenue earned per consumer, representing $4.3 million of the decrease, partially offset by a 5% increase in volume, representing a $1.0 million increase. Revenue from our home equity loans product decreased $6.2 million, or 13%, to $42.8 million in the first six months of 2024 from $49.0 million in the first six months of 2023. The decrease in revenue was due to a 20% decrease in revenue earned per consumer, representing $9.6 million of the decrease, partially offset by a 9% increase in volume, representing a $3.4 million increase. We measure volume for our home equity loans and lines of credit products as the number of consumers completing request forms.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 from our Insurance segment increased $63.7 million, or 109%, to $122.1 million in the second quarter of 2024 from $58.4 million in the second quarter of 2023. The increase in revenue was due to a 69% increase in revenue earned per consumer, representing $40.5 million of the increase, and a 23% increase in volume, representing $23.2 million of the increase. Revenue from our Insurance segment increased $72.5 million, or 53%, to $207.9 million in the first six months of 2024 from $135.5 million in the first six months of 2023. The increase in revenue was due to a 29% increase in revenue earned per consumer, representing $39.8 million of the increase, and a 19% increase in volume, representing $32.7 million of the increase. We measure volume for our insurance product as the number of consumer request forms and in certain cases re-engagement with a consumer, the number of such subsequent consumer engagements through our platform.</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remained relatively consistent in the second quarter of 2024 from the second quarter of 2023. Cost of revenue decreased $6.1 million in the first six months of 2024 from the first six months of 2023 primarily due to a decrease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and benefits of $4.8 million and a decrease in customer service fees of $0.5 million. The decreases in the first six months are primarily due to the Reduction Plan at the end of the first quarter of 2023, including shutting down the LendingTree customer call center, and the closure of the credit repair business at the end of the second quarter of 2023.</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as a percentage of revenue decreased to 4% in the second quarter of 2024 compared to 5% in the second quarter of 2023, and decreased to 4% in the first six months of 2024 compared to 6% in the first six months of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in the second quarter of 2024 compared to the second quarter 2023 by $32.3 million, and increased $3.4 million in the first six months of 2024 compared to the first six months of 2023 primarily due to the changes in advertising and promotional expense discussed below. Additionally, compensation and benefits decreased $1.0 million in the second quarter of 2024 compared to the second quarter of 2023 and decreased $3.8 million in the first six months of 2024 compared to the first six months of 2023.</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9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980" w:type="dxa"/>
            <w:vAlign w:val="bottom"/>
          </w:tcPr>
          <w:p>
            <w:pPr>
              <w:jc w:val="right"/>
              <w:ind w:right="55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4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8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1000" w:type="dxa"/>
            <w:vAlign w:val="bottom"/>
          </w:tcPr>
          <w:p>
            <w:pPr>
              <w:jc w:val="right"/>
              <w:ind w:right="55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104,354</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33,703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10,498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9"/>
                <w:szCs w:val="19"/>
                <w:color w:val="auto"/>
              </w:rPr>
            </w:pP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(3,087)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139,247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105,958</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33,289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31 %</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237,568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230,357</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7,211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Expense and Variable Marketing Margin below for additional information.</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adjusted our advertising expenditures in the second quarter and first six months of 2024 compared to the second quarter and first six months of 2023 in response to changes in Network Partner demand on our marketplace. We will continue to adjust selling and marketing expenditures dynamically in response to anticipated revenue opportunities.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decreased in the second quarter of 2024 from the second quarter of 2023 primarily due to a decrease in compensation and benefits of $1.7 million and decreases in facilities and fees and other charges of $0.5 million, and $0.9 million, respectively. General and administrative expense decreased in the first six months of 2024 from the first six months of 2023 primarily due to a decrease in compensation and benefits of $5.4 million, a decrease in fees and other charges of $2.0 million and a decrease in facilities expenses of $1.2 million. Additionally, we incurred a $4.2 million loss on the impairment of assets for our Ovation business in the first six months of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as a percentage of revenue decreased to 13% in the second quarter of 2024 compared to 16% in the second quarter of 2023, and decreased to 14% in the first six months of 2024 compared to 17% in the first six months of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expense remained consistent in the second quarter of 2024 compared to the second quarter of 2023. Product development expense decreased in the first six months of 2024 compared to the first six months of 2023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amortization of intangibles in the second quarter and first six months of 2024 compared to the second quarter and first six months of 2023 was primarily due to certain intangible assets associated with our recent business acquisitions becoming fully amortized.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and severance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24, 2023, we committed to the Reduction Plan to reduce operating costs, which included the elimination of approximately 13% of the Company’s workforce. As a result of the Reduction Plan, we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We incurred restructuring expense of $4.3 million in the first quarter of 2023 and an additional $1.0 million of restructuring expense in the second quarter of 2023 related to the Reduction Plan.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made the decision to close the Ovation credit services business by mid-2023 and all operations ceased in August 2023. We incurred $2.1 million of restructuring expense related to the Ovation closure in the second quarter of 2023 in connection with cash expenditures for employee separation costs.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 income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2024, we drew $125.0 million on a first lien term loan facility and incurred $4.0 million and $4.2 million of interest expense in the second quarter and first six months of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2024, we repurchased approximately $161.3 million in principal amount of our 2025 Notes for $151.7 million plus accrued and unpaid interest of approximately $0.3 million. As a result of the repurchase, we recognized a gain on the extinguishment of $9.6 million and a loss on the write-off of unamortized debt issuance costs of $1.0 million, both of which are included in interest (expense) income, net in the consolidated statements of operations and comprehensive income.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2023, we repurchased approximately $190.6 million in principal amount of our 2025 Notes for $156.3 million plus accrued and unpaid interest of approximately $0.1 million. As a result of the repurchase, we recognized a gain on the extinguishment of $34.3 million, a loss on the write-off of unamortized debt issuance costs of $2.4 million, and incurred debt repayment costs of $1.0 million, all of which are included in interest (expense) income, net in the consolidated statements of operations and comprehensive income.</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12—Debt for additional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primarily consists of dividend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second quarter and first six months of 2024 and 2023, the effective tax rate varied from the federal statutory rate of 21% primarily due to the change in the valuation allowance, net of the current period change in tax effected net indefinite-lived intangibles.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1"/>
                <w:szCs w:val="11"/>
                <w:color w:val="auto"/>
              </w:rPr>
            </w:pPr>
          </w:p>
        </w:tc>
        <w:tc>
          <w:tcPr>
            <w:tcW w:w="9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1040" w:type="dxa"/>
            <w:vAlign w:val="bottom"/>
          </w:tcPr>
          <w:p>
            <w:pPr>
              <w:jc w:val="right"/>
              <w:ind w:right="59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5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1"/>
                <w:szCs w:val="11"/>
                <w:color w:val="auto"/>
              </w:rPr>
            </w:pPr>
          </w:p>
        </w:tc>
        <w:tc>
          <w:tcPr>
            <w:tcW w:w="9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1"/>
                <w:szCs w:val="11"/>
                <w:color w:val="auto"/>
              </w:rPr>
            </w:pPr>
          </w:p>
        </w:tc>
        <w:tc>
          <w:tcPr>
            <w:tcW w:w="1040" w:type="dxa"/>
            <w:vAlign w:val="bottom"/>
          </w:tcPr>
          <w:p>
            <w:pPr>
              <w:jc w:val="right"/>
              <w:ind w:right="59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gridSpan w:val="4"/>
          </w:tcPr>
          <w:p>
            <w:pPr>
              <w:jc w:val="center"/>
              <w:ind w:left="14"/>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41,563</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(9,397)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(22,629)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cost of revenue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 xml:space="preserve">and marketing expense </w:t>
            </w:r>
            <w:r>
              <w:rPr>
                <w:rFonts w:ascii="Times New Roman" w:cs="Times New Roman" w:eastAsia="Times New Roman" w:hAnsi="Times New Roman"/>
                <w:sz w:val="23"/>
                <w:szCs w:val="23"/>
                <w:color w:val="auto"/>
                <w:w w:val="99"/>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(5,339)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(13,073)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(4,058)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(9,556)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i w:val="1"/>
                <w:iCs w:val="1"/>
                <w:color w:val="auto"/>
                <w:w w:val="96"/>
              </w:rPr>
              <w:t>29%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rPr>
              <w:t>32%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30%</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i w:val="1"/>
                <w:iCs w:val="1"/>
                <w:color w:val="auto"/>
                <w:w w:val="96"/>
              </w:rPr>
              <w:t>33%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(26,576)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(54,834)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cost of revenue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 xml:space="preserve">and marketing expense </w:t>
            </w:r>
            <w:r>
              <w:rPr>
                <w:rFonts w:ascii="Times New Roman" w:cs="Times New Roman" w:eastAsia="Times New Roman" w:hAnsi="Times New Roman"/>
                <w:sz w:val="23"/>
                <w:szCs w:val="23"/>
                <w:color w:val="auto"/>
                <w:w w:val="99"/>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(12,818)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86,640</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(33,640)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(13,758)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(21,194)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tcPr>
          <w:p>
            <w:pPr>
              <w:spacing w:after="0"/>
              <w:rPr>
                <w:sz w:val="19"/>
                <w:szCs w:val="19"/>
                <w:color w:val="auto"/>
              </w:rPr>
            </w:pPr>
          </w:p>
        </w:tc>
        <w:tc>
          <w:tcPr>
            <w:tcW w:w="820" w:type="dxa"/>
            <w:vAlign w:val="bottom"/>
          </w:tcPr>
          <w:p>
            <w:pPr>
              <w:jc w:val="center"/>
              <w:ind w:right="131"/>
              <w:spacing w:after="0"/>
              <w:rPr>
                <w:sz w:val="20"/>
                <w:szCs w:val="20"/>
                <w:color w:val="auto"/>
              </w:rPr>
            </w:pPr>
            <w:r>
              <w:rPr>
                <w:rFonts w:ascii="Times New Roman" w:cs="Times New Roman" w:eastAsia="Times New Roman" w:hAnsi="Times New Roman"/>
                <w:sz w:val="18"/>
                <w:szCs w:val="18"/>
                <w:i w:val="1"/>
                <w:iCs w:val="1"/>
                <w:color w:val="auto"/>
                <w:w w:val="96"/>
              </w:rPr>
              <w:t>48%</w:t>
            </w:r>
          </w:p>
        </w:tc>
        <w:tc>
          <w:tcPr>
            <w:tcW w:w="180" w:type="dxa"/>
            <w:vAlign w:val="bottom"/>
          </w:tcPr>
          <w:p>
            <w:pPr>
              <w:spacing w:after="0"/>
              <w:rPr>
                <w:sz w:val="19"/>
                <w:szCs w:val="19"/>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rPr>
              <w:t>49%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51%</w:t>
            </w:r>
          </w:p>
        </w:tc>
        <w:tc>
          <w:tcPr>
            <w:tcW w:w="200" w:type="dxa"/>
            <w:vAlign w:val="bottom"/>
          </w:tcPr>
          <w:p>
            <w:pPr>
              <w:spacing w:after="0"/>
              <w:rPr>
                <w:sz w:val="19"/>
                <w:szCs w:val="19"/>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i w:val="1"/>
                <w:iCs w:val="1"/>
                <w:color w:val="auto"/>
                <w:w w:val="96"/>
              </w:rPr>
              <w:t>47%</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58,398</w:t>
            </w:r>
          </w:p>
        </w:tc>
        <w:tc>
          <w:tcPr>
            <w:tcW w:w="2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63,673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135,480</w:t>
            </w:r>
          </w:p>
        </w:tc>
        <w:tc>
          <w:tcPr>
            <w:tcW w:w="22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72,463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cost of revenue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 xml:space="preserve">and marketing expense </w:t>
            </w:r>
            <w:r>
              <w:rPr>
                <w:rFonts w:ascii="Times New Roman" w:cs="Times New Roman" w:eastAsia="Times New Roman" w:hAnsi="Times New Roman"/>
                <w:sz w:val="23"/>
                <w:szCs w:val="23"/>
                <w:color w:val="auto"/>
                <w:w w:val="99"/>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85,706</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52,059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138,129</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80,577</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57,552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2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11,614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54,903</w:t>
            </w:r>
          </w:p>
        </w:tc>
        <w:tc>
          <w:tcPr>
            <w:tcW w:w="22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14,911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i w:val="1"/>
                <w:iCs w:val="1"/>
                <w:color w:val="auto"/>
                <w:w w:val="96"/>
              </w:rPr>
              <w:t>30%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rPr>
              <w:t>42%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34%</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i w:val="1"/>
                <w:iCs w:val="1"/>
                <w:color w:val="auto"/>
                <w:w w:val="96"/>
              </w:rPr>
              <w:t>41%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cost of revenue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 xml:space="preserve">and marketing expense </w:t>
            </w:r>
            <w:r>
              <w:rPr>
                <w:rFonts w:ascii="Times New Roman" w:cs="Times New Roman" w:eastAsia="Times New Roman" w:hAnsi="Times New Roman"/>
                <w:sz w:val="23"/>
                <w:szCs w:val="23"/>
                <w:color w:val="auto"/>
                <w:w w:val="99"/>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(436)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27,687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377,908</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cost of revenue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 xml:space="preserve">and marketing expense </w:t>
            </w:r>
            <w:r>
              <w:rPr>
                <w:rFonts w:ascii="Times New Roman" w:cs="Times New Roman" w:eastAsia="Times New Roman" w:hAnsi="Times New Roman"/>
                <w:sz w:val="23"/>
                <w:szCs w:val="23"/>
                <w:color w:val="auto"/>
                <w:w w:val="99"/>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137,652</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103,944</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33,708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234,898</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224,495</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10,403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78,509</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143,010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(15,456)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7"/>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tcPr>
          <w:p>
            <w:pPr>
              <w:spacing w:after="0"/>
              <w:rPr>
                <w:sz w:val="19"/>
                <w:szCs w:val="19"/>
                <w:color w:val="auto"/>
              </w:rPr>
            </w:pPr>
          </w:p>
        </w:tc>
        <w:tc>
          <w:tcPr>
            <w:tcW w:w="820" w:type="dxa"/>
            <w:vAlign w:val="bottom"/>
          </w:tcPr>
          <w:p>
            <w:pPr>
              <w:jc w:val="center"/>
              <w:ind w:right="131"/>
              <w:spacing w:after="0"/>
              <w:rPr>
                <w:sz w:val="20"/>
                <w:szCs w:val="20"/>
                <w:color w:val="auto"/>
              </w:rPr>
            </w:pPr>
            <w:r>
              <w:rPr>
                <w:rFonts w:ascii="Times New Roman" w:cs="Times New Roman" w:eastAsia="Times New Roman" w:hAnsi="Times New Roman"/>
                <w:sz w:val="18"/>
                <w:szCs w:val="18"/>
                <w:i w:val="1"/>
                <w:iCs w:val="1"/>
                <w:color w:val="auto"/>
                <w:w w:val="96"/>
              </w:rPr>
              <w:t>34%</w:t>
            </w:r>
          </w:p>
        </w:tc>
        <w:tc>
          <w:tcPr>
            <w:tcW w:w="180" w:type="dxa"/>
            <w:vAlign w:val="bottom"/>
          </w:tcPr>
          <w:p>
            <w:pPr>
              <w:spacing w:after="0"/>
              <w:rPr>
                <w:sz w:val="19"/>
                <w:szCs w:val="19"/>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rPr>
              <w:t>43%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38%</w:t>
            </w:r>
          </w:p>
        </w:tc>
        <w:tc>
          <w:tcPr>
            <w:tcW w:w="200" w:type="dxa"/>
            <w:vAlign w:val="bottom"/>
          </w:tcPr>
          <w:p>
            <w:pPr>
              <w:spacing w:after="0"/>
              <w:rPr>
                <w:sz w:val="19"/>
                <w:szCs w:val="19"/>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i w:val="1"/>
                <w:iCs w:val="1"/>
                <w:color w:val="auto"/>
                <w:w w:val="96"/>
              </w:rPr>
              <w:t>41%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both"/>
        <w:ind w:left="240" w:right="20"/>
        <w:spacing w:after="0" w:line="203"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Segment cost of revenue and marketing expense represents the potion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2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 Segment Information in the notes to the consolidated financial statements for additional information on segments and a reconciliation of segment profit to pre-tax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Home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Home segment revenue decreased 23% to $32.2 million in the second quarter of 2024 from the second quarter of 2023 and segment profit decreased 30% to $9.3 million in the second quarter of 2024 from the second quarter of 2023. Segment margin declined to 29% in the second quarter of 2024 compared to 32% in the second quarter of 2023, primarily due to a decline in revenue earned per consumer, due to a decline close rates at our lender partners.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Home equity revenue of $22.0 million in the second quarter of 2024 decreased $3.3 million from $25.3 million in the second quarter of 2023. Volume of home equity consumers completing request forms increased 5% in the second quarter of 2024 compared to the second quarter of 2023, however, the 17% decline in revenue earned per consumer outpaced this volume growth.</w:t>
      </w:r>
    </w:p>
    <w:p>
      <w:pPr>
        <w:spacing w:after="0" w:line="6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Within Home, our core mortgage business generated revenue of $10.2 million in the second quarter of 2024, down 37% from the second quarter of 2023. Our refinance product within our mortgage business matches consumers in the market looking to refinance their existing mortgages with our network</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lenders. Our purchase product within our mortgage business matches consumers in the market looking to buy a new home with our network lenders. Our mortgage business is directly impacted by the mortgage market in which we participate.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financial market expectations for decreases in interest rates later this year would likely benefit the mortgage and home equity lending environment and our Home segment.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Consumer segment revenue decreased 32% to $55.9 million in the second quarter of 2024 from the second quarter of 2023, and segment profit decreased 34% to $26.9 million in the second quarter of 2024 from the second quarter of 2023 due to the decline in revenue. Segment margin was consistent in the second quarter of 2024 compared to the second quarter of 2023.</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Personal loans revenue of $26.9 million in the second quarter of 2024 decreased 4% from the second quarter of 2023 as lending standards remain restrictive at our lender partners. However, personal loans revenue increased 34% in the second quarter of 2024 from the first quarter of 2024 as our targeted marketing investment in personal loans increased volume amid stable credit standards.</w:t>
      </w:r>
    </w:p>
    <w:p>
      <w:pPr>
        <w:spacing w:after="0" w:line="120" w:lineRule="exact"/>
        <w:rPr>
          <w:sz w:val="20"/>
          <w:szCs w:val="20"/>
          <w:color w:val="auto"/>
        </w:rPr>
      </w:pPr>
    </w:p>
    <w:p>
      <w:pPr>
        <w:ind w:left="340" w:right="1780"/>
        <w:spacing w:after="0" w:line="439"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section titled "Revenue" above for additional discussion of declines in product revenues within the Consumer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Insurance</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Insurance revenue increased 109% to $122.1 million in the second quarter of 2024 from the second quarter of 2023 and segment profit increased 47% to $36.4 million in the second quarter of 2024 from the second quarter of 2023. Carrier demand for new auto insurance customers has been strong, with volume increasing 23% in the second quarter of 2024 compared to the second quarter of 2023, as two years of compounded premium rate increases combined with declines in the price of used vehicles and replacement parts has created a favorable underwriting environment.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margin declined to 30% in the second quarter of 2024 from 42% in the second quarter of 2023. In 2023, we were able to exit from our highest cost marketing channels and continue to meet the decreased level of demand. In the second quarter of 2024, we re-entered those marketing channels to fill the increase in carrier demand, which has resulted in lower segment profit margin.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Insurance segment to have continued sequential revenue growth for the remainder of the year.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Variable Marketing Expense and Variable Marketing Margin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the calculation of variable marketing margin: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1"/>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5"/>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210,140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377,908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382,961</w:t>
            </w:r>
          </w:p>
        </w:tc>
      </w:tr>
      <w:tr>
        <w:trPr>
          <w:trHeight w:val="229"/>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139,247</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237,568</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230,357</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70,893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76,495</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140,340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152,604</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the most directly comparable GAAP measure, to variable marketing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2"/>
        </w:trPr>
        <w:tc>
          <w:tcPr>
            <w:tcW w:w="4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8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4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5"/>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148,387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116,065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256,563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253,176</w:t>
            </w:r>
          </w:p>
        </w:tc>
      </w:tr>
      <w:tr>
        <w:trPr>
          <w:trHeight w:val="230"/>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1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(18,995)</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(22,819)</w:t>
            </w: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1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139,247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105,958</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237,568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230,357</w:t>
            </w:r>
          </w:p>
        </w:tc>
      </w:tr>
      <w:tr>
        <w:trPr>
          <w:trHeight w:val="891"/>
        </w:trPr>
        <w:tc>
          <w:tcPr>
            <w:tcW w:w="4420" w:type="dxa"/>
            <w:vAlign w:val="bottom"/>
          </w:tcPr>
          <w:p>
            <w:pPr>
              <w:spacing w:after="0"/>
              <w:rPr>
                <w:sz w:val="24"/>
                <w:szCs w:val="24"/>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GAAP measure, to variable marketing margin: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1"/>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7,752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8,768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13,342</w:t>
            </w:r>
          </w:p>
        </w:tc>
      </w:tr>
      <w:tr>
        <w:trPr>
          <w:trHeight w:val="257"/>
        </w:trPr>
        <w:tc>
          <w:tcPr>
            <w:tcW w:w="6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8,411</w:t>
            </w:r>
          </w:p>
        </w:tc>
        <w:tc>
          <w:tcPr>
            <w:tcW w:w="4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16,956</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23,062</w:t>
            </w:r>
          </w:p>
        </w:tc>
      </w:tr>
      <w:tr>
        <w:trPr>
          <w:trHeight w:val="230"/>
        </w:trPr>
        <w:tc>
          <w:tcPr>
            <w:tcW w:w="6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9,140</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18,995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22,819</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27,118</w:t>
            </w:r>
          </w:p>
        </w:tc>
        <w:tc>
          <w:tcPr>
            <w:tcW w:w="4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52,914</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65,843</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10,374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22,231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25,256</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4,601</w:t>
            </w:r>
          </w:p>
        </w:tc>
        <w:tc>
          <w:tcPr>
            <w:tcW w:w="4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9,268</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9,479</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1,467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2,956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4,031</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8,012</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1,201</w:t>
            </w:r>
          </w:p>
        </w:tc>
        <w:tc>
          <w:tcPr>
            <w:tcW w:w="4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7,839</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(18,089)</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(1,052)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(2,086)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(2,273)</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1,686</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2,245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70,893</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76,495</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140,340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152,604</w:t>
            </w:r>
          </w:p>
        </w:tc>
      </w:tr>
    </w:tbl>
    <w:p>
      <w:pPr>
        <w:spacing w:after="0" w:line="265" w:lineRule="exact"/>
        <w:rPr>
          <w:sz w:val="20"/>
          <w:szCs w:val="20"/>
          <w:color w:val="auto"/>
        </w:rPr>
      </w:pPr>
    </w:p>
    <w:p>
      <w:pPr>
        <w:ind w:left="400" w:right="100" w:hanging="251"/>
        <w:spacing w:after="0" w:line="237"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reconciliation of net income (loss), the most directly comparable GAAP measure, to Adjusted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7,752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8,768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13,342</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1,467</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4,601</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9,268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413</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7,437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15,226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20,407</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7,839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30"/>
        </w:trPr>
        <w:tc>
          <w:tcPr>
            <w:tcW w:w="6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1,686</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2,245</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23,527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26,673</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45,078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41,193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we had $66.8 million of cash and cash equivalents, compared to $112.1 million of cash and cash equivalents as of December 31, 2023.</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2024, we repurchased approximately $161.3 million in principal amount of our 2025 Notes for $151.7 million plus accrued and unpaid interest of approximately $0.3 million. As a result of the repurchase, we recognized a gain on the extinguishment of $9.6 million and a loss on the write-off of unamortized debt issuance costs of $1.0 million, both of which are included in interest (expense) income, net in the consolidated statements of operations and comprehensive income.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cash and cash equivalents, cash flows from operations and available borrowings under our credit facilities to be sufficient to fund our operating needs for the next twelve months and beyond. We will continue to monitor the impact of the current economic conditions, including interest rates and inflation on our liquidity and capital resources.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we have $122.9 million outstanding on the 2025 Notes. We intend to use cash on hand, available borrowings from the 2024 Term Loan, and future cash flows from operations for the repayment of the 2025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15, 2021, we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our 0.625% Convertible Senior Notes due June 1, 2022 ("2022 Notes"), including interest. The remaining proceeds of $79.8 million may be used for general corporate purposes and any other purposes not prohibited by the Credit Agreement.</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26, 2024, we have outstanding $245.0 under the 2021 Term Loan, a $0.2 million letter of credit under the Revolving Facility and the remaining borrowing capacity under the Revolving Facility is $199.8 million. As of June 30, 2024, we have $20.0 million available for borrowing under the Revolving Facility.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27, 2024, we entered a first lien term loan facility (the “2024 Term Loan”), consisting of $175.0 million which matures on March 27, 2031. We drew $125.0 million of the 2024 Term Loan upon closing while the remaining $50.0 million will be available as a delayed draw term loan until March 27, 2025. The proceeds of the 2024 Term Loan will be used for working capital and general corporate purposes, which may include repayment of our 2025 Notes. The funding had a $3.1 million original issue discount and associated debt issuance costs of $4.2 million.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26, 2024, the Company had $121.9 million borrowings outstanding under the 2024 Term Loan.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12—Debt for additional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13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r>
      <w:tr>
        <w:trPr>
          <w:trHeight w:val="230"/>
        </w:trPr>
        <w:tc>
          <w:tcPr>
            <w:tcW w:w="8720" w:type="dxa"/>
            <w:vAlign w:val="bottom"/>
            <w:tcBorders>
              <w:bottom w:val="single" w:sz="8" w:color="999999"/>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(40,578)</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(159,665)</w:t>
            </w: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in the first six months of 2024 from the first six months of 2023 primarily due to unfavorable changes in accounts receivable, partially offset by favorable changes in accounts payable, accrued expenses and other current liabilities.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first six months of 2024 and 2023 consisted of capital expenditures primarily related to internally developed software.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the first six months of 2024 consisted primarily of the repurchase of the 2025 Notes for $151.7 million, term loan repayments of $4.4 million and $2.3 million in withholding taxes paid upon surrender of shares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satisfy obligations on equity awards, net of proceeds from the exercise of stock options offset by $117.8 million net proceeds from the 2024 Term Loan.</w:t>
      </w:r>
    </w:p>
    <w:p>
      <w:pPr>
        <w:spacing w:after="0" w:line="1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Net cash used in financing activities in the first six months of 2023 consisted primarily of the repurchase of the 2025 Notes for $156.3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Significant Accounting Policies,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Other than our Credit Facility and the 2024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and a $1.2 million annual effect on the interest paid on borrowings under the 2024 Term Loan. As of July 26, 2024, the Company had $245.0 million outstanding on its 2021 Term Loan, and there were no outstanding borrowings under its Revolving Facility. As of July 26, 2024, the Company had $121.9 million outstanding on its 2024 Term Loan.</w:t>
      </w:r>
    </w:p>
    <w:p>
      <w:pPr>
        <w:spacing w:after="0" w:line="2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June 30, 2024,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June 30, 2024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2023 Annual Report and updated that information in Note 13— Contingencies to the consolidated financial statements included elsewhere in this Quarterly Report on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2023 Annual Report. There have been no material changes to the risk factors included in our 2023 Annual Report.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in our 2023 Annual Report, which could materially affect our business, financial condition or future results. The risks described in our 2023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2024 Term Loan limits stock repurchases. During the quarter ended June 30, 2024, no shares of common stock were repurchased under the stock repurchase program. As of July 26, 2024, approximately $96.7 million remains authorized for share repurchase.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LendingTree 2023 Stock Plan and LendingTree 2023 Inducement Grant Plan allows employees to elect for us to withhold (or take back, with respect to restricted stock awards)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2024, 40,558 shares were withheld related to these obligations under the LendingTree 2023 Stock Plan. The withholding of those shares does not affect the dollar amount or number of shares that may be purchased under the stock repurchase program described above.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June 30,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6"/>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9"/>
                <w:szCs w:val="9"/>
                <w:b w:val="1"/>
                <w:bCs w:val="1"/>
                <w:color w:val="auto"/>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7"/>
        </w:trPr>
        <w:tc>
          <w:tcPr>
            <w:tcW w:w="3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4/1/2024 - 4/30/2024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5/1/2024 - 5/31/2024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6/1/2024 - 6/30/2024</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0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40,558</w:t>
            </w:r>
          </w:p>
        </w:tc>
        <w:tc>
          <w:tcPr>
            <w:tcW w:w="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96,655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6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2024, May 2024 and June 2024, 611 shares, 38,250 shares and 1,697 shares, respectively (totaling 40,558 shares), were purchased to satisfy federal and state withholding obligations of our employees upon the settlement of restricted stock units and the exercise of stock options, all in accordance with our 2023 Stock Plan, as described above.</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June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June 30, 2024 the Company did not adopt or terminate a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6"/>
                <w:szCs w:val="16"/>
                <w:color w:val="auto"/>
              </w:rPr>
            </w:pPr>
          </w:p>
        </w:tc>
        <w:tc>
          <w:tcPr>
            <w:tcW w:w="6540" w:type="dxa"/>
            <w:vAlign w:val="bottom"/>
            <w:gridSpan w:val="8"/>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4"/>
        </w:trPr>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14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7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Report on Form 8-K filed August 25,</w:t>
            </w:r>
          </w:p>
        </w:tc>
      </w:tr>
      <w:tr>
        <w:trPr>
          <w:trHeight w:val="243"/>
        </w:trPr>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140" w:type="dxa"/>
            <w:vAlign w:val="bottom"/>
            <w:gridSpan w:val="9"/>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Report on Form 8-K filed November</w:t>
            </w:r>
          </w:p>
        </w:tc>
      </w:tr>
      <w:tr>
        <w:trPr>
          <w:trHeight w:val="239"/>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15, 2017</w:t>
            </w:r>
          </w:p>
        </w:tc>
      </w:tr>
      <w:tr>
        <w:trPr>
          <w:trHeight w:val="193"/>
        </w:trPr>
        <w:tc>
          <w:tcPr>
            <w:tcW w:w="1160" w:type="dxa"/>
            <w:vAlign w:val="bottom"/>
            <w:shd w:val="clear" w:color="auto" w:fill="CCEEFF"/>
          </w:tcPr>
          <w:p>
            <w:pPr>
              <w:jc w:val="right"/>
              <w:ind w:right="111"/>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714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13a-14(a) or Rule 15d-14(a) of the</w:t>
            </w:r>
          </w:p>
        </w:tc>
        <w:tc>
          <w:tcPr>
            <w:tcW w:w="294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7100" w:type="dxa"/>
            <w:vAlign w:val="bottom"/>
            <w:tcBorders>
              <w:top w:val="single" w:sz="8" w:color="0000FF"/>
              <w:bottom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6"/>
              </w:rPr>
              <w:t>of 2002.</w:t>
            </w:r>
          </w:p>
        </w:tc>
        <w:tc>
          <w:tcPr>
            <w:tcW w:w="652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16"/>
                <w:szCs w:val="16"/>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140" w:type="dxa"/>
            <w:vAlign w:val="bottom"/>
            <w:tcBorders>
              <w:bottom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13a-14(a) or Rule 15d-14(a) of the</w:t>
            </w:r>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Pr>
          <w:p>
            <w:pPr>
              <w:spacing w:after="0"/>
              <w:rPr>
                <w:sz w:val="13"/>
                <w:szCs w:val="13"/>
                <w:color w:val="auto"/>
              </w:rPr>
            </w:pPr>
          </w:p>
        </w:tc>
        <w:tc>
          <w:tcPr>
            <w:tcW w:w="714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w:t>
            </w: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1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w:t>
            </w:r>
          </w:p>
        </w:tc>
        <w:tc>
          <w:tcPr>
            <w:tcW w:w="29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160" w:type="dxa"/>
            <w:vAlign w:val="bottom"/>
            <w:tcBorders>
              <w:top w:val="single" w:sz="8" w:color="CCEEFF"/>
            </w:tcBorders>
            <w:shd w:val="clear" w:color="auto" w:fill="CCEEFF"/>
          </w:tcPr>
          <w:p>
            <w:pPr>
              <w:spacing w:after="0"/>
              <w:rPr>
                <w:sz w:val="13"/>
                <w:szCs w:val="13"/>
                <w:color w:val="auto"/>
              </w:rPr>
            </w:pPr>
          </w:p>
        </w:tc>
        <w:tc>
          <w:tcPr>
            <w:tcW w:w="706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7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1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w:t>
            </w:r>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Pr>
          <w:p>
            <w:pPr>
              <w:spacing w:after="0"/>
              <w:rPr>
                <w:sz w:val="13"/>
                <w:szCs w:val="13"/>
                <w:color w:val="auto"/>
              </w:rPr>
            </w:pPr>
          </w:p>
        </w:tc>
        <w:tc>
          <w:tcPr>
            <w:tcW w:w="70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5"/>
        </w:trPr>
        <w:tc>
          <w:tcPr>
            <w:tcW w:w="1160" w:type="dxa"/>
            <w:vAlign w:val="bottom"/>
            <w:shd w:val="clear" w:color="auto" w:fill="CCEEFF"/>
          </w:tcPr>
          <w:p>
            <w:pPr>
              <w:jc w:val="right"/>
              <w:ind w:right="51"/>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71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XBRL Instance Document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instance document does not appear in the Interactive Data File</w:t>
            </w:r>
          </w:p>
        </w:tc>
        <w:tc>
          <w:tcPr>
            <w:tcW w:w="29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1160" w:type="dxa"/>
            <w:vAlign w:val="bottom"/>
            <w:shd w:val="clear" w:color="auto" w:fill="CCEEFF"/>
          </w:tcPr>
          <w:p>
            <w:pPr>
              <w:spacing w:after="0"/>
              <w:rPr>
                <w:sz w:val="21"/>
                <w:szCs w:val="21"/>
                <w:color w:val="auto"/>
              </w:rPr>
            </w:pP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2940" w:type="dxa"/>
            <w:vAlign w:val="bottom"/>
            <w:shd w:val="clear" w:color="auto" w:fill="CCEEFF"/>
          </w:tcPr>
          <w:p>
            <w:pPr>
              <w:spacing w:after="0"/>
              <w:rPr>
                <w:sz w:val="21"/>
                <w:szCs w:val="21"/>
                <w:color w:val="auto"/>
              </w:rPr>
            </w:pPr>
          </w:p>
        </w:tc>
      </w:tr>
      <w:tr>
        <w:trPr>
          <w:trHeight w:val="229"/>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101.SCH</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101.CAL</w:t>
            </w: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101.DEF</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101.LAB</w:t>
            </w: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101.PRE</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60" w:hanging="414"/>
        <w:spacing w:after="0" w:line="21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8" w:lineRule="exact"/>
        <w:rPr>
          <w:sz w:val="20"/>
          <w:szCs w:val="20"/>
          <w:color w:val="auto"/>
        </w:rPr>
      </w:pPr>
    </w:p>
    <w:p>
      <w:pPr>
        <w:jc w:val="both"/>
        <w:ind w:firstLine="8"/>
        <w:spacing w:after="0" w:line="266" w:lineRule="auto"/>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3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19685</wp:posOffset>
            </wp:positionV>
            <wp:extent cx="3763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Trent Ziegler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14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Trent Ziegler, certify that:</w:t>
      </w:r>
    </w:p>
    <w:p>
      <w:pPr>
        <w:spacing w:after="0" w:line="10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14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Trent Ziegler</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40" w:lineRule="exact"/>
        <w:rPr>
          <w:sz w:val="20"/>
          <w:szCs w:val="20"/>
          <w:color w:val="auto"/>
        </w:rPr>
      </w:pPr>
    </w:p>
    <w:p>
      <w:pPr>
        <w:ind w:left="340" w:right="220" w:hanging="332"/>
        <w:spacing w:after="0" w:line="282"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June 30, 2024 of LendingTree, Inc. (the “Report”) which this statement accompanies fully complies with the requirements of Section 13(a) or 15(d) of the Securities Exchange Act of 1934 (15 U.S.C. 78m or 78o(d)); and</w:t>
      </w:r>
    </w:p>
    <w:p>
      <w:pPr>
        <w:spacing w:after="0" w:line="40" w:lineRule="exact"/>
        <w:rPr>
          <w:rFonts w:ascii="Times New Roman" w:cs="Times New Roman" w:eastAsia="Times New Roman" w:hAnsi="Times New Roman"/>
          <w:sz w:val="18"/>
          <w:szCs w:val="18"/>
          <w:color w:val="auto"/>
        </w:rPr>
      </w:pPr>
    </w:p>
    <w:p>
      <w:pPr>
        <w:ind w:right="240" w:firstLine="8"/>
        <w:spacing w:after="0" w:line="375" w:lineRule="auto"/>
        <w:tabs>
          <w:tab w:leader="none" w:pos="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July 26, 2024</w:t>
      </w:r>
    </w:p>
    <w:p>
      <w:pPr>
        <w:spacing w:after="0" w:line="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86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Trent Ziegler, certify, pursuant to 18 U.S.C. Section 1350, as adopted pursuant to Section 906 of the Sarbanes-Oxley Act of 2002, that to my knowledge:</w:t>
      </w:r>
    </w:p>
    <w:p>
      <w:pPr>
        <w:spacing w:after="0" w:line="104" w:lineRule="exact"/>
        <w:rPr>
          <w:sz w:val="20"/>
          <w:szCs w:val="20"/>
          <w:color w:val="auto"/>
        </w:rPr>
      </w:pPr>
    </w:p>
    <w:p>
      <w:pPr>
        <w:ind w:left="340" w:right="220" w:hanging="332"/>
        <w:spacing w:after="0" w:line="282"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June 30, 2024 of LendingTree, Inc. (the “Report”) which this statement accompanies fully complies with the requirements of Section 13(a) or 15(d) of the Securities Exchange Act of 1934 (15 U.S.C. 78m or 78o(d)); and</w:t>
      </w:r>
    </w:p>
    <w:p>
      <w:pPr>
        <w:spacing w:after="0" w:line="40" w:lineRule="exact"/>
        <w:rPr>
          <w:rFonts w:ascii="Times New Roman" w:cs="Times New Roman" w:eastAsia="Times New Roman" w:hAnsi="Times New Roman"/>
          <w:sz w:val="18"/>
          <w:szCs w:val="18"/>
          <w:color w:val="auto"/>
        </w:rPr>
      </w:pPr>
    </w:p>
    <w:p>
      <w:pPr>
        <w:ind w:right="240" w:firstLine="8"/>
        <w:spacing w:after="0" w:line="375" w:lineRule="auto"/>
        <w:tabs>
          <w:tab w:leader="none" w:pos="3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July 26, 2024</w:t>
      </w:r>
    </w:p>
    <w:p>
      <w:pPr>
        <w:spacing w:after="0" w:line="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Trent Ziegler</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04"/>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2" Type="http://schemas.openxmlformats.org/officeDocument/2006/relationships/hyperlink" Target="https://www.sec.gov/Archives/edgar/data/1434621/000110465908054882/a08-22125_1ex3d1.htm" TargetMode="External"/><Relationship Id="rId63" Type="http://schemas.openxmlformats.org/officeDocument/2006/relationships/hyperlink" Target="https://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2024-07-29T05:26:47Z</dcterms:created>
  <dcterms:modified xsi:type="dcterms:W3CDTF">2024-07-29T05:26:47Z</dcterms:modified>
</cp:coreProperties>
</file>