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169545</wp:posOffset>
            </wp:positionV>
            <wp:extent cx="32327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5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183515</wp:posOffset>
            </wp:positionV>
            <wp:extent cx="32327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3800" w:right="1360" w:hanging="3427"/>
        <w:spacing w:after="0" w:line="266" w:lineRule="auto"/>
        <w:tabs>
          <w:tab w:leader="none" w:pos="9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7"/>
          <w:szCs w:val="17"/>
          <w:b w:val="1"/>
          <w:bCs w:val="1"/>
          <w:color w:val="auto"/>
        </w:rPr>
        <w:t>For the Quarterly Period Ended September 30, 2019</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55" w:lineRule="exact"/>
        <w:rPr>
          <w:sz w:val="24"/>
          <w:szCs w:val="24"/>
          <w:color w:val="auto"/>
        </w:rPr>
      </w:pPr>
    </w:p>
    <w:p>
      <w:pPr>
        <w:ind w:left="920" w:hanging="547"/>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3700"/>
        <w:spacing w:after="0"/>
        <w:tabs>
          <w:tab w:leader="none" w:pos="68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105410</wp:posOffset>
            </wp:positionV>
            <wp:extent cx="32327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337185</wp:posOffset>
            </wp:positionV>
            <wp:extent cx="1286510"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2400" w:type="dxa"/>
            <w:vAlign w:val="bottom"/>
            <w:gridSpan w:val="3"/>
          </w:tcPr>
          <w:p>
            <w:pPr>
              <w:ind w:left="880"/>
              <w:spacing w:after="0"/>
              <w:rPr>
                <w:sz w:val="20"/>
                <w:szCs w:val="20"/>
                <w:color w:val="auto"/>
              </w:rPr>
            </w:pPr>
            <w:r>
              <w:rPr>
                <w:rFonts w:ascii="Arial" w:cs="Arial" w:eastAsia="Arial" w:hAnsi="Arial"/>
                <w:sz w:val="16"/>
                <w:szCs w:val="16"/>
                <w:b w:val="1"/>
                <w:bCs w:val="1"/>
                <w:color w:val="auto"/>
              </w:rPr>
              <w:t>Delaware</w:t>
            </w: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40" w:type="dxa"/>
            <w:vAlign w:val="bottom"/>
            <w:gridSpan w:val="3"/>
          </w:tcPr>
          <w:p>
            <w:pPr>
              <w:jc w:val="right"/>
              <w:ind w:right="1740"/>
              <w:spacing w:after="0"/>
              <w:rPr>
                <w:sz w:val="20"/>
                <w:szCs w:val="20"/>
                <w:color w:val="auto"/>
              </w:rPr>
            </w:pPr>
            <w:r>
              <w:rPr>
                <w:rFonts w:ascii="Arial" w:cs="Arial" w:eastAsia="Arial" w:hAnsi="Arial"/>
                <w:sz w:val="16"/>
                <w:szCs w:val="16"/>
                <w:b w:val="1"/>
                <w:bCs w:val="1"/>
                <w:color w:val="auto"/>
              </w:rPr>
              <w:t>26-2414818</w:t>
            </w:r>
          </w:p>
        </w:tc>
      </w:tr>
      <w:tr>
        <w:trPr>
          <w:trHeight w:val="270"/>
        </w:trPr>
        <w:tc>
          <w:tcPr>
            <w:tcW w:w="7480" w:type="dxa"/>
            <w:vAlign w:val="bottom"/>
            <w:gridSpan w:val="7"/>
          </w:tcPr>
          <w:p>
            <w:pPr>
              <w:ind w:left="820"/>
              <w:spacing w:after="0"/>
              <w:rPr>
                <w:sz w:val="20"/>
                <w:szCs w:val="20"/>
                <w:color w:val="auto"/>
              </w:rPr>
            </w:pPr>
            <w:r>
              <w:rPr>
                <w:rFonts w:ascii="Arial" w:cs="Arial" w:eastAsia="Arial" w:hAnsi="Arial"/>
                <w:sz w:val="16"/>
                <w:szCs w:val="16"/>
                <w:color w:val="auto"/>
              </w:rPr>
              <w:t>(State or other jurisdiction of incorporation or organization)</w:t>
            </w:r>
          </w:p>
        </w:tc>
        <w:tc>
          <w:tcPr>
            <w:tcW w:w="3340" w:type="dxa"/>
            <w:vAlign w:val="bottom"/>
            <w:gridSpan w:val="3"/>
          </w:tcPr>
          <w:p>
            <w:pPr>
              <w:jc w:val="center"/>
              <w:ind w:right="940"/>
              <w:spacing w:after="0"/>
              <w:rPr>
                <w:sz w:val="20"/>
                <w:szCs w:val="20"/>
                <w:color w:val="auto"/>
              </w:rPr>
            </w:pPr>
            <w:r>
              <w:rPr>
                <w:rFonts w:ascii="Arial" w:cs="Arial" w:eastAsia="Arial" w:hAnsi="Arial"/>
                <w:sz w:val="16"/>
                <w:szCs w:val="16"/>
                <w:color w:val="auto"/>
                <w:w w:val="95"/>
              </w:rPr>
              <w:t>(I.R.S. Employer Identification No.)</w:t>
            </w:r>
          </w:p>
        </w:tc>
      </w:tr>
      <w:tr>
        <w:trPr>
          <w:trHeight w:val="339"/>
        </w:trPr>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60" w:type="dxa"/>
            <w:vAlign w:val="bottom"/>
            <w:gridSpan w:val="7"/>
          </w:tcPr>
          <w:p>
            <w:pPr>
              <w:ind w:left="420"/>
              <w:spacing w:after="0"/>
              <w:rPr>
                <w:sz w:val="20"/>
                <w:szCs w:val="20"/>
                <w:color w:val="auto"/>
              </w:rPr>
            </w:pPr>
            <w:r>
              <w:rPr>
                <w:rFonts w:ascii="Arial" w:cs="Arial" w:eastAsia="Arial" w:hAnsi="Arial"/>
                <w:sz w:val="18"/>
                <w:szCs w:val="18"/>
                <w:b w:val="1"/>
                <w:bCs w:val="1"/>
                <w:color w:val="auto"/>
              </w:rPr>
              <w:t>11115 Rushmore Drive, Charlotte, North Carolina 28277</w:t>
            </w:r>
          </w:p>
        </w:tc>
      </w:tr>
      <w:tr>
        <w:trPr>
          <w:trHeight w:val="216"/>
        </w:trPr>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520" w:type="dxa"/>
            <w:vAlign w:val="bottom"/>
            <w:gridSpan w:val="3"/>
          </w:tcPr>
          <w:p>
            <w:pPr>
              <w:jc w:val="center"/>
              <w:ind w:right="20"/>
              <w:spacing w:after="0"/>
              <w:rPr>
                <w:sz w:val="20"/>
                <w:szCs w:val="20"/>
                <w:color w:val="auto"/>
              </w:rPr>
            </w:pPr>
            <w:r>
              <w:rPr>
                <w:rFonts w:ascii="Arial" w:cs="Arial" w:eastAsia="Arial" w:hAnsi="Arial"/>
                <w:sz w:val="17"/>
                <w:szCs w:val="17"/>
                <w:color w:val="auto"/>
                <w:w w:val="93"/>
              </w:rPr>
              <w:t>(Address of principal executive offices)(Zip Code)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310"/>
        </w:trPr>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gridSpan w:val="2"/>
          </w:tcPr>
          <w:p>
            <w:pPr>
              <w:jc w:val="center"/>
              <w:ind w:left="952"/>
              <w:spacing w:after="0"/>
              <w:rPr>
                <w:sz w:val="20"/>
                <w:szCs w:val="20"/>
                <w:color w:val="auto"/>
              </w:rPr>
            </w:pPr>
            <w:r>
              <w:rPr>
                <w:rFonts w:ascii="Arial" w:cs="Arial" w:eastAsia="Arial" w:hAnsi="Arial"/>
                <w:sz w:val="18"/>
                <w:szCs w:val="18"/>
                <w:b w:val="1"/>
                <w:bCs w:val="1"/>
                <w:color w:val="auto"/>
                <w:w w:val="90"/>
              </w:rPr>
              <w:t>(704) 541-5351</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60" w:type="dxa"/>
            <w:vAlign w:val="bottom"/>
            <w:gridSpan w:val="7"/>
          </w:tcPr>
          <w:p>
            <w:pPr>
              <w:jc w:val="center"/>
              <w:ind w:right="2540"/>
              <w:spacing w:after="0"/>
              <w:rPr>
                <w:sz w:val="20"/>
                <w:szCs w:val="20"/>
                <w:color w:val="auto"/>
              </w:rPr>
            </w:pPr>
            <w:r>
              <w:rPr>
                <w:rFonts w:ascii="Arial" w:cs="Arial" w:eastAsia="Arial" w:hAnsi="Arial"/>
                <w:sz w:val="17"/>
                <w:szCs w:val="17"/>
                <w:color w:val="auto"/>
                <w:w w:val="90"/>
              </w:rPr>
              <w:t>(Registrant's telephone number, including area code)</w:t>
            </w:r>
          </w:p>
        </w:tc>
      </w:tr>
      <w:tr>
        <w:trPr>
          <w:trHeight w:val="146"/>
        </w:trPr>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560" w:type="dxa"/>
            <w:vAlign w:val="bottom"/>
          </w:tcPr>
          <w:p>
            <w:pPr>
              <w:spacing w:after="0"/>
              <w:rPr>
                <w:sz w:val="12"/>
                <w:szCs w:val="12"/>
                <w:color w:val="auto"/>
              </w:rPr>
            </w:pPr>
          </w:p>
        </w:tc>
      </w:tr>
      <w:tr>
        <w:trPr>
          <w:trHeight w:val="320"/>
        </w:trPr>
        <w:tc>
          <w:tcPr>
            <w:tcW w:w="3960" w:type="dxa"/>
            <w:vAlign w:val="bottom"/>
            <w:gridSpan w:val="4"/>
          </w:tcPr>
          <w:p>
            <w:pPr>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28"/>
        </w:trPr>
        <w:tc>
          <w:tcPr>
            <w:tcW w:w="15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Title of each class</w:t>
            </w:r>
          </w:p>
        </w:tc>
        <w:tc>
          <w:tcPr>
            <w:tcW w:w="116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Trading Symbol(s)</w:t>
            </w:r>
          </w:p>
        </w:tc>
        <w:tc>
          <w:tcPr>
            <w:tcW w:w="1040" w:type="dxa"/>
            <w:vAlign w:val="bottom"/>
          </w:tcPr>
          <w:p>
            <w:pPr>
              <w:spacing w:after="0"/>
              <w:rPr>
                <w:sz w:val="24"/>
                <w:szCs w:val="24"/>
                <w:color w:val="auto"/>
              </w:rPr>
            </w:pPr>
          </w:p>
        </w:tc>
        <w:tc>
          <w:tcPr>
            <w:tcW w:w="3340" w:type="dxa"/>
            <w:vAlign w:val="bottom"/>
            <w:gridSpan w:val="3"/>
          </w:tcPr>
          <w:p>
            <w:pPr>
              <w:jc w:val="center"/>
              <w:ind w:left="237"/>
              <w:spacing w:after="0"/>
              <w:rPr>
                <w:sz w:val="20"/>
                <w:szCs w:val="20"/>
                <w:color w:val="auto"/>
              </w:rPr>
            </w:pPr>
            <w:r>
              <w:rPr>
                <w:rFonts w:ascii="Arial" w:cs="Arial" w:eastAsia="Arial" w:hAnsi="Arial"/>
                <w:sz w:val="17"/>
                <w:szCs w:val="17"/>
                <w:color w:val="auto"/>
                <w:w w:val="89"/>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3"/>
        </w:trPr>
        <w:tc>
          <w:tcPr>
            <w:tcW w:w="3960" w:type="dxa"/>
            <w:vAlign w:val="bottom"/>
            <w:gridSpan w:val="4"/>
          </w:tcPr>
          <w:p>
            <w:pPr>
              <w:jc w:val="center"/>
              <w:ind w:left="316"/>
              <w:spacing w:after="0"/>
              <w:rPr>
                <w:sz w:val="20"/>
                <w:szCs w:val="20"/>
                <w:color w:val="auto"/>
              </w:rPr>
            </w:pPr>
            <w:r>
              <w:rPr>
                <w:rFonts w:ascii="Arial" w:cs="Arial" w:eastAsia="Arial" w:hAnsi="Arial"/>
                <w:sz w:val="17"/>
                <w:szCs w:val="17"/>
                <w:color w:val="auto"/>
                <w:w w:val="90"/>
              </w:rPr>
              <w:t>Common Stock, $0.01 par value per share</w:t>
            </w:r>
          </w:p>
        </w:tc>
        <w:tc>
          <w:tcPr>
            <w:tcW w:w="1180" w:type="dxa"/>
            <w:vAlign w:val="bottom"/>
          </w:tcPr>
          <w:p>
            <w:pPr>
              <w:spacing w:after="0"/>
              <w:rPr>
                <w:sz w:val="23"/>
                <w:szCs w:val="23"/>
                <w:color w:val="auto"/>
              </w:rPr>
            </w:pPr>
          </w:p>
        </w:tc>
        <w:tc>
          <w:tcPr>
            <w:tcW w:w="2340" w:type="dxa"/>
            <w:vAlign w:val="bottom"/>
            <w:gridSpan w:val="2"/>
          </w:tcPr>
          <w:p>
            <w:pPr>
              <w:jc w:val="center"/>
              <w:ind w:right="1040"/>
              <w:spacing w:after="0"/>
              <w:rPr>
                <w:sz w:val="20"/>
                <w:szCs w:val="20"/>
                <w:color w:val="auto"/>
              </w:rPr>
            </w:pPr>
            <w:r>
              <w:rPr>
                <w:rFonts w:ascii="Arial" w:cs="Arial" w:eastAsia="Arial" w:hAnsi="Arial"/>
                <w:sz w:val="17"/>
                <w:szCs w:val="17"/>
                <w:color w:val="auto"/>
                <w:w w:val="92"/>
              </w:rPr>
              <w:t>TREE</w:t>
            </w:r>
          </w:p>
        </w:tc>
        <w:tc>
          <w:tcPr>
            <w:tcW w:w="32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94"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tbl>
      <w:tblPr>
        <w:tblLayout w:type="fixed"/>
        <w:tblInd w:w="1380" w:type="dxa"/>
        <w:tblCellMar>
          <w:top w:w="0" w:type="dxa"/>
          <w:left w:w="0" w:type="dxa"/>
          <w:bottom w:w="0" w:type="dxa"/>
          <w:right w:w="0" w:type="dxa"/>
        </w:tblCellMar>
      </w:tblPr>
      <w:tr>
        <w:trPr>
          <w:trHeight w:val="269"/>
        </w:trPr>
        <w:tc>
          <w:tcPr>
            <w:tcW w:w="2480" w:type="dxa"/>
            <w:vAlign w:val="bottom"/>
          </w:tcPr>
          <w:p>
            <w:pPr>
              <w:jc w:val="center"/>
              <w:ind w:right="855"/>
              <w:spacing w:after="0"/>
              <w:rPr>
                <w:sz w:val="20"/>
                <w:szCs w:val="20"/>
                <w:color w:val="auto"/>
              </w:rPr>
            </w:pPr>
            <w:r>
              <w:rPr>
                <w:rFonts w:ascii="Arial" w:cs="Arial" w:eastAsia="Arial" w:hAnsi="Arial"/>
                <w:sz w:val="17"/>
                <w:szCs w:val="17"/>
                <w:color w:val="auto"/>
                <w:w w:val="91"/>
              </w:rPr>
              <w:t>Large accelerated filer</w:t>
            </w:r>
          </w:p>
        </w:tc>
        <w:tc>
          <w:tcPr>
            <w:tcW w:w="14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3160" w:type="dxa"/>
            <w:vAlign w:val="bottom"/>
          </w:tcPr>
          <w:p>
            <w:pPr>
              <w:ind w:left="340"/>
              <w:spacing w:after="0"/>
              <w:rPr>
                <w:sz w:val="20"/>
                <w:szCs w:val="20"/>
                <w:color w:val="auto"/>
              </w:rPr>
            </w:pPr>
            <w:r>
              <w:rPr>
                <w:rFonts w:ascii="Arial" w:cs="Arial" w:eastAsia="Arial" w:hAnsi="Arial"/>
                <w:sz w:val="17"/>
                <w:szCs w:val="17"/>
                <w:color w:val="auto"/>
              </w:rPr>
              <w:t>Accelerated filer</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480" w:type="dxa"/>
            <w:vAlign w:val="bottom"/>
          </w:tcPr>
          <w:p>
            <w:pPr>
              <w:jc w:val="center"/>
              <w:ind w:right="835"/>
              <w:spacing w:after="0"/>
              <w:rPr>
                <w:sz w:val="20"/>
                <w:szCs w:val="20"/>
                <w:color w:val="auto"/>
              </w:rPr>
            </w:pPr>
            <w:r>
              <w:rPr>
                <w:rFonts w:ascii="Arial" w:cs="Arial" w:eastAsia="Arial" w:hAnsi="Arial"/>
                <w:sz w:val="17"/>
                <w:szCs w:val="17"/>
                <w:color w:val="auto"/>
                <w:w w:val="91"/>
              </w:rPr>
              <w:t>Non-accelerated filer</w:t>
            </w:r>
          </w:p>
        </w:tc>
        <w:tc>
          <w:tcPr>
            <w:tcW w:w="144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3160" w:type="dxa"/>
            <w:vAlign w:val="bottom"/>
          </w:tcPr>
          <w:p>
            <w:pPr>
              <w:ind w:left="340"/>
              <w:spacing w:after="0"/>
              <w:rPr>
                <w:sz w:val="20"/>
                <w:szCs w:val="20"/>
                <w:color w:val="auto"/>
              </w:rPr>
            </w:pPr>
            <w:r>
              <w:rPr>
                <w:rFonts w:ascii="Arial" w:cs="Arial" w:eastAsia="Arial" w:hAnsi="Arial"/>
                <w:sz w:val="17"/>
                <w:szCs w:val="17"/>
                <w:color w:val="auto"/>
              </w:rPr>
              <w:t>Smaller reporting company</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160" w:type="dxa"/>
            <w:vAlign w:val="bottom"/>
          </w:tcPr>
          <w:p>
            <w:pPr>
              <w:ind w:left="340"/>
              <w:spacing w:after="0"/>
              <w:rPr>
                <w:sz w:val="20"/>
                <w:szCs w:val="20"/>
                <w:color w:val="auto"/>
              </w:rPr>
            </w:pPr>
            <w:r>
              <w:rPr>
                <w:rFonts w:ascii="Arial" w:cs="Arial" w:eastAsia="Arial" w:hAnsi="Arial"/>
                <w:sz w:val="17"/>
                <w:szCs w:val="17"/>
                <w:color w:val="auto"/>
              </w:rPr>
              <w:t>Emerging growth company</w:t>
            </w:r>
          </w:p>
        </w:tc>
        <w:tc>
          <w:tcPr>
            <w:tcW w:w="1120" w:type="dxa"/>
            <w:vAlign w:val="bottom"/>
          </w:tcPr>
          <w:p>
            <w:pPr>
              <w:ind w:left="9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74" w:lineRule="exact"/>
        <w:rPr>
          <w:sz w:val="24"/>
          <w:szCs w:val="24"/>
          <w:color w:val="auto"/>
        </w:rPr>
      </w:pPr>
    </w:p>
    <w:p>
      <w:pPr>
        <w:ind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October 21, 2019, there were 12,999,152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9977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9"/>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120" w:type="dxa"/>
            <w:vAlign w:val="bottom"/>
            <w:vMerge w:val="restart"/>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60" w:type="dxa"/>
            <w:vAlign w:val="bottom"/>
            <w:tcBorders>
              <w:bottom w:val="single" w:sz="8" w:color="0000FF"/>
            </w:tcBorders>
            <w:gridSpan w:val="5"/>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3100" w:type="dxa"/>
            <w:vAlign w:val="bottom"/>
            <w:gridSpan w:val="2"/>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EE"/>
              </w:rPr>
            </w:pPr>
            <w:hyperlink w:anchor="page35">
              <w:r>
                <w:rPr>
                  <w:rFonts w:ascii="Arial" w:cs="Arial" w:eastAsia="Arial" w:hAnsi="Arial"/>
                  <w:sz w:val="18"/>
                  <w:szCs w:val="18"/>
                  <w:b w:val="1"/>
                  <w:bCs w:val="1"/>
                  <w:i w:val="1"/>
                  <w:iCs w:val="1"/>
                  <w:color w:val="0000EE"/>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bottom w:val="single" w:sz="8" w:color="0000FF"/>
            </w:tcBorders>
          </w:tcPr>
          <w:p>
            <w:pPr>
              <w:spacing w:after="0"/>
              <w:rPr>
                <w:rFonts w:ascii="Arial" w:cs="Arial" w:eastAsia="Arial" w:hAnsi="Arial"/>
                <w:sz w:val="18"/>
                <w:szCs w:val="18"/>
                <w:b w:val="1"/>
                <w:bCs w:val="1"/>
                <w:color w:val="0000FF"/>
                <w:w w:val="91"/>
              </w:rPr>
            </w:pPr>
            <w:hyperlink w:anchor="page45">
              <w:r>
                <w:rPr>
                  <w:rFonts w:ascii="Arial" w:cs="Arial" w:eastAsia="Arial" w:hAnsi="Arial"/>
                  <w:sz w:val="18"/>
                  <w:szCs w:val="18"/>
                  <w:b w:val="1"/>
                  <w:bCs w:val="1"/>
                  <w:color w:val="0000FF"/>
                  <w:w w:val="91"/>
                </w:rPr>
                <w:t>Item 3.</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80" w:type="dxa"/>
            <w:vAlign w:val="bottom"/>
            <w:tcBorders>
              <w:top w:val="single" w:sz="8" w:color="0000EE"/>
              <w:bottom w:val="single" w:sz="8" w:color="0000FF"/>
            </w:tcBorders>
            <w:gridSpan w:val="9"/>
          </w:tcPr>
          <w:p>
            <w:pPr>
              <w:spacing w:after="0"/>
              <w:rPr>
                <w:rFonts w:ascii="Arial" w:cs="Arial" w:eastAsia="Arial" w:hAnsi="Arial"/>
                <w:sz w:val="18"/>
                <w:szCs w:val="18"/>
                <w:b w:val="1"/>
                <w:bCs w:val="1"/>
                <w:i w:val="1"/>
                <w:iCs w:val="1"/>
                <w:color w:val="0000FF"/>
                <w:w w:val="87"/>
              </w:rPr>
            </w:pPr>
            <w:hyperlink w:anchor="page45">
              <w:r>
                <w:rPr>
                  <w:rFonts w:ascii="Arial" w:cs="Arial" w:eastAsia="Arial" w:hAnsi="Arial"/>
                  <w:sz w:val="18"/>
                  <w:szCs w:val="18"/>
                  <w:b w:val="1"/>
                  <w:bCs w:val="1"/>
                  <w:i w:val="1"/>
                  <w:iCs w:val="1"/>
                  <w:color w:val="0000FF"/>
                  <w:w w:val="87"/>
                </w:rPr>
                <w:t>Quantitative and Qualitative Disclosures About Market Risk</w:t>
              </w:r>
            </w:hyperlink>
          </w:p>
        </w:tc>
        <w:tc>
          <w:tcPr>
            <w:tcW w:w="2200" w:type="dxa"/>
            <w:vAlign w:val="bottom"/>
            <w:tcBorders>
              <w:top w:val="single" w:sz="8" w:color="0000EE"/>
            </w:tcBorders>
            <w:gridSpan w:val="3"/>
          </w:tcPr>
          <w:p>
            <w:pPr>
              <w:spacing w:after="0"/>
              <w:rPr>
                <w:sz w:val="21"/>
                <w:szCs w:val="21"/>
                <w:color w:val="auto"/>
              </w:rPr>
            </w:pPr>
          </w:p>
        </w:tc>
        <w:tc>
          <w:tcPr>
            <w:tcW w:w="2180" w:type="dxa"/>
            <w:vAlign w:val="bottom"/>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rPr>
            </w:pPr>
            <w:hyperlink w:anchor="page45">
              <w:r>
                <w:rPr>
                  <w:rFonts w:ascii="Arial" w:cs="Arial" w:eastAsia="Arial" w:hAnsi="Arial"/>
                  <w:sz w:val="18"/>
                  <w:szCs w:val="18"/>
                  <w:b w:val="1"/>
                  <w:bCs w:val="1"/>
                  <w:color w:val="0000FF"/>
                </w:rPr>
                <w:t>Item 4.</w:t>
              </w:r>
            </w:hyperlink>
          </w:p>
        </w:tc>
        <w:tc>
          <w:tcPr>
            <w:tcW w:w="9680" w:type="dxa"/>
            <w:vAlign w:val="bottom"/>
            <w:gridSpan w:val="14"/>
          </w:tcPr>
          <w:p>
            <w:pPr>
              <w:ind w:left="820"/>
              <w:spacing w:after="0"/>
              <w:rPr>
                <w:rFonts w:ascii="Arial" w:cs="Arial" w:eastAsia="Arial" w:hAnsi="Arial"/>
                <w:sz w:val="18"/>
                <w:szCs w:val="18"/>
                <w:b w:val="1"/>
                <w:bCs w:val="1"/>
                <w:i w:val="1"/>
                <w:iCs w:val="1"/>
                <w:color w:val="0000FF"/>
              </w:rPr>
            </w:pPr>
            <w:hyperlink w:anchor="page45">
              <w:r>
                <w:rPr>
                  <w:rFonts w:ascii="Arial" w:cs="Arial" w:eastAsia="Arial" w:hAnsi="Arial"/>
                  <w:sz w:val="18"/>
                  <w:szCs w:val="18"/>
                  <w:b w:val="1"/>
                  <w:bCs w:val="1"/>
                  <w:i w:val="1"/>
                  <w:iCs w:val="1"/>
                  <w:color w:val="0000FF"/>
                </w:rPr>
                <w:t>Controls and Procedures</w:t>
              </w:r>
            </w:hyperlink>
          </w:p>
        </w:tc>
        <w:tc>
          <w:tcPr>
            <w:tcW w:w="102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gridSpan w:val="6"/>
          </w:tcPr>
          <w:p>
            <w:pPr>
              <w:jc w:val="center"/>
              <w:ind w:right="3260"/>
              <w:spacing w:after="0"/>
              <w:rPr>
                <w:rFonts w:ascii="Arial" w:cs="Arial" w:eastAsia="Arial" w:hAnsi="Arial"/>
                <w:sz w:val="18"/>
                <w:szCs w:val="18"/>
                <w:b w:val="1"/>
                <w:bCs w:val="1"/>
                <w:color w:val="0000FF"/>
              </w:rPr>
            </w:pPr>
            <w:hyperlink w:anchor="page47">
              <w:r>
                <w:rPr>
                  <w:rFonts w:ascii="Arial" w:cs="Arial" w:eastAsia="Arial" w:hAnsi="Arial"/>
                  <w:sz w:val="18"/>
                  <w:szCs w:val="18"/>
                  <w:b w:val="1"/>
                  <w:bCs w:val="1"/>
                  <w:color w:val="0000FF"/>
                </w:rPr>
                <w:t>PART II—OTHER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40" w:type="dxa"/>
            <w:vAlign w:val="bottom"/>
            <w:tcBorders>
              <w:bottom w:val="single" w:sz="8" w:color="0000FF"/>
            </w:tcBorders>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1.</w:t>
              </w:r>
            </w:hyperlink>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Borders>
              <w:bottom w:val="single" w:sz="8" w:color="0000FF"/>
            </w:tcBorders>
            <w:gridSpan w:val="3"/>
          </w:tcPr>
          <w:p>
            <w:pPr>
              <w:spacing w:after="0"/>
              <w:rPr>
                <w:rFonts w:ascii="Arial" w:cs="Arial" w:eastAsia="Arial" w:hAnsi="Arial"/>
                <w:sz w:val="18"/>
                <w:szCs w:val="18"/>
                <w:b w:val="1"/>
                <w:bCs w:val="1"/>
                <w:i w:val="1"/>
                <w:iCs w:val="1"/>
                <w:color w:val="0000FF"/>
                <w:w w:val="84"/>
              </w:rPr>
            </w:pPr>
            <w:hyperlink w:anchor="page47">
              <w:r>
                <w:rPr>
                  <w:rFonts w:ascii="Arial" w:cs="Arial" w:eastAsia="Arial" w:hAnsi="Arial"/>
                  <w:sz w:val="18"/>
                  <w:szCs w:val="18"/>
                  <w:b w:val="1"/>
                  <w:bCs w:val="1"/>
                  <w:i w:val="1"/>
                  <w:iCs w:val="1"/>
                  <w:color w:val="0000FF"/>
                  <w:w w:val="84"/>
                </w:rPr>
                <w:t>Legal Proceedings</w:t>
              </w:r>
            </w:hyperlink>
          </w:p>
        </w:tc>
        <w:tc>
          <w:tcPr>
            <w:tcW w:w="1380" w:type="dxa"/>
            <w:vAlign w:val="bottom"/>
            <w:gridSpan w:val="4"/>
          </w:tcPr>
          <w:p>
            <w:pPr>
              <w:spacing w:after="0"/>
              <w:rPr>
                <w:sz w:val="24"/>
                <w:szCs w:val="24"/>
                <w:color w:val="auto"/>
              </w:rPr>
            </w:pPr>
          </w:p>
        </w:tc>
        <w:tc>
          <w:tcPr>
            <w:tcW w:w="2840" w:type="dxa"/>
            <w:vAlign w:val="bottom"/>
            <w:tcBorders>
              <w:top w:val="single" w:sz="8" w:color="0000FF"/>
            </w:tcBorders>
            <w:gridSpan w:val="3"/>
          </w:tcPr>
          <w:p>
            <w:pPr>
              <w:spacing w:after="0"/>
              <w:rPr>
                <w:sz w:val="24"/>
                <w:szCs w:val="24"/>
                <w:color w:val="auto"/>
              </w:rPr>
            </w:pPr>
          </w:p>
        </w:tc>
        <w:tc>
          <w:tcPr>
            <w:tcW w:w="32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1A.</w:t>
              </w:r>
            </w:hyperlink>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7">
              <w:r>
                <w:rPr>
                  <w:rFonts w:ascii="Arial" w:cs="Arial" w:eastAsia="Arial" w:hAnsi="Arial"/>
                  <w:sz w:val="18"/>
                  <w:szCs w:val="18"/>
                  <w:b w:val="1"/>
                  <w:bCs w:val="1"/>
                  <w:i w:val="1"/>
                  <w:iCs w:val="1"/>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rFonts w:ascii="Arial" w:cs="Arial" w:eastAsia="Arial" w:hAnsi="Arial"/>
                <w:sz w:val="18"/>
                <w:szCs w:val="18"/>
                <w:b w:val="1"/>
                <w:bCs w:val="1"/>
                <w:color w:val="0000FF"/>
                <w:w w:val="91"/>
              </w:rPr>
            </w:pPr>
            <w:hyperlink w:anchor="page47">
              <w:r>
                <w:rPr>
                  <w:rFonts w:ascii="Arial" w:cs="Arial" w:eastAsia="Arial" w:hAnsi="Arial"/>
                  <w:sz w:val="18"/>
                  <w:szCs w:val="18"/>
                  <w:b w:val="1"/>
                  <w:bCs w:val="1"/>
                  <w:color w:val="0000FF"/>
                  <w:w w:val="91"/>
                </w:rPr>
                <w:t>Item 2.</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60" w:type="dxa"/>
            <w:vAlign w:val="bottom"/>
            <w:gridSpan w:val="13"/>
          </w:tcPr>
          <w:p>
            <w:pPr>
              <w:spacing w:after="0"/>
              <w:rPr>
                <w:rFonts w:ascii="Arial" w:cs="Arial" w:eastAsia="Arial" w:hAnsi="Arial"/>
                <w:sz w:val="18"/>
                <w:szCs w:val="18"/>
                <w:b w:val="1"/>
                <w:bCs w:val="1"/>
                <w:i w:val="1"/>
                <w:iCs w:val="1"/>
                <w:color w:val="0000FF"/>
              </w:rPr>
            </w:pPr>
            <w:hyperlink w:anchor="page47">
              <w:r>
                <w:rPr>
                  <w:rFonts w:ascii="Arial" w:cs="Arial" w:eastAsia="Arial" w:hAnsi="Arial"/>
                  <w:sz w:val="18"/>
                  <w:szCs w:val="18"/>
                  <w:b w:val="1"/>
                  <w:bCs w:val="1"/>
                  <w:i w:val="1"/>
                  <w:i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FF"/>
            </w:tcBorders>
          </w:tcPr>
          <w:p>
            <w:pPr>
              <w:spacing w:after="0"/>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5.</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60" w:type="dxa"/>
            <w:vAlign w:val="bottom"/>
            <w:tcBorders>
              <w:top w:val="single" w:sz="8" w:color="0000FF"/>
            </w:tcBorders>
            <w:gridSpan w:val="8"/>
          </w:tcPr>
          <w:p>
            <w:pPr>
              <w:spacing w:after="0"/>
              <w:rPr>
                <w:rFonts w:ascii="Arial" w:cs="Arial" w:eastAsia="Arial" w:hAnsi="Arial"/>
                <w:sz w:val="18"/>
                <w:szCs w:val="18"/>
                <w:b w:val="1"/>
                <w:bCs w:val="1"/>
                <w:i w:val="1"/>
                <w:iCs w:val="1"/>
                <w:color w:val="0000FF"/>
              </w:rPr>
            </w:pPr>
            <w:hyperlink w:anchor="page48">
              <w:r>
                <w:rPr>
                  <w:rFonts w:ascii="Arial" w:cs="Arial" w:eastAsia="Arial" w:hAnsi="Arial"/>
                  <w:sz w:val="18"/>
                  <w:szCs w:val="18"/>
                  <w:b w:val="1"/>
                  <w:bCs w:val="1"/>
                  <w:i w:val="1"/>
                  <w:iCs w:val="1"/>
                  <w:color w:val="0000FF"/>
                </w:rPr>
                <w:t>Other Information</w:t>
              </w:r>
            </w:hyperlink>
          </w:p>
        </w:tc>
        <w:tc>
          <w:tcPr>
            <w:tcW w:w="4400" w:type="dxa"/>
            <w:vAlign w:val="bottom"/>
            <w:gridSpan w:val="5"/>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540" w:type="dxa"/>
            <w:vAlign w:val="bottom"/>
            <w:tcBorders>
              <w:top w:val="single" w:sz="8" w:color="0000EE"/>
            </w:tcBorders>
          </w:tcPr>
          <w:p>
            <w:pPr>
              <w:spacing w:after="0"/>
              <w:rPr>
                <w:rFonts w:ascii="Arial" w:cs="Arial" w:eastAsia="Arial" w:hAnsi="Arial"/>
                <w:sz w:val="18"/>
                <w:szCs w:val="18"/>
                <w:b w:val="1"/>
                <w:bCs w:val="1"/>
                <w:color w:val="0000FF"/>
                <w:w w:val="91"/>
              </w:rPr>
            </w:pPr>
            <w:hyperlink w:anchor="page49">
              <w:r>
                <w:rPr>
                  <w:rFonts w:ascii="Arial" w:cs="Arial" w:eastAsia="Arial" w:hAnsi="Arial"/>
                  <w:sz w:val="18"/>
                  <w:szCs w:val="18"/>
                  <w:b w:val="1"/>
                  <w:bCs w:val="1"/>
                  <w:color w:val="0000FF"/>
                  <w:w w:val="91"/>
                </w:rPr>
                <w:t>Item 6.</w:t>
              </w:r>
            </w:hyperlink>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tcBorders>
              <w:top w:val="single" w:sz="8" w:color="0000FF"/>
            </w:tcBorders>
            <w:gridSpan w:val="3"/>
          </w:tcPr>
          <w:p>
            <w:pPr>
              <w:spacing w:after="0"/>
              <w:rPr>
                <w:rFonts w:ascii="Arial" w:cs="Arial" w:eastAsia="Arial" w:hAnsi="Arial"/>
                <w:sz w:val="18"/>
                <w:szCs w:val="18"/>
                <w:b w:val="1"/>
                <w:bCs w:val="1"/>
                <w:i w:val="1"/>
                <w:iCs w:val="1"/>
                <w:color w:val="0000FF"/>
              </w:rPr>
            </w:pPr>
            <w:hyperlink w:anchor="page49">
              <w:r>
                <w:rPr>
                  <w:rFonts w:ascii="Arial" w:cs="Arial" w:eastAsia="Arial" w:hAnsi="Arial"/>
                  <w:sz w:val="18"/>
                  <w:szCs w:val="18"/>
                  <w:b w:val="1"/>
                  <w:bCs w:val="1"/>
                  <w:i w:val="1"/>
                  <w:iCs w:val="1"/>
                  <w:color w:val="0000FF"/>
                </w:rPr>
                <w:t>Exhibits</w:t>
              </w:r>
            </w:hyperlink>
          </w:p>
        </w:tc>
        <w:tc>
          <w:tcPr>
            <w:tcW w:w="7480" w:type="dxa"/>
            <w:vAlign w:val="bottom"/>
            <w:gridSpan w:val="10"/>
          </w:tcPr>
          <w:p>
            <w:pPr>
              <w:spacing w:after="0"/>
              <w:rPr>
                <w:sz w:val="21"/>
                <w:szCs w:val="21"/>
                <w:color w:val="auto"/>
              </w:rPr>
            </w:pPr>
          </w:p>
        </w:tc>
        <w:tc>
          <w:tcPr>
            <w:tcW w:w="1020" w:type="dxa"/>
            <w:vAlign w:val="bottom"/>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507"/>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840" w:type="dxa"/>
            <w:vAlign w:val="bottom"/>
            <w:gridSpan w:val="7"/>
          </w:tcPr>
          <w:p>
            <w:pPr>
              <w:jc w:val="center"/>
              <w:ind w:left="32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553"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w w:val="89"/>
              </w:rPr>
              <w:t>(in thousands, except per share amounts)</w:t>
            </w: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310,605</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9"/>
              </w:rPr>
              <w:t>197,057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851,416</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562,193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 xml:space="preserve">Cost of revenue </w:t>
            </w:r>
            <w:r>
              <w:rPr>
                <w:rFonts w:ascii="Arial" w:cs="Arial" w:eastAsia="Arial" w:hAnsi="Arial"/>
                <w:sz w:val="18"/>
                <w:szCs w:val="18"/>
                <w:i w:val="1"/>
                <w:iCs w:val="1"/>
                <w:color w:val="auto"/>
                <w:w w:val="93"/>
              </w:rPr>
              <w:t>(exclusive of depreciation and amortization shown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17,671</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51,651</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Selling and marketing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200,818</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124,400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567,338</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374,390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30,323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89,391</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70,553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10,200</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6,608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30,541</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18,835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2,696</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7,737</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13,778</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41,485</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13,628</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3,839</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21,221</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Severance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636</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2,331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w:t>
            </w:r>
          </w:p>
        </w:tc>
        <w:tc>
          <w:tcPr>
            <w:tcW w:w="4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279,412</w:t>
            </w:r>
          </w:p>
        </w:tc>
        <w:tc>
          <w:tcPr>
            <w:tcW w:w="5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9"/>
              </w:rPr>
              <w:t>176,767</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809,709</w:t>
            </w:r>
          </w:p>
        </w:tc>
        <w:tc>
          <w:tcPr>
            <w:tcW w:w="4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2"/>
              </w:rPr>
              <w:t>508,430</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31,193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41,707</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53,763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(15,408)</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143</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26,352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26,442</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45,352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11,552</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63,716</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24,463</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37,994</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2"/>
              </w:rPr>
              <w:t>109,068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(20,199)</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(22,024)</w:t>
            </w: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(9,269)</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and comprehensive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4,264</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25,728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15,970</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99,799</w:t>
            </w:r>
          </w:p>
        </w:tc>
      </w:tr>
      <w:tr>
        <w:trPr>
          <w:trHeight w:val="270"/>
        </w:trPr>
        <w:tc>
          <w:tcPr>
            <w:tcW w:w="65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12,890</w:t>
            </w:r>
          </w:p>
        </w:tc>
        <w:tc>
          <w:tcPr>
            <w:tcW w:w="5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12,805</w:t>
            </w:r>
          </w:p>
        </w:tc>
        <w:tc>
          <w:tcPr>
            <w:tcW w:w="44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12,437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14,632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14,629</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Income per share from continuing operations: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2.97</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2.60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7.63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share from 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5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1.25</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5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1.09</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6.98</w:t>
            </w:r>
          </w:p>
        </w:tc>
      </w:tr>
      <w:tr>
        <w:trPr>
          <w:trHeight w:val="27"/>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156"/>
        </w:trPr>
        <w:tc>
          <w:tcPr>
            <w:tcW w:w="8800" w:type="dxa"/>
            <w:vAlign w:val="bottom"/>
          </w:tcPr>
          <w:p>
            <w:pPr>
              <w:spacing w:after="0"/>
              <w:rPr>
                <w:sz w:val="13"/>
                <w:szCs w:val="13"/>
                <w:color w:val="auto"/>
              </w:rPr>
            </w:pPr>
          </w:p>
        </w:tc>
        <w:tc>
          <w:tcPr>
            <w:tcW w:w="2620" w:type="dxa"/>
            <w:vAlign w:val="bottom"/>
            <w:gridSpan w:val="4"/>
          </w:tcPr>
          <w:p>
            <w:pPr>
              <w:jc w:val="right"/>
              <w:spacing w:after="0" w:line="157" w:lineRule="exact"/>
              <w:rPr>
                <w:sz w:val="20"/>
                <w:szCs w:val="20"/>
                <w:color w:val="auto"/>
              </w:rPr>
            </w:pPr>
            <w:r>
              <w:rPr>
                <w:rFonts w:ascii="Arial" w:cs="Arial" w:eastAsia="Arial" w:hAnsi="Arial"/>
                <w:sz w:val="14"/>
                <w:szCs w:val="14"/>
                <w:b w:val="1"/>
                <w:bCs w:val="1"/>
                <w:i w:val="1"/>
                <w:iCs w:val="1"/>
                <w:color w:val="auto"/>
                <w:w w:val="90"/>
              </w:rPr>
              <w:t>(in thousands, except par value and share</w:t>
            </w:r>
          </w:p>
        </w:tc>
      </w:tr>
      <w:tr>
        <w:trPr>
          <w:trHeight w:val="188"/>
        </w:trPr>
        <w:tc>
          <w:tcPr>
            <w:tcW w:w="8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3"/>
          </w:tcPr>
          <w:p>
            <w:pPr>
              <w:jc w:val="right"/>
              <w:ind w:right="931"/>
              <w:spacing w:after="0"/>
              <w:rPr>
                <w:sz w:val="20"/>
                <w:szCs w:val="20"/>
                <w:color w:val="auto"/>
              </w:rPr>
            </w:pPr>
            <w:r>
              <w:rPr>
                <w:rFonts w:ascii="Arial" w:cs="Arial" w:eastAsia="Arial" w:hAnsi="Arial"/>
                <w:sz w:val="14"/>
                <w:szCs w:val="14"/>
                <w:b w:val="1"/>
                <w:bCs w:val="1"/>
                <w:i w:val="1"/>
                <w:iCs w:val="1"/>
                <w:color w:val="auto"/>
              </w:rPr>
              <w:t>amounts)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50,497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105,102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$1,823 and $1,143, respectively)</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140,843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91,072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12,914</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16,428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Assets held for sale (Note 6)</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21,328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 of discontinued operations (Note 17)</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204,513</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234,171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$16,068 and $13,887,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31,192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23,175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419,935</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348,347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195,337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205,699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assets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90,983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79,289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29,278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Non-current assets of discontinued operations (Note 17)</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7,953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3,266</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979,191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896,115</w:t>
            </w:r>
          </w:p>
        </w:tc>
      </w:tr>
      <w:tr>
        <w:trPr>
          <w:trHeight w:val="270"/>
        </w:trPr>
        <w:tc>
          <w:tcPr>
            <w:tcW w:w="88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125,000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trade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19,492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109,618</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93,190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32,955</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17)</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31,721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17,609</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278,786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261,953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260,973</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250,943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21,103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28,354</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8,360</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589,927</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549,907</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180"/>
              <w:spacing w:after="0"/>
              <w:rPr>
                <w:sz w:val="20"/>
                <w:szCs w:val="20"/>
                <w:color w:val="auto"/>
              </w:rPr>
            </w:pPr>
            <w:r>
              <w:rPr>
                <w:rFonts w:ascii="Arial" w:cs="Arial" w:eastAsia="Arial" w:hAnsi="Arial"/>
                <w:sz w:val="18"/>
                <w:szCs w:val="18"/>
                <w:color w:val="auto"/>
                <w:w w:val="91"/>
              </w:rPr>
              <w:t>Common stock $.01 par value; 50,000,000 shares authorized; 15,635,268 and 15,428,351 shares issued, respectively,</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180"/>
              <w:spacing w:after="0"/>
              <w:rPr>
                <w:sz w:val="20"/>
                <w:szCs w:val="20"/>
                <w:color w:val="auto"/>
              </w:rPr>
            </w:pPr>
            <w:r>
              <w:rPr>
                <w:rFonts w:ascii="Arial" w:cs="Arial" w:eastAsia="Arial" w:hAnsi="Arial"/>
                <w:sz w:val="18"/>
                <w:szCs w:val="18"/>
                <w:color w:val="auto"/>
              </w:rPr>
              <w:t>and 12,998,101 and 12,809,764 shares outstanding, respectively</w:t>
            </w:r>
          </w:p>
        </w:tc>
        <w:tc>
          <w:tcPr>
            <w:tcW w:w="14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1,165,597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1,134,227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(594,512)</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(610,482)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2,637,167 and 2,618,587 shares,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(181,977)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(177,691)</w:t>
            </w:r>
          </w:p>
        </w:tc>
      </w:tr>
      <w:tr>
        <w:trPr>
          <w:trHeight w:val="23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389,264</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346,208</w:t>
            </w:r>
          </w:p>
        </w:tc>
      </w:tr>
      <w:tr>
        <w:trPr>
          <w:trHeight w:val="27"/>
        </w:trPr>
        <w:tc>
          <w:tcPr>
            <w:tcW w:w="8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979,191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896,115</w:t>
            </w:r>
          </w:p>
        </w:tc>
      </w:tr>
      <w:tr>
        <w:trPr>
          <w:trHeight w:val="27"/>
        </w:trPr>
        <w:tc>
          <w:tcPr>
            <w:tcW w:w="88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185"/>
              <w:spacing w:after="0" w:line="139" w:lineRule="exact"/>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2"/>
                <w:szCs w:val="12"/>
                <w:color w:val="auto"/>
              </w:rPr>
            </w:pPr>
          </w:p>
        </w:tc>
        <w:tc>
          <w:tcPr>
            <w:tcW w:w="110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Total</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2"/>
                <w:szCs w:val="12"/>
                <w:color w:val="auto"/>
              </w:rPr>
            </w:pPr>
          </w:p>
        </w:tc>
        <w:tc>
          <w:tcPr>
            <w:tcW w:w="960" w:type="dxa"/>
            <w:vAlign w:val="bottom"/>
          </w:tcPr>
          <w:p>
            <w:pPr>
              <w:jc w:val="right"/>
              <w:ind w:right="285"/>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(in thousands)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0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346,208</w:t>
            </w:r>
          </w:p>
        </w:tc>
        <w:tc>
          <w:tcPr>
            <w:tcW w:w="9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15,428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1,134,227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(610,482)</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2,618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(177,691)</w:t>
            </w:r>
          </w:p>
        </w:tc>
        <w:tc>
          <w:tcPr>
            <w:tcW w:w="0" w:type="dxa"/>
            <w:vAlign w:val="bottom"/>
          </w:tcPr>
          <w:p>
            <w:pPr>
              <w:spacing w:after="0"/>
              <w:rPr>
                <w:sz w:val="1"/>
                <w:szCs w:val="1"/>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8"/>
                <w:szCs w:val="18"/>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(512)</w:t>
            </w:r>
          </w:p>
        </w:tc>
        <w:tc>
          <w:tcPr>
            <w:tcW w:w="9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04"/>
              <w:spacing w:after="0"/>
              <w:rPr>
                <w:sz w:val="20"/>
                <w:szCs w:val="20"/>
                <w:color w:val="auto"/>
              </w:rPr>
            </w:pPr>
            <w:r>
              <w:rPr>
                <w:rFonts w:ascii="Arial" w:cs="Arial" w:eastAsia="Arial" w:hAnsi="Arial"/>
                <w:sz w:val="15"/>
                <w:szCs w:val="15"/>
                <w:color w:val="auto"/>
              </w:rPr>
              <w:t>(512)</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14,053</w:t>
            </w: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14,053</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color w:val="auto"/>
              </w:rPr>
              <w:t>(3,976)</w:t>
            </w:r>
          </w:p>
        </w:tc>
        <w:tc>
          <w:tcPr>
            <w:tcW w:w="9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18</w:t>
            </w: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(3,976)</w:t>
            </w: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Issuance of common stock for stock options, restricted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99"/>
              </w:rPr>
              <w:t>awards and restricted stock units, 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(3,585)</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87</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(3,586)</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2019</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352,188</w:t>
            </w: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15,515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1,144,694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(610,994)</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12,218</w:t>
            </w: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12,218</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15,982</w:t>
            </w:r>
          </w:p>
        </w:tc>
        <w:tc>
          <w:tcPr>
            <w:tcW w:w="9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5"/>
                <w:szCs w:val="15"/>
                <w:color w:val="auto"/>
              </w:rPr>
              <w:t>15,982</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4"/>
              </w:rPr>
              <w:t>Issuance of common stock for stock options, restricted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w w:val="99"/>
              </w:rPr>
              <w:t>awards and restricted stock units, 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(6,501)</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89</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rPr>
              <w:t>(6,502)</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373,887</w:t>
            </w: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15,604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rPr>
              <w:t>1,154,174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(598,776)</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2,636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(181,667)</w:t>
            </w:r>
          </w:p>
        </w:tc>
        <w:tc>
          <w:tcPr>
            <w:tcW w:w="0" w:type="dxa"/>
            <w:vAlign w:val="bottom"/>
          </w:tcPr>
          <w:p>
            <w:pPr>
              <w:spacing w:after="0"/>
              <w:rPr>
                <w:sz w:val="1"/>
                <w:szCs w:val="1"/>
                <w:color w:val="auto"/>
              </w:rPr>
            </w:pPr>
          </w:p>
        </w:tc>
      </w:tr>
      <w:tr>
        <w:trPr>
          <w:trHeight w:val="208"/>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4,264</w:t>
            </w: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4,264</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10,797</w:t>
            </w:r>
          </w:p>
        </w:tc>
        <w:tc>
          <w:tcPr>
            <w:tcW w:w="9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5"/>
                <w:szCs w:val="15"/>
                <w:color w:val="auto"/>
              </w:rPr>
              <w:t>10,797</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(310)</w:t>
            </w: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62"/>
        </w:trPr>
        <w:tc>
          <w:tcPr>
            <w:tcW w:w="4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00" w:type="dxa"/>
            <w:vAlign w:val="bottom"/>
          </w:tcPr>
          <w:p>
            <w:pPr>
              <w:ind w:left="180"/>
              <w:spacing w:after="0"/>
              <w:rPr>
                <w:sz w:val="20"/>
                <w:szCs w:val="20"/>
                <w:color w:val="auto"/>
              </w:rPr>
            </w:pPr>
            <w:r>
              <w:rPr>
                <w:rFonts w:ascii="Arial" w:cs="Arial" w:eastAsia="Arial" w:hAnsi="Arial"/>
                <w:sz w:val="15"/>
                <w:szCs w:val="15"/>
                <w:color w:val="auto"/>
                <w:w w:val="94"/>
              </w:rPr>
              <w:t>Issuance of common stock for stock options, restricted stock</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180"/>
              <w:spacing w:after="0"/>
              <w:rPr>
                <w:sz w:val="20"/>
                <w:szCs w:val="20"/>
                <w:color w:val="auto"/>
              </w:rPr>
            </w:pPr>
            <w:r>
              <w:rPr>
                <w:rFonts w:ascii="Arial" w:cs="Arial" w:eastAsia="Arial" w:hAnsi="Arial"/>
                <w:sz w:val="15"/>
                <w:szCs w:val="15"/>
                <w:color w:val="auto"/>
                <w:w w:val="99"/>
              </w:rPr>
              <w:t>awards and restricted stock units, net of withholding taxes</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626</w:t>
            </w: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ind w:right="125"/>
              <w:spacing w:after="0"/>
              <w:rPr>
                <w:sz w:val="20"/>
                <w:szCs w:val="20"/>
                <w:color w:val="auto"/>
              </w:rPr>
            </w:pPr>
            <w:r>
              <w:rPr>
                <w:rFonts w:ascii="Arial" w:cs="Arial" w:eastAsia="Arial" w:hAnsi="Arial"/>
                <w:sz w:val="15"/>
                <w:szCs w:val="15"/>
                <w:color w:val="auto"/>
              </w:rPr>
              <w:t>626</w:t>
            </w:r>
          </w:p>
        </w:tc>
        <w:tc>
          <w:tcPr>
            <w:tcW w:w="16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Settlement of 0.625% Convertible Senior Notes</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(2)</w:t>
            </w:r>
          </w:p>
        </w:tc>
        <w:tc>
          <w:tcPr>
            <w:tcW w:w="94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65"/>
              <w:spacing w:after="0"/>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4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000" w:type="dxa"/>
            <w:vAlign w:val="bottom"/>
          </w:tcPr>
          <w:p>
            <w:pPr>
              <w:ind w:left="180"/>
              <w:spacing w:after="0"/>
              <w:rPr>
                <w:sz w:val="20"/>
                <w:szCs w:val="20"/>
                <w:color w:val="auto"/>
              </w:rPr>
            </w:pPr>
            <w:r>
              <w:rPr>
                <w:rFonts w:ascii="Arial" w:cs="Arial" w:eastAsia="Arial" w:hAnsi="Arial"/>
                <w:sz w:val="15"/>
                <w:szCs w:val="15"/>
                <w:color w:val="auto"/>
              </w:rPr>
              <w:t>Exercise of Convertible Note Hedge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2</w:t>
            </w:r>
          </w:p>
        </w:tc>
        <w:tc>
          <w:tcPr>
            <w:tcW w:w="940" w:type="dxa"/>
            <w:vAlign w:val="bottom"/>
            <w:vMerge w:val="restart"/>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960" w:type="dxa"/>
            <w:vAlign w:val="bottom"/>
            <w:vMerge w:val="restart"/>
          </w:tcPr>
          <w:p>
            <w:pPr>
              <w:jc w:val="right"/>
              <w:ind w:right="125"/>
              <w:spacing w:after="0"/>
              <w:rPr>
                <w:sz w:val="20"/>
                <w:szCs w:val="20"/>
                <w:color w:val="auto"/>
              </w:rPr>
            </w:pP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11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2019</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389,264</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15,635</w:t>
            </w:r>
          </w:p>
        </w:tc>
        <w:tc>
          <w:tcPr>
            <w:tcW w:w="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156</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rPr>
              <w:t>1,165,597</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(594,512)</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2,637</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(181,977)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8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225"/>
              <w:spacing w:after="0" w:line="139" w:lineRule="exact"/>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jc w:val="right"/>
              <w:ind w:right="144"/>
              <w:spacing w:after="0" w:line="158"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3"/>
                <w:szCs w:val="13"/>
                <w:color w:val="auto"/>
              </w:rPr>
            </w:pPr>
          </w:p>
        </w:tc>
        <w:tc>
          <w:tcPr>
            <w:tcW w:w="7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000" w:type="dxa"/>
            <w:vAlign w:val="bottom"/>
          </w:tcPr>
          <w:p>
            <w:pPr>
              <w:jc w:val="right"/>
              <w:ind w:right="325"/>
              <w:spacing w:after="0" w:line="158"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3"/>
                <w:szCs w:val="13"/>
                <w:color w:val="auto"/>
              </w:rPr>
            </w:pPr>
          </w:p>
        </w:tc>
        <w:tc>
          <w:tcPr>
            <w:tcW w:w="1200" w:type="dxa"/>
            <w:vAlign w:val="bottom"/>
          </w:tcPr>
          <w:p>
            <w:pPr>
              <w:jc w:val="right"/>
              <w:ind w:right="244"/>
              <w:spacing w:after="0" w:line="158" w:lineRule="exact"/>
              <w:rPr>
                <w:sz w:val="20"/>
                <w:szCs w:val="20"/>
                <w:color w:val="auto"/>
              </w:rPr>
            </w:pPr>
            <w:r>
              <w:rPr>
                <w:rFonts w:ascii="Arial" w:cs="Arial" w:eastAsia="Arial" w:hAnsi="Arial"/>
                <w:sz w:val="14"/>
                <w:szCs w:val="14"/>
                <w:b w:val="1"/>
                <w:bCs w:val="1"/>
                <w:color w:val="auto"/>
                <w:w w:val="97"/>
              </w:rPr>
              <w:t>Accumulated</w:t>
            </w:r>
          </w:p>
        </w:tc>
        <w:tc>
          <w:tcPr>
            <w:tcW w:w="920" w:type="dxa"/>
            <w:vAlign w:val="bottom"/>
          </w:tcPr>
          <w:p>
            <w:pPr>
              <w:jc w:val="right"/>
              <w:ind w:right="144"/>
              <w:spacing w:after="0" w:line="158" w:lineRule="exact"/>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3"/>
                <w:szCs w:val="13"/>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000" w:type="dxa"/>
            <w:vAlign w:val="bottom"/>
          </w:tcPr>
          <w:p>
            <w:pPr>
              <w:jc w:val="right"/>
              <w:ind w:right="85"/>
              <w:spacing w:after="0"/>
              <w:rPr>
                <w:sz w:val="20"/>
                <w:szCs w:val="20"/>
                <w:color w:val="auto"/>
              </w:rPr>
            </w:pPr>
            <w:r>
              <w:rPr>
                <w:rFonts w:ascii="Arial" w:cs="Arial" w:eastAsia="Arial" w:hAnsi="Arial"/>
                <w:sz w:val="13"/>
                <w:szCs w:val="13"/>
                <w:b w:val="1"/>
                <w:bCs w:val="1"/>
                <w:color w:val="auto"/>
                <w:w w:val="88"/>
              </w:rPr>
              <w:t>Noncontrolling</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of Shares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Deficit</w:t>
            </w:r>
          </w:p>
        </w:tc>
        <w:tc>
          <w:tcPr>
            <w:tcW w:w="9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of Shares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(in thousands)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2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294,874</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14,218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142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rPr>
              <w:t>1,087,582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(708,354)</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2,239</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(85,085)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589</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31,524</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31,524</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11,109</w:t>
            </w:r>
          </w:p>
        </w:tc>
        <w:tc>
          <w:tcPr>
            <w:tcW w:w="9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11,109</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(11,000)</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30</w:t>
            </w: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(11,000)</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2,057</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473</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2,052</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Cumulative effect adjustment due to</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ASU 2014-09</w:t>
            </w:r>
          </w:p>
        </w:tc>
        <w:tc>
          <w:tcPr>
            <w:tcW w:w="220" w:type="dxa"/>
            <w:vAlign w:val="bottom"/>
          </w:tcPr>
          <w:p>
            <w:pPr>
              <w:spacing w:after="0"/>
              <w:rPr>
                <w:sz w:val="17"/>
                <w:szCs w:val="17"/>
                <w:color w:val="auto"/>
              </w:rPr>
            </w:pPr>
          </w:p>
        </w:tc>
        <w:tc>
          <w:tcPr>
            <w:tcW w:w="840" w:type="dxa"/>
            <w:vAlign w:val="bottom"/>
          </w:tcPr>
          <w:p>
            <w:pPr>
              <w:jc w:val="right"/>
              <w:ind w:right="164"/>
              <w:spacing w:after="0"/>
              <w:rPr>
                <w:sz w:val="20"/>
                <w:szCs w:val="20"/>
                <w:color w:val="auto"/>
              </w:rPr>
            </w:pPr>
            <w:r>
              <w:rPr>
                <w:rFonts w:ascii="Arial" w:cs="Arial" w:eastAsia="Arial" w:hAnsi="Arial"/>
                <w:sz w:val="15"/>
                <w:szCs w:val="15"/>
                <w:color w:val="auto"/>
              </w:rPr>
              <w:t>1,373</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1,373</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(34)</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75"/>
        </w:trPr>
        <w:tc>
          <w:tcPr>
            <w:tcW w:w="2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March 31, 2018</w:t>
            </w: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329,903</w:t>
            </w:r>
          </w:p>
        </w:tc>
        <w:tc>
          <w:tcPr>
            <w:tcW w:w="9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14,691</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1,100,743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(675,457)</w:t>
            </w:r>
          </w:p>
        </w:tc>
        <w:tc>
          <w:tcPr>
            <w:tcW w:w="9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2,269</w:t>
            </w:r>
          </w:p>
        </w:tc>
        <w:tc>
          <w:tcPr>
            <w:tcW w:w="2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(96,085)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555</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42,547</w:t>
            </w:r>
          </w:p>
        </w:tc>
        <w:tc>
          <w:tcPr>
            <w:tcW w:w="9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42,547</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11,178</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11,178</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(35,003)</w:t>
            </w:r>
          </w:p>
        </w:tc>
        <w:tc>
          <w:tcPr>
            <w:tcW w:w="9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127</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(35,003)</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(1,225)</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447</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7"/>
                <w:szCs w:val="17"/>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(1,229)</w:t>
            </w:r>
          </w:p>
        </w:tc>
        <w:tc>
          <w:tcPr>
            <w:tcW w:w="140" w:type="dxa"/>
            <w:vAlign w:val="bottom"/>
          </w:tcPr>
          <w:p>
            <w:pPr>
              <w:spacing w:after="0"/>
              <w:rPr>
                <w:sz w:val="17"/>
                <w:szCs w:val="17"/>
                <w:color w:val="auto"/>
              </w:rPr>
            </w:pP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Issuance of 0.625% Convertible Senior</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net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32</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58"/>
        </w:trPr>
        <w:tc>
          <w:tcPr>
            <w:tcW w:w="2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b w:val="1"/>
                <w:bCs w:val="1"/>
                <w:color w:val="auto"/>
              </w:rPr>
              <w:t>347,428</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151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b w:val="1"/>
                <w:bCs w:val="1"/>
                <w:color w:val="auto"/>
              </w:rPr>
              <w:t>1,110,688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(632,910)</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2,396</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(131,088)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rPr>
              <w:t>587</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w w:val="96"/>
              </w:rPr>
              <w:t>Net income and comprehensive income</w:t>
            </w:r>
          </w:p>
        </w:tc>
        <w:tc>
          <w:tcPr>
            <w:tcW w:w="220" w:type="dxa"/>
            <w:vAlign w:val="bottom"/>
          </w:tcPr>
          <w:p>
            <w:pPr>
              <w:spacing w:after="0"/>
              <w:rPr>
                <w:sz w:val="18"/>
                <w:szCs w:val="18"/>
                <w:color w:val="auto"/>
              </w:rPr>
            </w:pPr>
          </w:p>
        </w:tc>
        <w:tc>
          <w:tcPr>
            <w:tcW w:w="840" w:type="dxa"/>
            <w:vAlign w:val="bottom"/>
            <w:vMerge w:val="restart"/>
          </w:tcPr>
          <w:p>
            <w:pPr>
              <w:jc w:val="right"/>
              <w:ind w:right="164"/>
              <w:spacing w:after="0"/>
              <w:rPr>
                <w:sz w:val="20"/>
                <w:szCs w:val="20"/>
                <w:color w:val="auto"/>
              </w:rPr>
            </w:pPr>
            <w:r>
              <w:rPr>
                <w:rFonts w:ascii="Arial" w:cs="Arial" w:eastAsia="Arial" w:hAnsi="Arial"/>
                <w:sz w:val="15"/>
                <w:szCs w:val="15"/>
                <w:color w:val="auto"/>
              </w:rPr>
              <w:t>25,728</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25,728</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12,097</w:t>
            </w:r>
          </w:p>
        </w:tc>
        <w:tc>
          <w:tcPr>
            <w:tcW w:w="9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rPr>
              <w:t>12,097</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8"/>
                <w:szCs w:val="18"/>
                <w:color w:val="auto"/>
              </w:rPr>
            </w:pPr>
          </w:p>
        </w:tc>
        <w:tc>
          <w:tcPr>
            <w:tcW w:w="840" w:type="dxa"/>
            <w:vAlign w:val="bottom"/>
            <w:vMerge w:val="restart"/>
          </w:tcPr>
          <w:p>
            <w:pPr>
              <w:jc w:val="right"/>
              <w:ind w:right="104"/>
              <w:spacing w:after="0"/>
              <w:rPr>
                <w:sz w:val="20"/>
                <w:szCs w:val="20"/>
                <w:color w:val="auto"/>
              </w:rPr>
            </w:pPr>
            <w:r>
              <w:rPr>
                <w:rFonts w:ascii="Arial" w:cs="Arial" w:eastAsia="Arial" w:hAnsi="Arial"/>
                <w:sz w:val="15"/>
                <w:szCs w:val="15"/>
                <w:color w:val="auto"/>
              </w:rPr>
              <w:t>(11,180)</w:t>
            </w:r>
          </w:p>
        </w:tc>
        <w:tc>
          <w:tcPr>
            <w:tcW w:w="94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0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000" w:type="dxa"/>
            <w:vAlign w:val="bottom"/>
            <w:vMerge w:val="restart"/>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1200" w:type="dxa"/>
            <w:vAlign w:val="bottom"/>
            <w:vMerge w:val="restart"/>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color w:val="auto"/>
              </w:rPr>
              <w:t>48</w:t>
            </w:r>
          </w:p>
        </w:tc>
        <w:tc>
          <w:tcPr>
            <w:tcW w:w="2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(11,180)</w:t>
            </w:r>
          </w:p>
        </w:tc>
        <w:tc>
          <w:tcPr>
            <w:tcW w:w="120" w:type="dxa"/>
            <w:vAlign w:val="bottom"/>
          </w:tcPr>
          <w:p>
            <w:pPr>
              <w:spacing w:after="0"/>
              <w:rPr>
                <w:sz w:val="18"/>
                <w:szCs w:val="18"/>
                <w:color w:val="auto"/>
              </w:rPr>
            </w:pPr>
          </w:p>
        </w:tc>
        <w:tc>
          <w:tcPr>
            <w:tcW w:w="1000" w:type="dxa"/>
            <w:vAlign w:val="bottom"/>
            <w:vMerge w:val="restart"/>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Issuance of common stock for stock</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options, restricted stock awards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restricted stock units, net of withholding</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taxes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2,404</w:t>
            </w:r>
          </w:p>
        </w:tc>
        <w:tc>
          <w:tcPr>
            <w:tcW w:w="9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252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rPr>
              <w:t>2,401</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5"/>
                <w:szCs w:val="15"/>
                <w:color w:val="auto"/>
                <w:w w:val="97"/>
              </w:rPr>
              <w:t>Issuance of 0.625% Convertible Senior</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5"/>
                <w:szCs w:val="15"/>
                <w:color w:val="auto"/>
              </w:rPr>
              <w:t>Notes, net</w:t>
            </w:r>
          </w:p>
        </w:tc>
        <w:tc>
          <w:tcPr>
            <w:tcW w:w="22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00" w:type="dxa"/>
            <w:vAlign w:val="bottom"/>
          </w:tcPr>
          <w:p>
            <w:pPr>
              <w:jc w:val="right"/>
              <w:ind w:right="105"/>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20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5"/>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rPr>
              <w:t>(10)</w:t>
            </w:r>
          </w:p>
        </w:tc>
        <w:tc>
          <w:tcPr>
            <w:tcW w:w="9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5"/>
        </w:trPr>
        <w:tc>
          <w:tcPr>
            <w:tcW w:w="2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Balance as of September 30, 2018</w:t>
            </w: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376,466</w:t>
            </w:r>
          </w:p>
        </w:tc>
        <w:tc>
          <w:tcPr>
            <w:tcW w:w="9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15,390</w:t>
            </w:r>
          </w:p>
        </w:tc>
        <w:tc>
          <w:tcPr>
            <w:tcW w:w="240" w:type="dxa"/>
            <w:vAlign w:val="bottom"/>
            <w:tcBorders>
              <w:top w:val="single" w:sz="8" w:color="auto"/>
              <w:bottom w:val="single" w:sz="8" w:color="auto"/>
            </w:tcBorders>
          </w:tcPr>
          <w:p>
            <w:pPr>
              <w:spacing w:after="0"/>
              <w:rPr>
                <w:sz w:val="23"/>
                <w:szCs w:val="23"/>
                <w:color w:val="auto"/>
              </w:rPr>
            </w:pP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154</w:t>
            </w:r>
          </w:p>
        </w:tc>
        <w:tc>
          <w:tcPr>
            <w:tcW w:w="26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1,125,185</w:t>
            </w:r>
          </w:p>
        </w:tc>
        <w:tc>
          <w:tcPr>
            <w:tcW w:w="1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(607,182)</w:t>
            </w:r>
          </w:p>
        </w:tc>
        <w:tc>
          <w:tcPr>
            <w:tcW w:w="9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2,444</w:t>
            </w:r>
          </w:p>
        </w:tc>
        <w:tc>
          <w:tcPr>
            <w:tcW w:w="260" w:type="dxa"/>
            <w:vAlign w:val="bottom"/>
            <w:tcBorders>
              <w:top w:val="single" w:sz="8" w:color="auto"/>
              <w:bottom w:val="single" w:sz="8" w:color="auto"/>
            </w:tcBorders>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(142,268)</w:t>
            </w:r>
          </w:p>
        </w:tc>
        <w:tc>
          <w:tcPr>
            <w:tcW w:w="12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577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Net income and comprehensive income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b w:val="1"/>
                <w:bCs w:val="1"/>
                <w:color w:val="auto"/>
              </w:rPr>
              <w:t>15,970</w:t>
            </w:r>
          </w:p>
        </w:tc>
        <w:tc>
          <w:tcPr>
            <w:tcW w:w="56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99,799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Loss from discontinued operations,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22,024</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9,269</w:t>
            </w:r>
          </w:p>
        </w:tc>
      </w:tr>
      <w:tr>
        <w:trPr>
          <w:trHeight w:val="237"/>
        </w:trPr>
        <w:tc>
          <w:tcPr>
            <w:tcW w:w="8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37,994</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109,068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income from continuing operations to net cash provided by operating</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 attributable to continuing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loss on impairments and disposal of assets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(1,119)</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41,485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7,737</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5,199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amortization of intangibles and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40,832</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34,384</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21,221</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1,463</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1,308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convertible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8,959</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ROU asset amortization, offset by change in operating lease liabilities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302</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(50,030)</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(23,387)</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11,047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4,513</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provided by operating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110,880</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60,227</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attributable to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(15,151)</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(10,640)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24,060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ValuePenguin, net of cash acquired</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(105,578)</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QuoteWizard,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Student Loan Hero, net of cash acquired</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(57,448)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Ovation,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 of SnapCap</w:t>
            </w:r>
          </w:p>
        </w:tc>
        <w:tc>
          <w:tcPr>
            <w:tcW w:w="30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(96,187)</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(79,793)</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attributable to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2"/>
              </w:rPr>
              <w:t>Payments related to net-share settlement of stock-based compensation, net of proceeds from exercise of stock</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(9,459)</w:t>
            </w:r>
          </w:p>
        </w:tc>
        <w:tc>
          <w:tcPr>
            <w:tcW w:w="5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payments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repayment of revolving credit facility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(40,000)</w:t>
            </w:r>
          </w:p>
        </w:tc>
        <w:tc>
          <w:tcPr>
            <w:tcW w:w="5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(57,018)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 attributable to continuing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(56,779)</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(80,482)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cash used in continuing operations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(42,086)</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(100,048)</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cash used in operating activities attributable to discontinued operations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(12,316)</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(7,352)</w:t>
            </w:r>
          </w:p>
        </w:tc>
      </w:tr>
      <w:tr>
        <w:trPr>
          <w:trHeight w:val="27"/>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cash used in discontinued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(12,316)</w:t>
            </w: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(7,352)</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decrease in cash, cash equivalents, restricted cash and restricted cash equivalents</w:t>
            </w: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(54,402)</w:t>
            </w: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(107,400)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105,158</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372,641</w:t>
            </w:r>
          </w:p>
        </w:tc>
      </w:tr>
      <w:tr>
        <w:trPr>
          <w:trHeight w:val="237"/>
        </w:trPr>
        <w:tc>
          <w:tcPr>
            <w:tcW w:w="8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50,756</w:t>
            </w:r>
          </w:p>
        </w:tc>
        <w:tc>
          <w:tcPr>
            <w:tcW w:w="5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265,241</w:t>
            </w:r>
          </w:p>
        </w:tc>
      </w:tr>
      <w:tr>
        <w:trPr>
          <w:trHeight w:val="34"/>
        </w:trPr>
        <w:tc>
          <w:tcPr>
            <w:tcW w:w="8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Non-cash investing activities:</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additions from tenant improvement allowance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1,490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557"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LendingTree, LLC and several companies owned by LendingTree, LLC (collectively, "LendingTree" or the "Company").</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accompanying unaudited interim consolidated financial statements as of September 30, 2019 and for the three and nine months ended September 30, 2019 and 2018,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2019 are not necessarily indicative of the results to be expected for the year ending December 31, 2019, or any other period. The accompanying consolidated balance sheet as of December 31, 2018 was derived from audited financial statements included in the Company's annual report on Form 10-K for the year ended December 31, 2018 (the "2018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2018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loan loss obligations; the recoverability of long-lived assets, goodwill and intangible assets; the determination of income taxes payable and deferred income taxes, including related valuation allowances; fair value of assets acquired in a business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combination; contingent consideration related to business combinations; litigation accruals; HLC ownership related claims; contract assets; various other allowances, reserves and accruals; and assumptions related to the determination of stock-based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instruments, which potentially subject the Company to concentration of credit risk at September 30, 2019,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generally requires certain Network Partners to maintain security deposits with the Company, which in the event of non-payment, would be applied against any accounts receivable outstanding.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annual and interim reporting periods beginning after December 15, 2019. Early adoption is permitted, including adoption in any interim period. The amendments should be applied either retrospectively or prospectively to all implementation costs incurred after the date of adoption. The Company is evaluating the impact this ASU will have on its consolidated financial statements and will adopt ASU 2018-15 in the first quarter of 2020 using the prospective approach.</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2018, the FASB issued ASU 2018-13, which removes, modifies and adds certain disclosure requirements in Accounting Standards Codification ("ASC") Topic 820, Fair Value Measurement. This ASU is effective for annual and interim reporting periods beginning after December 15, 2019, with early adoption permitted. Entities are permitted to adopt any removed or modified disclosures and delay adoption of the additional disclosures until the effective date of the ASU. Certain amendments must be applied prospectively while others are to be applied on a retrospective basis to all periods presented. The Company is evaluating the impact this ASU will have on its consolidated financial statements and will adopt ASU 2018-13 in the first quarter of 2020.</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2017-04, which eliminates the requirement to calculate the implied fair value of goodwill to measure a goodwill impairment charge (Step 2 of the goodwill impairment test). Instead, an impairment charge will be based on the excess of the carrying amount over the fair value. This ASU is effective for annual and interim impairment tests performed in periods beginning after December 15, 2019. Early adoption is permitted for annual and interim goodwill impairment testing dates after January 1, 2017. The Company is evaluating the impact this ASU will have on its consolidated financial statements and plans to adopt ASU 2017-04 in the first quarter of 2020.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ASU 2016-13, which requires entities to measure expected credit losses for financial assets held at the reporting date based on historical experience, current conditions, and reasonable and supportable forecasts. This ASU introduces ASC Topic 326, Financial Instruments— Credit Losses, which replaces the existing incurred loss model and is applicable to financial assets measured at amortized cost, including trade receivables and certain other financial assets that have the contractual right to receive cash. This ASU is effective for annual and interim reporting periods beginning after December 15, 2019. Early adoption is permitted beginning after December 15, 2018, including adoption in interim periods. The guidance must be adopted using a modified retrospective transition. The Company is evaluating the impact this ASU will have on its consolidated financial statements and will adopt ASU 2016-13 in the first quarter of 2020.</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February 2016, the FASB issued ASU 2016-02 related to lease accounting guidance. This ASU introduces ASC Topic 842, Leases, which supersedes ASC Topic 840, Leases. In 2018 and 2019, the FASB issued final amendments clarifying certain narrow aspects of implementing ASU 2016-02, including clarifications related to the rate implicit in the lease, lessee reassessment of lease classification, lessor reassessment of lease term and purchase options, variable payments that depend on an index or rate, transition disclosures and certain other transition matters. The clarification ASUs also provided an optional transition method that allows entities to initially apply the lease accounting transition requirements at the adoption date and recognize a cumulative effect adjustment to the opening balance of retained earnings in the period of adoption without restating comparative prior periods presented. The clarification ASUs must be adopted concurrently with the adoption of ASU 2016-02 (collectively, "ASC Topic 842").</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adopted ASC Topic 842 as of January 1, 2019 using the optional transition method to apply the new requirements at the adoption date without restating comparative prior periods presented. The adoption resulted in the increase in total assets and total liabilities of $8.8 million as of January 1, 2019 related to operating leases greater than one year in duration for which the Company is the lessee, with no cumulative effect adjustment to the opening balance of accumulated deficit. As part of the transition, the Company has elected the package of practical expedients, which allows the Company to not reassess whether expired or existing contracts contain leases, lease classification for expired or existing leases, and initial direct costs for existing leases. Additionally, the Company has elected an accounting policy to not record short-term leases, which are leases with an initial term of twelve months or fewer, on the balance sheet.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8"/>
                <w:szCs w:val="18"/>
                <w:color w:val="auto"/>
              </w:rPr>
            </w:pPr>
          </w:p>
        </w:tc>
        <w:tc>
          <w:tcPr>
            <w:tcW w:w="720" w:type="dxa"/>
            <w:vAlign w:val="bottom"/>
          </w:tcPr>
          <w:p>
            <w:pPr>
              <w:jc w:val="right"/>
              <w:ind w:right="33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53"/>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Mortgage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62,004</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162,606</w:t>
            </w:r>
          </w:p>
        </w:tc>
        <w:tc>
          <w:tcPr>
            <w:tcW w:w="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195,697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Non-mortgage products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Credit cards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54,822</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165,373</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127,577</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Personal loans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43,873</w:t>
            </w:r>
          </w:p>
        </w:tc>
        <w:tc>
          <w:tcPr>
            <w:tcW w:w="5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38,569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117,513</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100,744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74,849</w:t>
            </w:r>
          </w:p>
        </w:tc>
        <w:tc>
          <w:tcPr>
            <w:tcW w:w="5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213,882</w:t>
            </w: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75,057</w:t>
            </w:r>
          </w:p>
        </w:tc>
        <w:tc>
          <w:tcPr>
            <w:tcW w:w="5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60,489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192,042</w:t>
            </w:r>
          </w:p>
        </w:tc>
        <w:tc>
          <w:tcPr>
            <w:tcW w:w="5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138,135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non-mortgage products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248,601</w:t>
            </w:r>
          </w:p>
        </w:tc>
        <w:tc>
          <w:tcPr>
            <w:tcW w:w="5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141,770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688,810</w:t>
            </w:r>
          </w:p>
        </w:tc>
        <w:tc>
          <w:tcPr>
            <w:tcW w:w="5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366,496</w:t>
            </w:r>
          </w:p>
        </w:tc>
        <w:tc>
          <w:tcPr>
            <w:tcW w:w="0" w:type="dxa"/>
            <w:vAlign w:val="bottom"/>
          </w:tcPr>
          <w:p>
            <w:pPr>
              <w:spacing w:after="0"/>
              <w:rPr>
                <w:sz w:val="1"/>
                <w:szCs w:val="1"/>
                <w:color w:val="auto"/>
              </w:rPr>
            </w:pPr>
          </w:p>
        </w:tc>
      </w:tr>
      <w:tr>
        <w:trPr>
          <w:trHeight w:val="237"/>
        </w:trPr>
        <w:tc>
          <w:tcPr>
            <w:tcW w:w="652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310,605</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197,057</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851,416</w:t>
            </w:r>
          </w:p>
        </w:tc>
        <w:tc>
          <w:tcPr>
            <w:tcW w:w="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2"/>
              </w:rPr>
              <w:t>562,193</w:t>
            </w:r>
          </w:p>
        </w:tc>
        <w:tc>
          <w:tcPr>
            <w:tcW w:w="0" w:type="dxa"/>
            <w:vAlign w:val="bottom"/>
          </w:tcPr>
          <w:p>
            <w:pPr>
              <w:spacing w:after="0"/>
              <w:rPr>
                <w:sz w:val="1"/>
                <w:szCs w:val="1"/>
                <w:color w:val="auto"/>
              </w:rPr>
            </w:pPr>
          </w:p>
        </w:tc>
      </w:tr>
      <w:tr>
        <w:trPr>
          <w:trHeight w:val="34"/>
        </w:trPr>
        <w:tc>
          <w:tcPr>
            <w:tcW w:w="6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within the mortgage product category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remain. The Company's contractual right to the match fee consideration is contemporaneous with the satisfaction of the performance obligation to deliver a loan request to the customer.</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match and other upfront fees, revenue within the non-mortgage product category is also generated from closing fees and approval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business is primarily generated from match fees,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fees and subscription fees are derived from consumers in the Company's credit services business. Upfront fees paid by consumers are recognized as revenue over the estimated time the consumer will remain a customer and receive services. Subscription fees are recognized over the period a consumer is receiving services.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$5.9 million and $4.8 million on September 30, 2019 and December 31, 2018, respectively.</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contract liability recorded within accrued expenses and other current liabilities on the consolidated balance sheets related to upfront fees paid by consumers in the Company's credit services business was $0.7 million and $0.4 million at September 30, 2019 and December 31, 2018, respectively. During the first nine months of 2019, the Company recognized revenue of $0.4 million that was included in the contract liability balance at December 31, 2018.</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an increase to such revenue from prior periods of $0.9 million in the third quarter of 2019 and a decrease to such revenue from prior periods of $0.1 million in the third quarter of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50,497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105,102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6"/>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50,756</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105,158</w:t>
            </w:r>
          </w:p>
        </w:tc>
      </w:tr>
      <w:tr>
        <w:trPr>
          <w:trHeight w:val="675"/>
        </w:trPr>
        <w:tc>
          <w:tcPr>
            <w:tcW w:w="8340" w:type="dxa"/>
            <w:vAlign w:val="bottom"/>
            <w:tcBorders>
              <w:top w:val="single" w:sz="8" w:color="auto"/>
            </w:tcBorders>
          </w:tcPr>
          <w:p>
            <w:pPr>
              <w:jc w:val="right"/>
              <w:ind w:right="245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5—GOODWILL AND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balance of goodwill,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36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3"/>
              </w:rPr>
              <w:t>Net Goodwill</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Impairment Loss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831,435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348,347</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Ovation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QuoteWizard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Acquisition of ValuePenguin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71,430</w:t>
            </w: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71,430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903,023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(483,088)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419,935</w:t>
            </w:r>
          </w:p>
        </w:tc>
        <w:tc>
          <w:tcPr>
            <w:tcW w:w="0" w:type="dxa"/>
            <w:vAlign w:val="bottom"/>
          </w:tcPr>
          <w:p>
            <w:pPr>
              <w:spacing w:after="0"/>
              <w:rPr>
                <w:sz w:val="1"/>
                <w:szCs w:val="1"/>
                <w:color w:val="auto"/>
              </w:rPr>
            </w:pPr>
          </w:p>
        </w:tc>
      </w:tr>
      <w:tr>
        <w:trPr>
          <w:trHeight w:val="594"/>
        </w:trPr>
        <w:tc>
          <w:tcPr>
            <w:tcW w:w="68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 xml:space="preserve">The balance of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10,142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jc w:val="right"/>
              <w:ind w:right="56"/>
              <w:spacing w:after="0"/>
              <w:rPr>
                <w:sz w:val="20"/>
                <w:szCs w:val="20"/>
                <w:color w:val="auto"/>
              </w:rPr>
            </w:pPr>
            <w:r>
              <w:rPr>
                <w:rFonts w:ascii="Arial" w:cs="Arial" w:eastAsia="Arial" w:hAnsi="Arial"/>
                <w:sz w:val="18"/>
                <w:szCs w:val="18"/>
                <w:color w:val="auto"/>
              </w:rPr>
              <w:t>185,195</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195,557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195,337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205,699</w:t>
            </w:r>
          </w:p>
        </w:tc>
        <w:tc>
          <w:tcPr>
            <w:tcW w:w="0" w:type="dxa"/>
            <w:vAlign w:val="bottom"/>
          </w:tcPr>
          <w:p>
            <w:pPr>
              <w:spacing w:after="0"/>
              <w:rPr>
                <w:sz w:val="1"/>
                <w:szCs w:val="1"/>
                <w:color w:val="auto"/>
              </w:rPr>
            </w:pPr>
          </w:p>
        </w:tc>
      </w:tr>
      <w:tr>
        <w:trPr>
          <w:trHeight w:val="27"/>
        </w:trPr>
        <w:tc>
          <w:tcPr>
            <w:tcW w:w="6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goodwill is associated with its one reportable segment. Intangible assets with indefinite lives relate to the Company's trademarks.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300" w:type="dxa"/>
            <w:vAlign w:val="bottom"/>
          </w:tcPr>
          <w:p>
            <w:pPr>
              <w:jc w:val="right"/>
              <w:ind w:right="29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116,600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(42,244)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79,200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(12,825)</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66,375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(6,364)</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11,678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2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51,000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(18,217)</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32,783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31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265,003</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(79,808)</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185,195</w:t>
            </w: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24"/>
                <w:szCs w:val="24"/>
                <w:color w:val="auto"/>
              </w:rPr>
            </w:pPr>
          </w:p>
        </w:tc>
        <w:tc>
          <w:tcPr>
            <w:tcW w:w="11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Amortization</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3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112,400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(21,022)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91,378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80,200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(7,746)</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2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16,742</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(3,730)</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13,012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Website content</w:t>
            </w:r>
          </w:p>
        </w:tc>
        <w:tc>
          <w:tcPr>
            <w:tcW w:w="2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24,900</w:t>
            </w:r>
          </w:p>
        </w:tc>
        <w:tc>
          <w:tcPr>
            <w:tcW w:w="3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(6,192)</w:t>
            </w:r>
          </w:p>
        </w:tc>
        <w:tc>
          <w:tcPr>
            <w:tcW w:w="4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18,708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31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234,498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(38,941)</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195,557</w:t>
            </w:r>
          </w:p>
        </w:tc>
        <w:tc>
          <w:tcPr>
            <w:tcW w:w="0" w:type="dxa"/>
            <w:vAlign w:val="bottom"/>
          </w:tcPr>
          <w:p>
            <w:pPr>
              <w:spacing w:after="0"/>
              <w:rPr>
                <w:sz w:val="1"/>
                <w:szCs w:val="1"/>
                <w:color w:val="auto"/>
              </w:rPr>
            </w:pPr>
          </w:p>
        </w:tc>
      </w:tr>
      <w:tr>
        <w:trPr>
          <w:trHeight w:val="34"/>
        </w:trPr>
        <w:tc>
          <w:tcPr>
            <w:tcW w:w="40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75"/>
        </w:trPr>
        <w:tc>
          <w:tcPr>
            <w:tcW w:w="4000" w:type="dxa"/>
            <w:vAlign w:val="bottom"/>
          </w:tcPr>
          <w:p>
            <w:pPr>
              <w:spacing w:after="0"/>
              <w:rPr>
                <w:sz w:val="24"/>
                <w:szCs w:val="24"/>
                <w:color w:val="auto"/>
              </w:rPr>
            </w:pPr>
          </w:p>
        </w:tc>
        <w:tc>
          <w:tcPr>
            <w:tcW w:w="2740" w:type="dxa"/>
            <w:vAlign w:val="bottom"/>
          </w:tcPr>
          <w:p>
            <w:pPr>
              <w:jc w:val="right"/>
              <w:ind w:right="85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6—Assets Held for Sale for tenant leases classified as held for sale during 2018, which were sold to an unrelated third party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2019.</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September 30, 2019,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 Expense</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53,078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42,738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Year ending December 31, 2022</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25,256</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41,764</w:t>
            </w:r>
          </w:p>
        </w:tc>
      </w:tr>
      <w:tr>
        <w:trPr>
          <w:trHeight w:val="27"/>
        </w:trPr>
        <w:tc>
          <w:tcPr>
            <w:tcW w:w="9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185,195</w:t>
            </w:r>
          </w:p>
        </w:tc>
      </w:tr>
      <w:tr>
        <w:trPr>
          <w:trHeight w:val="27"/>
        </w:trPr>
        <w:tc>
          <w:tcPr>
            <w:tcW w:w="99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6—ASSETS HELD FOR SALE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2016, the Company acquired two office buildings in Charlotte, North Carolina for $23.5 million in cash, which included $0.1 million in acquisition-related costs which were capitalized. The buildings were acquired with the intent to use such buildings as the Company's corporate headquarters and rent any unused space.</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November 2018, the Company's Board of Directors approved a plan to sell the two office buildings. The properties were classified as current assets held for sale in the consolidated balance sheet for December 31, 2018. In February 2019, the Company agreed to sell these buildings to an unrelated third party, which agreement was amended in March 2019. The sale was finalized in the second quarter of 2019 for a sale price of $24.4 million, and the Company incurred closing fees of $0.3 million. The Company recognized a gain of $2.7 million on the sale within general and administrative expense in the consolidated statement of operations and comprehensive income. The properties were associated with the Company's one reportable segment.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Property and equipment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Building</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14,984</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Computer equipment and capitalized software</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166</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property and equipment</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22,063</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property and equipment,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20,785</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78"/>
        </w:trPr>
        <w:tc>
          <w:tcPr>
            <w:tcW w:w="9720" w:type="dxa"/>
            <w:vAlign w:val="bottom"/>
          </w:tcPr>
          <w:p>
            <w:pPr>
              <w:ind w:left="340"/>
              <w:spacing w:after="0"/>
              <w:rPr>
                <w:sz w:val="20"/>
                <w:szCs w:val="20"/>
                <w:color w:val="auto"/>
              </w:rPr>
            </w:pPr>
            <w:r>
              <w:rPr>
                <w:rFonts w:ascii="Arial" w:cs="Arial" w:eastAsia="Arial" w:hAnsi="Arial"/>
                <w:sz w:val="18"/>
                <w:szCs w:val="18"/>
                <w:color w:val="auto"/>
              </w:rPr>
              <w:t xml:space="preserve">Intangible assets classified as held for sale at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07"/>
        </w:trPr>
        <w:tc>
          <w:tcPr>
            <w:tcW w:w="97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gross intangible assets</w:t>
            </w: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961</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5"/>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7"/>
        </w:trPr>
        <w:tc>
          <w:tcPr>
            <w:tcW w:w="97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493</w:t>
            </w:r>
          </w:p>
        </w:tc>
      </w:tr>
      <w:tr>
        <w:trPr>
          <w:trHeight w:val="34"/>
        </w:trPr>
        <w:tc>
          <w:tcPr>
            <w:tcW w:w="9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2019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ValuePenguin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the Company acquired Value Holding, Inc., the parent company of ValuePenguin Inc. ("ValuePenguin"), a personal finance website that offers consumers objective analysis on a variety of financial topics from insurance to credit cards. The Company made an upfront cash payment of $106.1 million at the closing of the transaction, funded through $90.0 million drawn on the Company's Revolving Credit Facility and the balance using cash on hand. The purchase price of $106.2 million is comprised of the upfront cash payment of $106.1 million and a $0.1 million post-closing payment for working capital settlement.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has been accounted for as a business combination. The preliminary allocation of purchase price to the assets acquired and liabilities assumed is as follows (in thousands):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right"/>
              <w:ind w:right="251"/>
              <w:spacing w:after="0"/>
              <w:rPr>
                <w:sz w:val="20"/>
                <w:szCs w:val="20"/>
                <w:color w:val="auto"/>
              </w:rPr>
            </w:pPr>
            <w:r>
              <w:rPr>
                <w:rFonts w:ascii="Arial" w:cs="Arial" w:eastAsia="Arial" w:hAnsi="Arial"/>
                <w:sz w:val="16"/>
                <w:szCs w:val="16"/>
                <w:b w:val="1"/>
                <w:bCs w:val="1"/>
                <w:color w:val="auto"/>
              </w:rPr>
              <w:t>Preliminary Fair Value</w:t>
            </w:r>
          </w:p>
        </w:tc>
      </w:tr>
      <w:tr>
        <w:trPr>
          <w:trHeight w:val="33"/>
        </w:trPr>
        <w:tc>
          <w:tcPr>
            <w:tcW w:w="9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working capital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68</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31,600</w:t>
            </w:r>
          </w:p>
        </w:tc>
      </w:tr>
      <w:tr>
        <w:trPr>
          <w:trHeight w:val="243"/>
        </w:trPr>
        <w:tc>
          <w:tcPr>
            <w:tcW w:w="9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31"/>
              <w:spacing w:after="0"/>
              <w:rPr>
                <w:sz w:val="20"/>
                <w:szCs w:val="20"/>
                <w:color w:val="auto"/>
              </w:rPr>
            </w:pPr>
            <w:r>
              <w:rPr>
                <w:rFonts w:ascii="Arial" w:cs="Arial" w:eastAsia="Arial" w:hAnsi="Arial"/>
                <w:sz w:val="18"/>
                <w:szCs w:val="18"/>
                <w:color w:val="auto"/>
              </w:rPr>
              <w:t>71,430</w:t>
            </w:r>
          </w:p>
        </w:tc>
      </w:tr>
      <w:tr>
        <w:trPr>
          <w:trHeight w:val="27"/>
        </w:trPr>
        <w:tc>
          <w:tcPr>
            <w:tcW w:w="9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5"/>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r>
      <w:tr>
        <w:trPr>
          <w:trHeight w:val="237"/>
        </w:trPr>
        <w:tc>
          <w:tcPr>
            <w:tcW w:w="9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106,232</w:t>
            </w:r>
          </w:p>
        </w:tc>
      </w:tr>
      <w:tr>
        <w:trPr>
          <w:trHeight w:val="34"/>
        </w:trPr>
        <w:tc>
          <w:tcPr>
            <w:tcW w:w="9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content and trademarks and tradenames. The estimated fair values of the developed technology were determined using cost replacement analysis, the content was determined using excess earnings analysis, and the trademarks and tradenames were determined using relief from royalty analysis. The fair value of the intangible assets with definite lives is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jc w:val="right"/>
              <w:ind w:right="392"/>
              <w:spacing w:after="0"/>
              <w:rPr>
                <w:sz w:val="20"/>
                <w:szCs w:val="20"/>
                <w:color w:val="auto"/>
              </w:rPr>
            </w:pPr>
            <w:r>
              <w:rPr>
                <w:rFonts w:ascii="Arial" w:cs="Arial" w:eastAsia="Arial" w:hAnsi="Arial"/>
                <w:sz w:val="16"/>
                <w:szCs w:val="16"/>
                <w:b w:val="1"/>
                <w:bCs w:val="1"/>
                <w:color w:val="auto"/>
                <w:w w:val="98"/>
              </w:rPr>
              <w:t>Preliminary Fair Value</w:t>
            </w:r>
          </w:p>
        </w:tc>
        <w:tc>
          <w:tcPr>
            <w:tcW w:w="2080" w:type="dxa"/>
            <w:vAlign w:val="bottom"/>
          </w:tcPr>
          <w:p>
            <w:pPr>
              <w:jc w:val="right"/>
              <w:ind w:right="43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4,200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Content</w:t>
            </w:r>
          </w:p>
        </w:tc>
        <w:tc>
          <w:tcPr>
            <w:tcW w:w="180" w:type="dxa"/>
            <w:vAlign w:val="bottom"/>
          </w:tcPr>
          <w:p>
            <w:pPr>
              <w:spacing w:after="0"/>
              <w:rPr>
                <w:sz w:val="21"/>
                <w:szCs w:val="21"/>
                <w:color w:val="auto"/>
              </w:rPr>
            </w:pPr>
          </w:p>
        </w:tc>
        <w:tc>
          <w:tcPr>
            <w:tcW w:w="2160" w:type="dxa"/>
            <w:vAlign w:val="bottom"/>
          </w:tcPr>
          <w:p>
            <w:pPr>
              <w:jc w:val="right"/>
              <w:ind w:right="232"/>
              <w:spacing w:after="0"/>
              <w:rPr>
                <w:sz w:val="20"/>
                <w:szCs w:val="20"/>
                <w:color w:val="auto"/>
              </w:rPr>
            </w:pPr>
            <w:r>
              <w:rPr>
                <w:rFonts w:ascii="Arial" w:cs="Arial" w:eastAsia="Arial" w:hAnsi="Arial"/>
                <w:sz w:val="18"/>
                <w:szCs w:val="18"/>
                <w:color w:val="auto"/>
              </w:rPr>
              <w:t>26,100</w:t>
            </w:r>
          </w:p>
        </w:tc>
        <w:tc>
          <w:tcPr>
            <w:tcW w:w="208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7"/>
        </w:trPr>
        <w:tc>
          <w:tcPr>
            <w:tcW w:w="6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1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1,300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37"/>
        </w:trPr>
        <w:tc>
          <w:tcPr>
            <w:tcW w:w="69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31,600</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 years</w:t>
            </w:r>
          </w:p>
        </w:tc>
      </w:tr>
      <w:tr>
        <w:trPr>
          <w:trHeight w:val="34"/>
        </w:trPr>
        <w:tc>
          <w:tcPr>
            <w:tcW w:w="6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the Company has not completed its determination of the final allocation of the purchase price to the assets and liabilities of the acquisition. The final allocation of purchase price is expected to be finalized in 2019. Any adjustment to the assets and liabilities assumed with the acquisition will adjust goodwill.</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recorded preliminary goodwill of $71.4 million, which represents the excess of the purchase price over the estimated fair value of tangible and intangible assets acquired, net of the liabilities assumed. The goodwill is primarily attributable to ValuePenguin as a going concern, which represents the ability of the Company to earn a higher return on the collection of assets and business of ValuePenguin than if those assets and business were to be acquired and managed separately. The benefit of access to the workforce is an additional element of goodwill. The goodwill is recorded in the Company’s one reportable segment. For income tax purposes, the Company accounted for the acquisition as an asset purchase which would indicate the goodwill will be tax deductible.</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Subsequent to the acquisition date, the Company’s consolidated results of operations include the results of the acquired ValuePenguin business. In the third quarter and first nine months of 2019, the Company’s consolidated results of operations include revenue of $5.3 million and $16.2 million, respectively. In the first six months of 2019, net income from continuing operations attributable to the ValuePenguin business was $3.1 million. Due to the integration of the ValuePenguin business subsequent to the acquisition, earnings of the acquired ValuePenguin business beginning in the third quarter of 2019 is impracticable to determine with sufficient accuracy. Acquisition-related costs were $0.1 million in the first nine months of 2019 and are included in general and administrative expense on the consolidated statement of operations and comprehensive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QuoteWizard</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31, 2018, the Company acquired QuoteWizard.com, LLC ("QuoteWizard"), one of the largest insurance comparison marketplaces in the growing online insurance advertising market. QuoteWizard services clients by driving consumers to insurance companies’ websites, providing leads to agents and carriers, as well as phone transfers of consumers into carrier call centers.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paid $299.9 million in initial cash consideration, funded through $174.9 million of cash on hand and $125.0 million drawn on the Revolving Credit Facility, and could make up to three additional earnout payments, each ranging from zero to $23.4 million, based on certain defined operating results during the earnout periods November 1, 2018 through October 31, 2019, November 1, 2019 through October 31, 2020, and November 1, 2020 through October 31, 2021. These additional payments, to the extent earned, will be payable in cash. The purchase price of $313.4 million is comprised of the upfront cash payment of $299.9 million, $13.9 million for the estimated fair value of the earnout payments, and a $0.4 million post-closing receipt for working capital settlement.</w:t>
      </w:r>
    </w:p>
    <w:p>
      <w:pPr>
        <w:spacing w:after="0" w:line="13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September 30, 2019, the estimated fair value of the contingent consideration totaled $41.9 million, of which $23.0 million is included in current contingent consideration and $18.9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2019, the Company recorded $4.3 million and $21.2 million, respectively, of contingent consideration expense in the consolidated statements of operations and comprehensive income due to the change in estimated fair value of the contingent consideration.</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The preliminary allocation of purchase price to the assets acquired and liabilities assumed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311"/>
              <w:spacing w:after="0"/>
              <w:rPr>
                <w:sz w:val="20"/>
                <w:szCs w:val="20"/>
                <w:color w:val="auto"/>
              </w:rPr>
            </w:pPr>
            <w:r>
              <w:rPr>
                <w:rFonts w:ascii="Arial" w:cs="Arial" w:eastAsia="Arial" w:hAnsi="Arial"/>
                <w:sz w:val="16"/>
                <w:szCs w:val="16"/>
                <w:b w:val="1"/>
                <w:bCs w:val="1"/>
                <w:color w:val="auto"/>
              </w:rPr>
              <w:t>Preliminary Fair Value</w:t>
            </w:r>
          </w:p>
        </w:tc>
      </w:tr>
      <w:tr>
        <w:trPr>
          <w:trHeight w:val="33"/>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21"/>
                <w:szCs w:val="21"/>
                <w:color w:val="auto"/>
              </w:rPr>
            </w:pPr>
          </w:p>
        </w:tc>
        <w:tc>
          <w:tcPr>
            <w:tcW w:w="2140" w:type="dxa"/>
            <w:vAlign w:val="bottom"/>
          </w:tcPr>
          <w:p>
            <w:pPr>
              <w:jc w:val="right"/>
              <w:ind w:right="11"/>
              <w:spacing w:after="0"/>
              <w:rPr>
                <w:sz w:val="20"/>
                <w:szCs w:val="20"/>
                <w:color w:val="auto"/>
              </w:rPr>
            </w:pPr>
            <w:r>
              <w:rPr>
                <w:rFonts w:ascii="Arial" w:cs="Arial" w:eastAsia="Arial" w:hAnsi="Arial"/>
                <w:sz w:val="18"/>
                <w:szCs w:val="18"/>
                <w:color w:val="auto"/>
              </w:rPr>
              <w:t>1,509</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120,400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2140" w:type="dxa"/>
            <w:vAlign w:val="bottom"/>
          </w:tcPr>
          <w:p>
            <w:pPr>
              <w:jc w:val="right"/>
              <w:ind w:right="11"/>
              <w:spacing w:after="0"/>
              <w:rPr>
                <w:sz w:val="20"/>
                <w:szCs w:val="20"/>
                <w:color w:val="auto"/>
              </w:rPr>
            </w:pPr>
            <w:r>
              <w:rPr>
                <w:rFonts w:ascii="Arial" w:cs="Arial" w:eastAsia="Arial" w:hAnsi="Arial"/>
                <w:sz w:val="18"/>
                <w:szCs w:val="18"/>
                <w:color w:val="auto"/>
              </w:rPr>
              <w:t>183,001</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9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313,355</w:t>
            </w:r>
          </w:p>
        </w:tc>
      </w:tr>
      <w:tr>
        <w:trPr>
          <w:trHeight w:val="34"/>
        </w:trPr>
        <w:tc>
          <w:tcPr>
            <w:tcW w:w="9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acquired intangible assets are definite-lived assets consisting of developed technology, customer relationships, content and trademarks and tradenames. The estimated fair values of the developed technology were determined using excess earnings analysis, the customer relationships were determined using the distributor method, the content was determined using cost replacement analysis, and the trademarks and tradenames were determined using relief from royalty analysis. The fair value of the intangible assets with definite lives is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jc w:val="right"/>
              <w:ind w:right="411"/>
              <w:spacing w:after="0"/>
              <w:rPr>
                <w:sz w:val="20"/>
                <w:szCs w:val="20"/>
                <w:color w:val="auto"/>
              </w:rPr>
            </w:pPr>
            <w:r>
              <w:rPr>
                <w:rFonts w:ascii="Arial" w:cs="Arial" w:eastAsia="Arial" w:hAnsi="Arial"/>
                <w:sz w:val="16"/>
                <w:szCs w:val="16"/>
                <w:b w:val="1"/>
                <w:bCs w:val="1"/>
                <w:color w:val="auto"/>
              </w:rPr>
              <w:t>Preliminary Fair Value</w:t>
            </w: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68,900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220" w:type="dxa"/>
            <w:vAlign w:val="bottom"/>
          </w:tcPr>
          <w:p>
            <w:pPr>
              <w:spacing w:after="0"/>
              <w:rPr>
                <w:sz w:val="21"/>
                <w:szCs w:val="21"/>
                <w:color w:val="auto"/>
              </w:rPr>
            </w:pPr>
          </w:p>
        </w:tc>
        <w:tc>
          <w:tcPr>
            <w:tcW w:w="2220" w:type="dxa"/>
            <w:vAlign w:val="bottom"/>
          </w:tcPr>
          <w:p>
            <w:pPr>
              <w:jc w:val="right"/>
              <w:ind w:right="171"/>
              <w:spacing w:after="0"/>
              <w:rPr>
                <w:sz w:val="20"/>
                <w:szCs w:val="20"/>
                <w:color w:val="auto"/>
              </w:rPr>
            </w:pPr>
            <w:r>
              <w:rPr>
                <w:rFonts w:ascii="Arial" w:cs="Arial" w:eastAsia="Arial" w:hAnsi="Arial"/>
                <w:sz w:val="18"/>
                <w:szCs w:val="18"/>
                <w:color w:val="auto"/>
              </w:rPr>
              <w:t>42,700</w:t>
            </w:r>
          </w:p>
        </w:tc>
        <w:tc>
          <w:tcPr>
            <w:tcW w:w="2000" w:type="dxa"/>
            <w:vAlign w:val="bottom"/>
          </w:tcPr>
          <w:p>
            <w:pPr>
              <w:jc w:val="right"/>
              <w:spacing w:after="0"/>
              <w:rPr>
                <w:sz w:val="20"/>
                <w:szCs w:val="20"/>
                <w:color w:val="auto"/>
              </w:rPr>
            </w:pPr>
            <w:r>
              <w:rPr>
                <w:rFonts w:ascii="Arial" w:cs="Arial" w:eastAsia="Arial" w:hAnsi="Arial"/>
                <w:sz w:val="18"/>
                <w:szCs w:val="18"/>
                <w:color w:val="auto"/>
              </w:rPr>
              <w:t>14.7 years</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Content</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years</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Trademarks and tradenames</w:t>
            </w:r>
          </w:p>
        </w:tc>
        <w:tc>
          <w:tcPr>
            <w:tcW w:w="220" w:type="dxa"/>
            <w:vAlign w:val="bottom"/>
          </w:tcPr>
          <w:p>
            <w:pPr>
              <w:spacing w:after="0"/>
              <w:rPr>
                <w:sz w:val="21"/>
                <w:szCs w:val="21"/>
                <w:color w:val="auto"/>
              </w:rPr>
            </w:pPr>
          </w:p>
        </w:tc>
        <w:tc>
          <w:tcPr>
            <w:tcW w:w="2220" w:type="dxa"/>
            <w:vAlign w:val="bottom"/>
          </w:tcPr>
          <w:p>
            <w:pPr>
              <w:jc w:val="right"/>
              <w:ind w:right="171"/>
              <w:spacing w:after="0"/>
              <w:rPr>
                <w:sz w:val="20"/>
                <w:szCs w:val="20"/>
                <w:color w:val="auto"/>
              </w:rPr>
            </w:pPr>
            <w:r>
              <w:rPr>
                <w:rFonts w:ascii="Arial" w:cs="Arial" w:eastAsia="Arial" w:hAnsi="Arial"/>
                <w:sz w:val="18"/>
                <w:szCs w:val="18"/>
                <w:color w:val="auto"/>
              </w:rPr>
              <w:t>7,800</w:t>
            </w:r>
          </w:p>
        </w:tc>
        <w:tc>
          <w:tcPr>
            <w:tcW w:w="20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
        </w:trPr>
        <w:tc>
          <w:tcPr>
            <w:tcW w:w="6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2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120,400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 years</w:t>
            </w:r>
          </w:p>
        </w:tc>
      </w:tr>
      <w:tr>
        <w:trPr>
          <w:trHeight w:val="27"/>
        </w:trPr>
        <w:tc>
          <w:tcPr>
            <w:tcW w:w="69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2019, the Company has not completed its determination of the final allocation of the purchase price to the assets and liabilities of the acquisition. The final allocation of purchase price will be finalized in 2019. Any adjustment to the assets and liabilities assumed with the acquisition will adjust goodwill.</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preliminary goodwill of $183.0 million, which represents the excess of the purchase price over the estimated fair value of tangible and intangible assets acquired, net of the liabilities assumed. The goodwill is primarily attributable to QuoteWizard as a going concern, which represents the ability of the Company to earn a higher return on the collection of assets and business of QuoteWizard than if those assets and business were to be acquired and managed separately. The benefit of access to the workforce is an additional element of goodwill. The goodwill is recorded in the Company’s one reportable segment. For income tax purposes, the acquisition was an asset purchase and the goodwill will be tax deductible.</w:t>
      </w:r>
    </w:p>
    <w:p>
      <w:pPr>
        <w:spacing w:after="0" w:line="11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unaudited pro forma financial results for the third quarter and first nine months of 2018 below combine the consolidated results of the Company and QuoteWizard, giving effect to the acquisition as if it had been completed on January 1, 2017. This unaudited pro forma financial information is presented for informational purposes only and is not indicative of future operations or results had the acquisition been completed as of January 1, 2017, or any other date.</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financial results include adjustments for additional amortization expense based on the fair value of the intangible assets with definite lives and their estimated useful lives, as well as changes in depreciation expense associated with the change in fair value of the property, plant and equipment recorded in relation to the acquisition. Interest expense was adjusted to eliminate historical interest associated with QuoteWizard's revolving credit facility and notes payable that were not assumed with the acquisition, as well as reflect incremental interest expense associated with debt issued to finance the acquisition. The provision for income taxes from continuing operations has also been adjusted to reflect taxes on the historical results of operations of QuoteWizard. QuoteWizard did not pay taxes at the entity level as it was a limited liability company whose members elected for it to be taxed as a partnership.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jc w:val="right"/>
              <w:ind w:right="261"/>
              <w:spacing w:after="0"/>
              <w:rPr>
                <w:sz w:val="20"/>
                <w:szCs w:val="20"/>
                <w:color w:val="auto"/>
              </w:rPr>
            </w:pPr>
            <w:r>
              <w:rPr>
                <w:rFonts w:ascii="Arial" w:cs="Arial" w:eastAsia="Arial" w:hAnsi="Arial"/>
                <w:sz w:val="14"/>
                <w:szCs w:val="14"/>
                <w:b w:val="1"/>
                <w:bCs w:val="1"/>
                <w:color w:val="auto"/>
                <w:w w:val="99"/>
              </w:rPr>
              <w:t>Three Months Ended</w:t>
            </w:r>
          </w:p>
        </w:tc>
        <w:tc>
          <w:tcPr>
            <w:tcW w:w="320" w:type="dxa"/>
            <w:vAlign w:val="bottom"/>
          </w:tcPr>
          <w:p>
            <w:pPr>
              <w:spacing w:after="0"/>
              <w:rPr>
                <w:sz w:val="14"/>
                <w:szCs w:val="14"/>
                <w:color w:val="auto"/>
              </w:rPr>
            </w:pPr>
          </w:p>
        </w:tc>
        <w:tc>
          <w:tcPr>
            <w:tcW w:w="1700" w:type="dxa"/>
            <w:vAlign w:val="bottom"/>
          </w:tcPr>
          <w:p>
            <w:pPr>
              <w:jc w:val="right"/>
              <w:ind w:right="259"/>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September 30, 2018</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September 30, 2018</w:t>
            </w:r>
          </w:p>
        </w:tc>
      </w:tr>
      <w:tr>
        <w:trPr>
          <w:trHeight w:val="250"/>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3"/>
          </w:tcPr>
          <w:p>
            <w:pPr>
              <w:jc w:val="right"/>
              <w:ind w:right="1479"/>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240,706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681,302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41"/>
              <w:spacing w:after="0"/>
              <w:rPr>
                <w:sz w:val="20"/>
                <w:szCs w:val="20"/>
                <w:color w:val="auto"/>
              </w:rPr>
            </w:pPr>
            <w:r>
              <w:rPr>
                <w:rFonts w:ascii="Arial" w:cs="Arial" w:eastAsia="Arial" w:hAnsi="Arial"/>
                <w:sz w:val="18"/>
                <w:szCs w:val="18"/>
                <w:color w:val="auto"/>
              </w:rPr>
              <w:t>29,230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107,643</w:t>
            </w: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Acquisition-related costs incurred by the Company and QuoteWizard that are directly attributable to the acquisition, and which will not have an ongoing impact, have been eliminated from the unaudited pro forma net income from continuing operations for the third quarter and first nine months of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11, 2018, the Company acquired Ovation Credit Services, Inc., a leading provider of credit services with a strong customer service reputation.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paid $12.2 million in initial cash consideration and could make up to two additional earnout payments, each ranging from zero to $4.4 million, based on certain defined operating metrics during the earnout periods July 1, 2018 through June 30, 2019 and July 1, 2019 through June 30, 2020. These additional payments, to the extent earned, will be payable in cash. The purchase price of $17.9 million is comprised of the upfront cash payment of $12.2 million, $5.8 million for the estimated fair value of the earnout payments, and a $0.1 million post-closing receipt for working capital settlement.</w:t>
      </w:r>
    </w:p>
    <w:p>
      <w:pPr>
        <w:spacing w:after="0" w:line="10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September 30, 2019, the estimated fair value of the contingent consideration totaled $6.6 million, of which $4.4 million is included in current contingent consideration and $2.2 million is included in non-current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2019, the Company recorded a gain of $0.8 million in the consolidated statements of operations and comprehensive income due to the change in estimated fair value of the contingent consideration.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October 2019, the Company paid $4.4 million related to the earnout payment for the period of July 1, 2018 through June 30, 2019.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acquisition has been accounted for as a business combination. In the second quarter of 2019, the Company completed the determination of the final allocation of purchase price to the assets acquired and liabilities assumed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tcPr>
          <w:p>
            <w:pPr>
              <w:jc w:val="right"/>
              <w:ind w:right="631"/>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9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76</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21"/>
                <w:szCs w:val="21"/>
                <w:color w:val="auto"/>
              </w:rPr>
            </w:pPr>
          </w:p>
        </w:tc>
        <w:tc>
          <w:tcPr>
            <w:tcW w:w="1740" w:type="dxa"/>
            <w:vAlign w:val="bottom"/>
          </w:tcPr>
          <w:p>
            <w:pPr>
              <w:jc w:val="right"/>
              <w:ind w:right="11"/>
              <w:spacing w:after="0"/>
              <w:rPr>
                <w:sz w:val="20"/>
                <w:szCs w:val="20"/>
                <w:color w:val="auto"/>
              </w:rPr>
            </w:pPr>
            <w:r>
              <w:rPr>
                <w:rFonts w:ascii="Arial" w:cs="Arial" w:eastAsia="Arial" w:hAnsi="Arial"/>
                <w:sz w:val="18"/>
                <w:szCs w:val="18"/>
                <w:color w:val="auto"/>
              </w:rPr>
              <w:t>11,280</w:t>
            </w:r>
          </w:p>
        </w:tc>
      </w:tr>
      <w:tr>
        <w:trPr>
          <w:trHeight w:val="27"/>
        </w:trPr>
        <w:tc>
          <w:tcPr>
            <w:tcW w:w="9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17,871</w:t>
            </w:r>
          </w:p>
        </w:tc>
      </w:tr>
      <w:tr>
        <w:trPr>
          <w:trHeight w:val="34"/>
        </w:trPr>
        <w:tc>
          <w:tcPr>
            <w:tcW w:w="9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primarily used the income approach for the valuation as appropriate, and used valuation inputs in these models and analyses that were based on market participant assumptions. Market participants are buyers and sellers unrelated to the Company and fair value is determined as the price that would be received to sell an asset or paid to transfer a liability in an orderly transaction at the measurement date.</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acquired intangible assets are definite-lived assets consisting of developed technology, customer relationships and trademarks and tradenames. The estimated fair values of the developed technology were determined using excess earnings analysis, the customer relationships were determined using cost savings analysis and the trademarks and tradenames were determined using relief from royalty analysis. The fair value of the intangible assets with definite lives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080" w:type="dxa"/>
            <w:vAlign w:val="bottom"/>
          </w:tcPr>
          <w:p>
            <w:pPr>
              <w:spacing w:after="0"/>
              <w:rPr>
                <w:sz w:val="18"/>
                <w:szCs w:val="18"/>
                <w:color w:val="auto"/>
              </w:rPr>
            </w:pPr>
          </w:p>
        </w:tc>
        <w:tc>
          <w:tcPr>
            <w:tcW w:w="1560" w:type="dxa"/>
            <w:vAlign w:val="bottom"/>
          </w:tcPr>
          <w:p>
            <w:pPr>
              <w:jc w:val="right"/>
              <w:ind w:right="13"/>
              <w:spacing w:after="0"/>
              <w:rPr>
                <w:sz w:val="20"/>
                <w:szCs w:val="20"/>
                <w:color w:val="auto"/>
              </w:rPr>
            </w:pPr>
            <w:r>
              <w:rPr>
                <w:rFonts w:ascii="Arial" w:cs="Arial" w:eastAsia="Arial" w:hAnsi="Arial"/>
                <w:sz w:val="16"/>
                <w:szCs w:val="16"/>
                <w:b w:val="1"/>
                <w:bCs w:val="1"/>
                <w:color w:val="auto"/>
              </w:rPr>
              <w:t>Fair Value</w:t>
            </w:r>
          </w:p>
        </w:tc>
        <w:tc>
          <w:tcPr>
            <w:tcW w:w="780" w:type="dxa"/>
            <w:vAlign w:val="bottom"/>
          </w:tcPr>
          <w:p>
            <w:pPr>
              <w:spacing w:after="0"/>
              <w:rPr>
                <w:sz w:val="18"/>
                <w:szCs w:val="18"/>
                <w:color w:val="auto"/>
              </w:rPr>
            </w:pPr>
          </w:p>
        </w:tc>
        <w:tc>
          <w:tcPr>
            <w:tcW w:w="2000" w:type="dxa"/>
            <w:vAlign w:val="bottom"/>
          </w:tcPr>
          <w:p>
            <w:pPr>
              <w:jc w:val="right"/>
              <w:ind w:right="373"/>
              <w:spacing w:after="0"/>
              <w:rPr>
                <w:sz w:val="20"/>
                <w:szCs w:val="20"/>
                <w:color w:val="auto"/>
              </w:rPr>
            </w:pPr>
            <w:r>
              <w:rPr>
                <w:rFonts w:ascii="Arial" w:cs="Arial" w:eastAsia="Arial" w:hAnsi="Arial"/>
                <w:sz w:val="16"/>
                <w:szCs w:val="16"/>
                <w:b w:val="1"/>
                <w:bCs w:val="1"/>
                <w:color w:val="auto"/>
              </w:rPr>
              <w:t>Amortization Life</w:t>
            </w:r>
          </w:p>
        </w:tc>
      </w:tr>
      <w:tr>
        <w:trPr>
          <w:trHeight w:val="33"/>
        </w:trPr>
        <w:tc>
          <w:tcPr>
            <w:tcW w:w="70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560" w:type="dxa"/>
            <w:vAlign w:val="bottom"/>
            <w:tcBorders>
              <w:bottom w:val="single" w:sz="8" w:color="CCEEFF"/>
            </w:tcBorders>
            <w:shd w:val="clear" w:color="auto" w:fill="CCEEFF"/>
          </w:tcPr>
          <w:p>
            <w:pPr>
              <w:jc w:val="right"/>
              <w:ind w:right="135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Customer lists</w:t>
            </w:r>
          </w:p>
        </w:tc>
        <w:tc>
          <w:tcPr>
            <w:tcW w:w="1560" w:type="dxa"/>
            <w:vAlign w:val="bottom"/>
          </w:tcPr>
          <w:p>
            <w:pPr>
              <w:spacing w:after="0"/>
              <w:rPr>
                <w:sz w:val="21"/>
                <w:szCs w:val="21"/>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1,900</w:t>
            </w:r>
          </w:p>
        </w:tc>
        <w:tc>
          <w:tcPr>
            <w:tcW w:w="2000" w:type="dxa"/>
            <w:vAlign w:val="bottom"/>
          </w:tcPr>
          <w:p>
            <w:pPr>
              <w:jc w:val="right"/>
              <w:spacing w:after="0"/>
              <w:rPr>
                <w:sz w:val="20"/>
                <w:szCs w:val="20"/>
                <w:color w:val="auto"/>
              </w:rPr>
            </w:pPr>
            <w:r>
              <w:rPr>
                <w:rFonts w:ascii="Arial" w:cs="Arial" w:eastAsia="Arial" w:hAnsi="Arial"/>
                <w:sz w:val="18"/>
                <w:szCs w:val="18"/>
                <w:color w:val="auto"/>
              </w:rPr>
              <w:t>1 year</w:t>
            </w:r>
          </w:p>
        </w:tc>
      </w:tr>
      <w:tr>
        <w:trPr>
          <w:trHeight w:val="27"/>
        </w:trPr>
        <w:tc>
          <w:tcPr>
            <w:tcW w:w="70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tradenames</w:t>
            </w:r>
          </w:p>
        </w:tc>
        <w:tc>
          <w:tcPr>
            <w:tcW w:w="1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1560" w:type="dxa"/>
            <w:vAlign w:val="bottom"/>
            <w:tcBorders>
              <w:top w:val="single" w:sz="8" w:color="auto"/>
            </w:tcBorders>
          </w:tcPr>
          <w:p>
            <w:pPr>
              <w:jc w:val="right"/>
              <w:ind w:right="1353"/>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8,900</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 years</w:t>
            </w:r>
          </w:p>
        </w:tc>
      </w:tr>
      <w:tr>
        <w:trPr>
          <w:trHeight w:val="34"/>
        </w:trPr>
        <w:tc>
          <w:tcPr>
            <w:tcW w:w="7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recorded goodwill of $11.3 million, which represents the excess of the purchase price over the estimated fair value of tangible and intangible assets acquired, net of the liabilities assumed. The goodwill is primarily attributable to Ovation as a going concern, which represents the ability of the Company to earn a higher return on the collection of assets and business of Ovation than if those assets and business were to be acquired and managed separately. The benefit of access to the workforce is an additional element of goodwill. The goodwill is recorded in the Company’s one reportable segment. For income tax purposes, the acquisition was an equity purchase and the goodwill will not be tax deductible.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Contingent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SnapCap</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19, 2017, the Company acquired certain assets of Snap Capital LLC, which does business under the name SnapCap (“SnapCap”). SnapCap, a tech-enabled online platform, connects business owners with lenders offering small business loans, lines of credit and merchant cash advance products through a concierge-based sales approach.</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paid $11.9 million of initial cash consideration and could make up to three additional contingent consideration payments, each ranging from zero to $3.0 million, based on certain defined operating results during the periods of October 1, 2017 through September 30, 2018, October 1, 2018 through September 30, 2019 and October 1, 2019 through March 31, 2020. These additional payments, to the extent earned, will be payable in cash.</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2019, the Company paid $3.0 million related to the earnout payment for the period of October 1, 2017 through September 30, 2018, which is included within cash flows from financing activities on the consolidated statement of cash flows.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September 30, 2019, the estimated fair value of the contingent consideration totaled $5.5 million, which is included in current contingent consideration in the accompanying consolidated balance sheet. The estimated fair value of the contingent consideration payments is determined using an option pricing model.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During the third quarter and first nine months of 2019, the Company recorded contingent consideration expense of $0.3 million and $1.8 million, respectively, in the consolidated statements of operations and comprehensive income due to the change in estimated fair value of the contingent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DepositAccounts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14, 2017, the Company acquired substantially all of the assets of Deposits Online, LLC, which does business under the name DepositAccounts.com (“DepositAccounts”). DepositAccounts is a leading consumer-facing media property in the depository industry and is one of the most comprehensive sources of depository deals and analysis on the Internet, covering all major deposit product categories through editorial content, programmatic rate tables and user-generated content.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$24.0 million of initial cash consideration and could make additional contingent consideration payments of up to $9.0 million. The potential contingent consideration payments are comprised of (i) up to seven payments of $1.0 million each based on specified increases in Federal Funds interest rates during the period commencing on the closing date and ending on June 30, 2020 and (ii) a one-time performance payment of up to $2.0 million based on the net revenue of deposit products during the period of January 1, 2018 through December 31, 2018. These additional payments, to the extent earned, will be payable in cash.</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third quarter of 2017, the Company made a payment of $1.0 million associated with a specified increase in the Federal Funds rate in June 2017. In each of the four quarters of 2018, the Company paid $1.0 million associated with specified increases in the Federal Funds rate in December 2017, March 2018, June 2018 and September 2018, respectively. In the first quarter of 2019, the Company paid $1.0 million associated with a specified increase in the Federal Funds rate in December 2018. In the second quarter of 2019, the Company paid $2.0 million associated with the one-time performance payment based on the net revenue of deposit products during the period of January 1, 2018 through December 31, 2018. The contingent consideration paid in the first nine months of 2019 is included within cash flows from operating activities on the consolidated statement of cash flows.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estimated fair value of the portion of the contingent consideration payments based on increases in interest rates is determined using a scenario approach based on the interest rate forecasts of Federal Open Market Committee participants. The estimated value of the contingent consideration is based upon available information and certain assumptions, known at the time of this report, which management believes are reasonable. Any differences in the actual contingent consideration payments will be recorded in operating income in the consolidated statements of operations and comprehensive income. As of September 30, 2019, no liability has been recorded in the accompanying consolidated balance sheet for the remaining contingent consideration payment based on Federal Funds interest rates. Accordingly, during the first nine months of 2019, the Company recorded a gain of $1.0 million in the consolidated statement of operations and comprehensive income due to the change in estimated fair value of the contingent consideration.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Results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unaudited pro forma financial results for the first nine months of 2019 and the third quarter and first nine months of 2018 combine the consolidated results of the Company and Ovation, Student Loan Hero, Inc. (“Student Loan Hero”), QuoteWizard and ValuePenguin, giving effect to the acquisitions as if the Ovation, Student Loan Hero and QuoteWizard acquisitions had been completed on January 1, 2017, and as if the ValuePenguin acquisition had been completed on January 1, 2018. This unaudited pro forma financial information is presented for informational purposes only and is not indicative of future operations or results had the acquisitions been completed as of January 1, 2017 or 2018, or any other date.</w:t>
      </w:r>
    </w:p>
    <w:p>
      <w:pPr>
        <w:spacing w:after="0" w:line="11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unaudited pro forma financial results include adjustments for additional amortization expense based on the fair value of the intangible assets with definite lives and their estimated useful lives. Depreciation expense and interest expense were adjusted for the impact of the QuoteWizard acquisition, as described above. Interest expense was also adjusted to reflect incremental interest associated with debt issued to finance the ValuePenguin acquisition. The provision for income taxes from continuing operations has been adjusted to reflect taxes on the historical results of operations of QuoteWizard. QuoteWizard did not pay taxes at the entity level as it was a limited liability company whose members elected for it to be taxed as a partnership.</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4"/>
                <w:szCs w:val="14"/>
                <w:color w:val="auto"/>
              </w:rPr>
            </w:pPr>
          </w:p>
        </w:tc>
      </w:tr>
      <w:tr>
        <w:trPr>
          <w:trHeight w:val="192"/>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22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2018</w:t>
            </w:r>
          </w:p>
        </w:tc>
      </w:tr>
      <w:tr>
        <w:trPr>
          <w:trHeight w:val="250"/>
        </w:trPr>
        <w:tc>
          <w:tcPr>
            <w:tcW w:w="5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jc w:val="right"/>
              <w:ind w:right="422"/>
              <w:spacing w:after="0"/>
              <w:rPr>
                <w:sz w:val="20"/>
                <w:szCs w:val="20"/>
                <w:color w:val="auto"/>
              </w:rPr>
            </w:pPr>
            <w:r>
              <w:rPr>
                <w:rFonts w:ascii="Arial" w:cs="Arial" w:eastAsia="Arial" w:hAnsi="Arial"/>
                <w:sz w:val="14"/>
                <w:szCs w:val="14"/>
                <w:i w:val="1"/>
                <w:iCs w:val="1"/>
                <w:color w:val="auto"/>
              </w:rPr>
              <w:t>(in thousands)</w:t>
            </w:r>
          </w:p>
        </w:tc>
        <w:tc>
          <w:tcPr>
            <w:tcW w:w="7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246,432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851,931</w:t>
            </w:r>
          </w:p>
        </w:tc>
        <w:tc>
          <w:tcPr>
            <w:tcW w:w="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710,580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 forma net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41"/>
              <w:spacing w:after="0"/>
              <w:rPr>
                <w:sz w:val="20"/>
                <w:szCs w:val="20"/>
                <w:color w:val="auto"/>
              </w:rPr>
            </w:pPr>
            <w:r>
              <w:rPr>
                <w:rFonts w:ascii="Arial" w:cs="Arial" w:eastAsia="Arial" w:hAnsi="Arial"/>
                <w:sz w:val="18"/>
                <w:szCs w:val="18"/>
                <w:color w:val="auto"/>
              </w:rPr>
              <w:t>29,616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42"/>
              <w:spacing w:after="0"/>
              <w:rPr>
                <w:sz w:val="20"/>
                <w:szCs w:val="20"/>
                <w:color w:val="auto"/>
              </w:rPr>
            </w:pPr>
            <w:r>
              <w:rPr>
                <w:rFonts w:ascii="Arial" w:cs="Arial" w:eastAsia="Arial" w:hAnsi="Arial"/>
                <w:sz w:val="18"/>
                <w:szCs w:val="18"/>
                <w:color w:val="auto"/>
              </w:rPr>
              <w:t>37,721</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109,511</w:t>
            </w:r>
          </w:p>
        </w:tc>
      </w:tr>
      <w:tr>
        <w:trPr>
          <w:trHeight w:val="27"/>
        </w:trPr>
        <w:tc>
          <w:tcPr>
            <w:tcW w:w="5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net income from continuing operations in the first nine months of 2019 includes the aggregate after-tax contingent consideration expense associated with the DepositAccounts, SnapCap, Ovation and QuoteWizard earnouts of $15.7 million. The unaudited pro forma net income from continuing operations in the third quarter and first nine months of 2018 includes the aggregate after-tax contingent consideration expense associated with the DepositAccounts, SnapCap and Ovation earnouts of $1.5 million and $0.4 million, respectively.</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unaudited pro forma net income from continuing operations for the first nine months of 2018 has been adjusted to include acquisition-related costs of $0.6 million incurred by the Company that are directly attributable to the ValuePenguin acquisition, and which will not have an ongoing impact. Accordingly, such acquisition-related costs have been eliminated from the unaudited pro forma net income from continuing operations for the first nine months of 2019. Acquisition-related costs incurred by the Company, Student Loan Hero and QuoteWizard that are directly attributable to the Ovation, Student Loan Hero and QuoteWizard acquisitions, and which will not have an ongoing impact, have been eliminated from the unaudited pro forma net income from continuing operations for the third quarter and first nine months of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8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advertising expense</w:t>
            </w:r>
          </w:p>
        </w:tc>
        <w:tc>
          <w:tcPr>
            <w:tcW w:w="3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61,680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60,268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11,532</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6,381</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3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1,322</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2,549</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Customer deposits and escrows</w:t>
            </w:r>
          </w:p>
        </w:tc>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7,160</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6,913</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to LendingTree Foundation</w:t>
            </w:r>
          </w:p>
        </w:tc>
        <w:tc>
          <w:tcPr>
            <w:tcW w:w="3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3,333</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6,750</w:t>
            </w:r>
          </w:p>
        </w:tc>
        <w:tc>
          <w:tcPr>
            <w:tcW w:w="32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17,841</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13,746</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35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109,618</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93,190</w:t>
            </w:r>
          </w:p>
        </w:tc>
      </w:tr>
      <w:tr>
        <w:trPr>
          <w:trHeight w:val="34"/>
        </w:trPr>
        <w:tc>
          <w:tcPr>
            <w:tcW w:w="47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675"/>
        </w:trPr>
        <w:tc>
          <w:tcPr>
            <w:tcW w:w="4780" w:type="dxa"/>
            <w:vAlign w:val="bottom"/>
          </w:tcPr>
          <w:p>
            <w:pPr>
              <w:spacing w:after="0"/>
              <w:rPr>
                <w:sz w:val="24"/>
                <w:szCs w:val="24"/>
                <w:color w:val="auto"/>
              </w:rPr>
            </w:pPr>
          </w:p>
        </w:tc>
        <w:tc>
          <w:tcPr>
            <w:tcW w:w="3340" w:type="dxa"/>
            <w:vAlign w:val="bottom"/>
          </w:tcPr>
          <w:p>
            <w:pPr>
              <w:jc w:val="right"/>
              <w:ind w:right="22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9—LEASES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a lessee to leases of corporate offices and certain office equipment. The majority of leases for corporate offices include one or more options to renew, with renewal terms ranging from two to five years. These renewal options have not been included in the calculation of right-of-use assets and lease liabilities, as the Company is not reasonably certain of the exercise of these renewal options. The Company used its incremental borrowing rate to calculate the right-of-use asset and lease liability for each lease.</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2019, right-of use assets totaling $27.0 million are included in other non-current assets and lease liabilities totaling $30.2 million are included in accrued expenses and other current liabilities and other non-current liabilities in the accompanying balance sheet.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second quarter of 2019, the Company recognized an impairment loss of $0.5 million within general and administrative expense on the consolidated statements of operations and comprehensive income, for the right-of-use asset related to an office lease. The Company vacated the office space in the second quarter of 2019 and adjusted the right-of-use asset to its fair value based on estimated sublease income.</w:t>
      </w:r>
    </w:p>
    <w:p>
      <w:pPr>
        <w:spacing w:after="0" w:line="1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Lease expense, which is included in general and administrative expense on the accompanying consolidated statements of operations and comprehensive income,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jc w:val="right"/>
              <w:ind w:right="3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1,765</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21"/>
                <w:szCs w:val="21"/>
                <w:color w:val="auto"/>
              </w:rPr>
            </w:pPr>
          </w:p>
        </w:tc>
        <w:tc>
          <w:tcPr>
            <w:tcW w:w="1920" w:type="dxa"/>
            <w:vAlign w:val="bottom"/>
          </w:tcPr>
          <w:p>
            <w:pPr>
              <w:jc w:val="right"/>
              <w:ind w:right="57"/>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6"/>
        </w:trPr>
        <w:tc>
          <w:tcPr>
            <w:tcW w:w="7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lease cost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1,786</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32"/>
        </w:trPr>
        <w:tc>
          <w:tcPr>
            <w:tcW w:w="700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w w:val="89"/>
              </w:rPr>
              <w:t>Weighted average remaining lease term and discount rate for operating leases are as follows:</w:t>
            </w:r>
          </w:p>
        </w:tc>
        <w:tc>
          <w:tcPr>
            <w:tcW w:w="2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99"/>
        </w:trPr>
        <w:tc>
          <w:tcPr>
            <w:tcW w:w="6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5.2 years</w:t>
            </w: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2"/>
          </w:tcPr>
          <w:p>
            <w:pPr>
              <w:ind w:left="1420"/>
              <w:spacing w:after="0"/>
              <w:rPr>
                <w:sz w:val="20"/>
                <w:szCs w:val="20"/>
                <w:color w:val="auto"/>
              </w:rPr>
            </w:pPr>
            <w:r>
              <w:rPr>
                <w:rFonts w:ascii="Arial" w:cs="Arial" w:eastAsia="Arial" w:hAnsi="Arial"/>
                <w:sz w:val="18"/>
                <w:szCs w:val="18"/>
                <w:color w:val="auto"/>
                <w:w w:val="97"/>
              </w:rPr>
              <w:t>4.7%</w:t>
            </w:r>
          </w:p>
        </w:tc>
      </w:tr>
      <w:tr>
        <w:trPr>
          <w:trHeight w:val="675"/>
        </w:trPr>
        <w:tc>
          <w:tcPr>
            <w:tcW w:w="7000" w:type="dxa"/>
            <w:vAlign w:val="bottom"/>
            <w:gridSpan w:val="2"/>
          </w:tcPr>
          <w:p>
            <w:pPr>
              <w:ind w:left="340"/>
              <w:spacing w:after="0"/>
              <w:rPr>
                <w:sz w:val="20"/>
                <w:szCs w:val="20"/>
                <w:color w:val="auto"/>
              </w:rPr>
            </w:pPr>
            <w:r>
              <w:rPr>
                <w:rFonts w:ascii="Arial" w:cs="Arial" w:eastAsia="Arial" w:hAnsi="Arial"/>
                <w:sz w:val="18"/>
                <w:szCs w:val="18"/>
                <w:color w:val="auto"/>
              </w:rPr>
              <w:t xml:space="preserve">Supplemental cash flow information related to leases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8"/>
        </w:trPr>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70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0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21,912</w:t>
            </w:r>
          </w:p>
        </w:tc>
        <w:tc>
          <w:tcPr>
            <w:tcW w:w="100" w:type="dxa"/>
            <w:vAlign w:val="bottom"/>
          </w:tcPr>
          <w:p>
            <w:pPr>
              <w:spacing w:after="0"/>
              <w:rPr>
                <w:sz w:val="21"/>
                <w:szCs w:val="21"/>
                <w:color w:val="auto"/>
              </w:rPr>
            </w:pPr>
          </w:p>
        </w:tc>
      </w:tr>
      <w:tr>
        <w:trPr>
          <w:trHeight w:val="594"/>
        </w:trPr>
        <w:tc>
          <w:tcPr>
            <w:tcW w:w="7000" w:type="dxa"/>
            <w:vAlign w:val="bottom"/>
            <w:gridSpan w:val="2"/>
          </w:tcPr>
          <w:p>
            <w:pPr>
              <w:ind w:left="340"/>
              <w:spacing w:after="0"/>
              <w:rPr>
                <w:sz w:val="20"/>
                <w:szCs w:val="20"/>
                <w:color w:val="auto"/>
              </w:rPr>
            </w:pPr>
            <w:r>
              <w:rPr>
                <w:rFonts w:ascii="Arial" w:cs="Arial" w:eastAsia="Arial" w:hAnsi="Arial"/>
                <w:sz w:val="18"/>
                <w:szCs w:val="18"/>
                <w:color w:val="auto"/>
                <w:w w:val="99"/>
              </w:rPr>
              <w:t xml:space="preserve">Maturities of lease liabilities as of September 30, 2019 are as follows </w:t>
            </w:r>
            <w:r>
              <w:rPr>
                <w:rFonts w:ascii="Arial" w:cs="Arial" w:eastAsia="Arial" w:hAnsi="Arial"/>
                <w:sz w:val="18"/>
                <w:szCs w:val="18"/>
                <w:i w:val="1"/>
                <w:iCs w:val="1"/>
                <w:color w:val="auto"/>
                <w:w w:val="99"/>
              </w:rPr>
              <w:t>(in thousands)</w:t>
            </w: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2"/>
        </w:trPr>
        <w:tc>
          <w:tcPr>
            <w:tcW w:w="6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Remainder of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Year ending December 31, 2020</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Year ending December 31, 2022</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5,495</w:t>
            </w:r>
          </w:p>
        </w:tc>
        <w:tc>
          <w:tcPr>
            <w:tcW w:w="100" w:type="dxa"/>
            <w:vAlign w:val="bottom"/>
          </w:tcPr>
          <w:p>
            <w:pPr>
              <w:spacing w:after="0"/>
              <w:rPr>
                <w:sz w:val="21"/>
                <w:szCs w:val="21"/>
                <w:color w:val="auto"/>
              </w:rPr>
            </w:pPr>
          </w:p>
        </w:tc>
      </w:tr>
      <w:tr>
        <w:trPr>
          <w:trHeight w:val="27"/>
        </w:trPr>
        <w:tc>
          <w:tcPr>
            <w:tcW w:w="7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Pr>
          <w:p>
            <w:pPr>
              <w:spacing w:after="0"/>
              <w:rPr>
                <w:sz w:val="21"/>
                <w:szCs w:val="21"/>
                <w:color w:val="auto"/>
              </w:rPr>
            </w:pPr>
          </w:p>
        </w:tc>
      </w:tr>
      <w:tr>
        <w:trPr>
          <w:trHeight w:val="27"/>
        </w:trPr>
        <w:tc>
          <w:tcPr>
            <w:tcW w:w="7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payments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21"/>
                <w:szCs w:val="21"/>
                <w:color w:val="auto"/>
              </w:rPr>
            </w:pPr>
          </w:p>
        </w:tc>
      </w:tr>
      <w:tr>
        <w:trPr>
          <w:trHeight w:val="27"/>
        </w:trPr>
        <w:tc>
          <w:tcPr>
            <w:tcW w:w="7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Present value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30,161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
        </w:trPr>
        <w:tc>
          <w:tcPr>
            <w:tcW w:w="69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9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Future minimum payments as of December 31, 2018 under operating lease agreements having an initial or remaining non-cancelable lease term in excess of one year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jc w:val="right"/>
              <w:ind w:right="651"/>
              <w:spacing w:after="0"/>
              <w:rPr>
                <w:sz w:val="20"/>
                <w:szCs w:val="20"/>
                <w:color w:val="auto"/>
              </w:rPr>
            </w:pPr>
            <w:r>
              <w:rPr>
                <w:rFonts w:ascii="Arial" w:cs="Arial" w:eastAsia="Arial" w:hAnsi="Arial"/>
                <w:sz w:val="16"/>
                <w:szCs w:val="16"/>
                <w:b w:val="1"/>
                <w:bCs w:val="1"/>
                <w:color w:val="auto"/>
              </w:rPr>
              <w:t>Amount</w:t>
            </w:r>
          </w:p>
        </w:tc>
      </w:tr>
      <w:tr>
        <w:trPr>
          <w:trHeight w:val="33"/>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2020</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3,188</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2021</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Year ending December 31, 2022</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736</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 2023</w:t>
            </w:r>
          </w:p>
        </w:tc>
        <w:tc>
          <w:tcPr>
            <w:tcW w:w="4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37"/>
        </w:trPr>
        <w:tc>
          <w:tcPr>
            <w:tcW w:w="93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9,652</w:t>
            </w:r>
          </w:p>
        </w:tc>
      </w:tr>
      <w:tr>
        <w:trPr>
          <w:trHeight w:val="34"/>
        </w:trPr>
        <w:tc>
          <w:tcPr>
            <w:tcW w:w="9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Company operated as a lessor in connection with the office buildings in Charlotte, North Carolina acquired in December 2016. The properties were sold in the second quarter of 2019 to an unrelated third party.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6—Assets Held for Sale for further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Rental income of $0.3 million in the first nine months of 2019, and $0.2 million and $0.7 million in the third quarter and first nine months of 2018, respectively, is included in other income on the accompanying consolidated statements of operations and comprehensive income.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22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200" w:type="dxa"/>
            <w:vAlign w:val="bottom"/>
            <w:tcBorders>
              <w:bottom w:val="single" w:sz="8" w:color="auto"/>
            </w:tcBorders>
          </w:tcPr>
          <w:p>
            <w:pPr>
              <w:jc w:val="right"/>
              <w:ind w:right="1237"/>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right"/>
              <w:ind w:right="1197"/>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basic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12,890</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12,799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12,805</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12,437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stock options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726</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160" w:type="dxa"/>
            <w:vAlign w:val="bottom"/>
          </w:tcPr>
          <w:p>
            <w:pPr>
              <w:jc w:val="right"/>
              <w:ind w:right="697"/>
              <w:spacing w:after="0"/>
              <w:rPr>
                <w:sz w:val="20"/>
                <w:szCs w:val="20"/>
                <w:color w:val="auto"/>
              </w:rPr>
            </w:pPr>
            <w:r>
              <w:rPr>
                <w:rFonts w:ascii="Arial" w:cs="Arial" w:eastAsia="Arial" w:hAnsi="Arial"/>
                <w:sz w:val="18"/>
                <w:szCs w:val="18"/>
                <w:color w:val="auto"/>
              </w:rPr>
              <w:t>760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1,160</w:t>
            </w:r>
          </w:p>
        </w:tc>
      </w:tr>
      <w:tr>
        <w:trPr>
          <w:trHeight w:val="27"/>
        </w:trPr>
        <w:tc>
          <w:tcPr>
            <w:tcW w:w="51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share awards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rPr>
              <w:t>136</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rPr>
              <w:t>176</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Convertible Senior Notes and warrants</w:t>
            </w:r>
          </w:p>
        </w:tc>
        <w:tc>
          <w:tcPr>
            <w:tcW w:w="2200" w:type="dxa"/>
            <w:vAlign w:val="bottom"/>
          </w:tcPr>
          <w:p>
            <w:pPr>
              <w:jc w:val="right"/>
              <w:ind w:right="737"/>
              <w:spacing w:after="0"/>
              <w:rPr>
                <w:sz w:val="20"/>
                <w:szCs w:val="20"/>
                <w:color w:val="auto"/>
              </w:rPr>
            </w:pPr>
            <w:r>
              <w:rPr>
                <w:rFonts w:ascii="Arial" w:cs="Arial" w:eastAsia="Arial" w:hAnsi="Arial"/>
                <w:sz w:val="18"/>
                <w:szCs w:val="18"/>
                <w:color w:val="auto"/>
              </w:rPr>
              <w:t>880</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160" w:type="dxa"/>
            <w:vAlign w:val="bottom"/>
          </w:tcPr>
          <w:p>
            <w:pPr>
              <w:jc w:val="right"/>
              <w:ind w:right="697"/>
              <w:spacing w:after="0"/>
              <w:rPr>
                <w:sz w:val="20"/>
                <w:szCs w:val="20"/>
                <w:color w:val="auto"/>
              </w:rPr>
            </w:pPr>
            <w:r>
              <w:rPr>
                <w:rFonts w:ascii="Arial" w:cs="Arial" w:eastAsia="Arial" w:hAnsi="Arial"/>
                <w:sz w:val="18"/>
                <w:szCs w:val="18"/>
                <w:color w:val="auto"/>
              </w:rPr>
              <w:t>888</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535</w:t>
            </w:r>
          </w:p>
        </w:tc>
      </w:tr>
      <w:tr>
        <w:trPr>
          <w:trHeight w:val="27"/>
        </w:trPr>
        <w:tc>
          <w:tcPr>
            <w:tcW w:w="5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common shares</w:t>
            </w:r>
          </w:p>
        </w:tc>
        <w:tc>
          <w:tcPr>
            <w:tcW w:w="220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b w:val="1"/>
                <w:bCs w:val="1"/>
                <w:color w:val="auto"/>
              </w:rPr>
              <w:t>14,632</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b w:val="1"/>
                <w:bCs w:val="1"/>
                <w:color w:val="auto"/>
              </w:rPr>
              <w:t>14,629</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14,299</w:t>
            </w:r>
          </w:p>
        </w:tc>
      </w:tr>
      <w:tr>
        <w:trPr>
          <w:trHeight w:val="27"/>
        </w:trPr>
        <w:tc>
          <w:tcPr>
            <w:tcW w:w="5160" w:type="dxa"/>
            <w:vAlign w:val="bottom"/>
            <w:shd w:val="clear" w:color="auto" w:fill="000000"/>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each of the three and nine months ended September 30, 2019, the weighted average shares that were anti-dilutive, and therefore excluded from the calculation of diluted income per share, included options to purchase 0.1 million shares of common stock. For the three months ended September 30, 2018, the weighted average shares that were anti-dilutive included options to purchase 0.5 million shares of common stock and 0.1 million restricted stock units. For the nine months ended September 30, 2018, the weighted average shares that were anti-dilutive included options to purchase 0.4 million shares of common stock.</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0.625% Convertible Senior Notes due June 1, 2022 and the warrants issued by the Company in 2017 could be converted into the Company’s common stock, subject to certain contingencies.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w:t>
      </w:r>
    </w:p>
    <w:p>
      <w:pPr>
        <w:spacing w:after="0" w:line="11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Shares of the Company's common stock associated with the warrants were excluded from the calculation of diluted income per share for the three months ended September 30, 2018 as they were anti-dilutive since the strike price of the warrants was greater than the average market price of the Company's common stock during the period.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each of February 2018 and February 2019, the board of directors authorized and the Company announced the repurchase of up to $100.0 million and $150.0 million, respectively, of LendingTree's common stock. During the first nine months of 2019 and 2018, the Company purchased 18,580 and 205,310 shares, respectively, of its common stock for aggregate consideration of $4.3 million and $57.2 million, respectively. At September 30, 2019, approximately $180.9 million of the previous authorizations to repurchase common stock remain available.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3"/>
          </w:tcPr>
          <w:p>
            <w:pPr>
              <w:jc w:val="right"/>
              <w:ind w:right="83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208</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558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marketing expense</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835</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4,867</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8,627</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30,534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25,617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1,127</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80"/>
              <w:spacing w:after="0"/>
              <w:rPr>
                <w:sz w:val="20"/>
                <w:szCs w:val="20"/>
                <w:color w:val="auto"/>
              </w:rPr>
            </w:pPr>
            <w:r>
              <w:rPr>
                <w:rFonts w:ascii="Arial" w:cs="Arial" w:eastAsia="Arial" w:hAnsi="Arial"/>
                <w:sz w:val="18"/>
                <w:szCs w:val="18"/>
                <w:color w:val="auto"/>
              </w:rPr>
              <w:t>4,873</w:t>
            </w:r>
          </w:p>
        </w:tc>
        <w:tc>
          <w:tcPr>
            <w:tcW w:w="26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non-cash compensation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10,797</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12,097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40,832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34,384</w:t>
            </w:r>
          </w:p>
        </w:tc>
        <w:tc>
          <w:tcPr>
            <w:tcW w:w="0" w:type="dxa"/>
            <w:vAlign w:val="bottom"/>
          </w:tcPr>
          <w:p>
            <w:pPr>
              <w:spacing w:after="0"/>
              <w:rPr>
                <w:sz w:val="1"/>
                <w:szCs w:val="1"/>
                <w:color w:val="auto"/>
              </w:rPr>
            </w:pPr>
          </w:p>
        </w:tc>
      </w:tr>
      <w:tr>
        <w:trPr>
          <w:trHeight w:val="648"/>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60" w:type="dxa"/>
            <w:vAlign w:val="bottom"/>
          </w:tcPr>
          <w:p>
            <w:pPr>
              <w:ind w:left="340"/>
              <w:spacing w:after="0"/>
              <w:rPr>
                <w:sz w:val="20"/>
                <w:szCs w:val="20"/>
                <w:color w:val="auto"/>
              </w:rPr>
            </w:pPr>
            <w:r>
              <w:rPr>
                <w:rFonts w:ascii="Arial" w:cs="Arial" w:eastAsia="Arial" w:hAnsi="Arial"/>
                <w:sz w:val="18"/>
                <w:szCs w:val="18"/>
                <w:color w:val="auto"/>
                <w:w w:val="92"/>
              </w:rPr>
              <w:t>A summary of changes in outstanding stock options is as follows: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Number of Options</w:t>
            </w: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60" w:type="dxa"/>
            <w:vAlign w:val="bottom"/>
            <w:gridSpan w:val="3"/>
          </w:tcPr>
          <w:p>
            <w:pPr>
              <w:jc w:val="center"/>
              <w:ind w:right="40"/>
              <w:spacing w:after="0"/>
              <w:rPr>
                <w:sz w:val="20"/>
                <w:szCs w:val="20"/>
                <w:color w:val="auto"/>
              </w:rPr>
            </w:pPr>
            <w:r>
              <w:rPr>
                <w:rFonts w:ascii="Arial" w:cs="Arial" w:eastAsia="Arial" w:hAnsi="Arial"/>
                <w:sz w:val="14"/>
                <w:szCs w:val="14"/>
                <w:b w:val="1"/>
                <w:bCs w:val="1"/>
                <w:i w:val="1"/>
                <w:iCs w:val="1"/>
                <w:color w:val="auto"/>
                <w:w w:val="89"/>
              </w:rPr>
              <w:t>(per option)</w:t>
            </w:r>
          </w:p>
        </w:tc>
        <w:tc>
          <w:tcPr>
            <w:tcW w:w="240" w:type="dxa"/>
            <w:vAlign w:val="bottom"/>
          </w:tcPr>
          <w:p>
            <w:pPr>
              <w:spacing w:after="0"/>
              <w:rPr>
                <w:sz w:val="16"/>
                <w:szCs w:val="16"/>
                <w:color w:val="auto"/>
              </w:rPr>
            </w:pPr>
          </w:p>
        </w:tc>
        <w:tc>
          <w:tcPr>
            <w:tcW w:w="1300" w:type="dxa"/>
            <w:vAlign w:val="bottom"/>
          </w:tcPr>
          <w:p>
            <w:pPr>
              <w:jc w:val="center"/>
              <w:ind w:right="220"/>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940,533</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20" w:type="dxa"/>
            <w:vAlign w:val="bottom"/>
          </w:tcPr>
          <w:p>
            <w:pPr>
              <w:spacing w:after="0"/>
              <w:rPr>
                <w:sz w:val="23"/>
                <w:szCs w:val="23"/>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42,417</w:t>
            </w:r>
          </w:p>
        </w:tc>
        <w:tc>
          <w:tcPr>
            <w:tcW w:w="660" w:type="dxa"/>
            <w:vAlign w:val="bottom"/>
          </w:tcPr>
          <w:p>
            <w:pPr>
              <w:spacing w:after="0"/>
              <w:rPr>
                <w:sz w:val="23"/>
                <w:szCs w:val="23"/>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321.93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(135,992)</w:t>
            </w:r>
          </w:p>
        </w:tc>
        <w:tc>
          <w:tcPr>
            <w:tcW w:w="6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(38,451)</w:t>
            </w:r>
          </w:p>
        </w:tc>
        <w:tc>
          <w:tcPr>
            <w:tcW w:w="6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318.79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2019</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808,507</w:t>
            </w:r>
          </w:p>
        </w:tc>
        <w:tc>
          <w:tcPr>
            <w:tcW w:w="6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70.18</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195,171</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683,824</w:t>
            </w:r>
          </w:p>
        </w:tc>
        <w:tc>
          <w:tcPr>
            <w:tcW w:w="6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186,663</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$310.43 on the last trading day of the quarter ended September 30, 2019 and the exercise price, multiplied by the number of shares covered by in-the-money options) that would have been received by the option holder had the option holder exercised these options on September 30, 2019. The intrinsic value changes based on the market value of the Company's common stock.</w:t>
      </w:r>
    </w:p>
    <w:p>
      <w:pPr>
        <w:spacing w:after="0" w:line="132"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nine months ended September 30, 2019, the Company granted stock options to certain employees and members of the board of directors with a weighted average grant date fair value per share of $166.22, calculated using the Black-Scholes option pricing model, which vesting periods include (a) immediate vesting on grant date, (b) one year from grant date, (c) three years from grant date and (d) four years from grant date.</w:t>
      </w:r>
    </w:p>
    <w:p>
      <w:pPr>
        <w:spacing w:after="0" w:line="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5.00 - 6.25 years</w:t>
            </w:r>
          </w:p>
        </w:tc>
      </w:tr>
      <w:tr>
        <w:trPr>
          <w:trHeight w:val="270"/>
        </w:trPr>
        <w:tc>
          <w:tcPr>
            <w:tcW w:w="5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5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5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5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51 - 55%</w:t>
            </w:r>
          </w:p>
        </w:tc>
      </w:tr>
      <w:tr>
        <w:trPr>
          <w:trHeight w:val="270"/>
        </w:trPr>
        <w:tc>
          <w:tcPr>
            <w:tcW w:w="554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506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1.46% - 2.55%</w:t>
            </w:r>
          </w:p>
        </w:tc>
      </w:tr>
    </w:tbl>
    <w:p>
      <w:pPr>
        <w:spacing w:after="0" w:line="148" w:lineRule="exact"/>
        <w:rPr>
          <w:sz w:val="20"/>
          <w:szCs w:val="20"/>
          <w:color w:val="auto"/>
        </w:rPr>
      </w:pPr>
    </w:p>
    <w:p>
      <w:pPr>
        <w:jc w:val="both"/>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2019,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performance conditions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vMerge w:val="restart"/>
          </w:tcPr>
          <w:p>
            <w:pPr>
              <w:jc w:val="center"/>
              <w:ind w:right="377"/>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3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 Performance</w:t>
            </w:r>
          </w:p>
        </w:tc>
        <w:tc>
          <w:tcPr>
            <w:tcW w:w="340" w:type="dxa"/>
            <w:vAlign w:val="bottom"/>
          </w:tcPr>
          <w:p>
            <w:pPr>
              <w:spacing w:after="0"/>
              <w:rPr>
                <w:sz w:val="12"/>
                <w:szCs w:val="12"/>
                <w:color w:val="auto"/>
              </w:rPr>
            </w:pPr>
          </w:p>
        </w:tc>
        <w:tc>
          <w:tcPr>
            <w:tcW w:w="140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w w:val="93"/>
              </w:rPr>
              <w:t>Price</w:t>
            </w:r>
          </w:p>
        </w:tc>
        <w:tc>
          <w:tcPr>
            <w:tcW w:w="14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center"/>
              <w:ind w:right="377"/>
              <w:spacing w:after="0"/>
              <w:rPr>
                <w:sz w:val="20"/>
                <w:szCs w:val="20"/>
                <w:color w:val="auto"/>
              </w:rPr>
            </w:pPr>
            <w:r>
              <w:rPr>
                <w:rFonts w:ascii="Arial" w:cs="Arial" w:eastAsia="Arial" w:hAnsi="Arial"/>
                <w:sz w:val="14"/>
                <w:szCs w:val="14"/>
                <w:b w:val="1"/>
                <w:bCs w:val="1"/>
                <w:i w:val="1"/>
                <w:iCs w:val="1"/>
                <w:color w:val="auto"/>
                <w:w w:val="89"/>
              </w:rPr>
              <w:t>(per option)</w:t>
            </w:r>
          </w:p>
        </w:tc>
        <w:tc>
          <w:tcPr>
            <w:tcW w:w="14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9"/>
              </w:rPr>
              <w:t>(in years)</w:t>
            </w:r>
          </w:p>
        </w:tc>
        <w:tc>
          <w:tcPr>
            <w:tcW w:w="280" w:type="dxa"/>
            <w:vAlign w:val="bottom"/>
          </w:tcPr>
          <w:p>
            <w:pPr>
              <w:spacing w:after="0"/>
              <w:rPr>
                <w:sz w:val="16"/>
                <w:szCs w:val="16"/>
                <w:color w:val="auto"/>
              </w:rPr>
            </w:pPr>
          </w:p>
        </w:tc>
        <w:tc>
          <w:tcPr>
            <w:tcW w:w="1260" w:type="dxa"/>
            <w:vAlign w:val="bottom"/>
          </w:tcPr>
          <w:p>
            <w:pPr>
              <w:jc w:val="center"/>
              <w:ind w:right="16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37,877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40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(11,876)</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308.90</w:t>
            </w:r>
          </w:p>
        </w:tc>
        <w:tc>
          <w:tcPr>
            <w:tcW w:w="14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2019</w:t>
            </w:r>
          </w:p>
        </w:tc>
        <w:tc>
          <w:tcPr>
            <w:tcW w:w="15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26,001</w:t>
            </w: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217"/>
              <w:spacing w:after="0"/>
              <w:rPr>
                <w:sz w:val="20"/>
                <w:szCs w:val="20"/>
                <w:color w:val="auto"/>
              </w:rPr>
            </w:pPr>
            <w:r>
              <w:rPr>
                <w:rFonts w:ascii="Arial" w:cs="Arial" w:eastAsia="Arial" w:hAnsi="Arial"/>
                <w:sz w:val="18"/>
                <w:szCs w:val="18"/>
                <w:b w:val="1"/>
                <w:bCs w:val="1"/>
                <w:color w:val="auto"/>
              </w:rPr>
              <w:t>308.90</w:t>
            </w: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0.83</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2019</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$310.43 on the last trading day of the quarter ended September 30, 2019 and the exercise price, multiplied by the number of shares covered by in-the-money options) that would have been received by the option holder had the option holder exercised these options on September 30, 2019. The intrinsic value changes based on the market value of the Company's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vMerge w:val="restart"/>
          </w:tcPr>
          <w:p>
            <w:pPr>
              <w:jc w:val="center"/>
              <w:ind w:right="357"/>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44"/>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 Options</w:t>
            </w:r>
          </w:p>
        </w:tc>
        <w:tc>
          <w:tcPr>
            <w:tcW w:w="3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tcPr>
          <w:p>
            <w:pPr>
              <w:jc w:val="center"/>
              <w:ind w:right="357"/>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with Market</w:t>
            </w:r>
          </w:p>
        </w:tc>
        <w:tc>
          <w:tcPr>
            <w:tcW w:w="360" w:type="dxa"/>
            <w:vAlign w:val="bottom"/>
          </w:tcPr>
          <w:p>
            <w:pPr>
              <w:spacing w:after="0"/>
              <w:rPr>
                <w:sz w:val="12"/>
                <w:szCs w:val="12"/>
                <w:color w:val="auto"/>
              </w:rPr>
            </w:pPr>
          </w:p>
        </w:tc>
        <w:tc>
          <w:tcPr>
            <w:tcW w:w="1420" w:type="dxa"/>
            <w:vAlign w:val="bottom"/>
          </w:tcPr>
          <w:p>
            <w:pPr>
              <w:jc w:val="center"/>
              <w:ind w:right="337"/>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6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Conditions</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center"/>
              <w:ind w:right="357"/>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64"/>
              <w:spacing w:after="0"/>
              <w:rPr>
                <w:sz w:val="20"/>
                <w:szCs w:val="20"/>
                <w:color w:val="auto"/>
              </w:rPr>
            </w:pPr>
            <w:r>
              <w:rPr>
                <w:rFonts w:ascii="Arial" w:cs="Arial" w:eastAsia="Arial" w:hAnsi="Arial"/>
                <w:sz w:val="14"/>
                <w:szCs w:val="14"/>
                <w:b w:val="1"/>
                <w:bCs w:val="1"/>
                <w:i w:val="1"/>
                <w:iCs w:val="1"/>
                <w:color w:val="auto"/>
                <w:w w:val="89"/>
              </w:rPr>
              <w:t>(in years)</w:t>
            </w:r>
          </w:p>
        </w:tc>
        <w:tc>
          <w:tcPr>
            <w:tcW w:w="260" w:type="dxa"/>
            <w:vAlign w:val="bottom"/>
          </w:tcPr>
          <w:p>
            <w:pPr>
              <w:spacing w:after="0"/>
              <w:rPr>
                <w:sz w:val="16"/>
                <w:szCs w:val="16"/>
                <w:color w:val="auto"/>
              </w:rPr>
            </w:pPr>
          </w:p>
        </w:tc>
        <w:tc>
          <w:tcPr>
            <w:tcW w:w="126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at January 1,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447,193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200.51</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5"/>
                <w:szCs w:val="25"/>
                <w:color w:val="auto"/>
                <w:vertAlign w:val="superscript"/>
              </w:rPr>
              <w:t>(b)</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16,247</w:t>
            </w:r>
          </w:p>
        </w:tc>
        <w:tc>
          <w:tcPr>
            <w:tcW w:w="360" w:type="dxa"/>
            <w:vAlign w:val="bottom"/>
          </w:tcPr>
          <w:p>
            <w:pPr>
              <w:spacing w:after="0"/>
              <w:rPr>
                <w:sz w:val="23"/>
                <w:szCs w:val="23"/>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308.96</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2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Options outstanding at September 30, 2019</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463,440</w:t>
            </w: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204.31</w:t>
            </w:r>
          </w:p>
        </w:tc>
        <w:tc>
          <w:tcPr>
            <w:tcW w:w="14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7.92</w:t>
            </w:r>
          </w:p>
        </w:tc>
        <w:tc>
          <w:tcPr>
            <w:tcW w:w="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b w:val="1"/>
                <w:bCs w:val="1"/>
                <w:color w:val="auto"/>
              </w:rPr>
              <w:t>51,017</w:t>
            </w:r>
          </w:p>
        </w:tc>
        <w:tc>
          <w:tcPr>
            <w:tcW w:w="0" w:type="dxa"/>
            <w:vAlign w:val="bottom"/>
          </w:tcPr>
          <w:p>
            <w:pPr>
              <w:spacing w:after="0"/>
              <w:rPr>
                <w:sz w:val="1"/>
                <w:szCs w:val="1"/>
                <w:color w:val="auto"/>
              </w:rPr>
            </w:pPr>
          </w:p>
        </w:tc>
      </w:tr>
      <w:tr>
        <w:trPr>
          <w:trHeight w:val="34"/>
        </w:trPr>
        <w:tc>
          <w:tcPr>
            <w:tcW w:w="5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September 30, 2019</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$310.43 on the last trading day of the quarter ended September 30, 2019 and the exercise price, multiplied by the number of shares covered by in-the-money options) that would have been received by the option holder had the option holder exercised these options on September 30, 2019. The intrinsic value changes based on the market value of the Company's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nine months ended September 30, 2019, the Company granted stock options with a grant date fair value per share of $230.81, calculated using the Monte Carlo simulation model, which has a vesting date of March 31, 2023.</w:t>
      </w:r>
    </w:p>
    <w:p>
      <w:pPr>
        <w:spacing w:after="0" w:line="116"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For purposes of determining stock-based compensation expense, the grant date fair value per share of the stock options was estimated using the Monte Carlo simulation model, which requires the use of various key assumptions. The assumptions used are as follows:</w:t>
      </w:r>
    </w:p>
    <w:p>
      <w:pPr>
        <w:spacing w:after="0" w:line="62"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5"/>
                <w:szCs w:val="25"/>
                <w:color w:val="auto"/>
                <w:vertAlign w:val="superscript"/>
              </w:rPr>
              <w:t>(1)</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 years</w:t>
            </w:r>
          </w:p>
        </w:tc>
      </w:tr>
      <w:tr>
        <w:trPr>
          <w:trHeight w:val="270"/>
        </w:trPr>
        <w:tc>
          <w:tcPr>
            <w:tcW w:w="57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5"/>
                <w:szCs w:val="25"/>
                <w:color w:val="auto"/>
                <w:vertAlign w:val="superscript"/>
              </w:rPr>
              <w:t>(2)</w:t>
            </w:r>
          </w:p>
        </w:tc>
        <w:tc>
          <w:tcPr>
            <w:tcW w:w="4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5"/>
                <w:szCs w:val="25"/>
                <w:color w:val="auto"/>
                <w:vertAlign w:val="superscript"/>
              </w:rPr>
              <w:t>(3)</w:t>
            </w:r>
          </w:p>
        </w:tc>
        <w:tc>
          <w:tcPr>
            <w:tcW w:w="4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5780" w:type="dxa"/>
            <w:vAlign w:val="bottom"/>
            <w:tcBorders>
              <w:bottom w:val="single" w:sz="8" w:color="999999"/>
            </w:tcBorders>
          </w:tcPr>
          <w:p>
            <w:pPr>
              <w:ind w:left="20"/>
              <w:spacing w:after="0" w:line="27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5"/>
                <w:szCs w:val="25"/>
                <w:color w:val="auto"/>
                <w:vertAlign w:val="superscript"/>
              </w:rPr>
              <w:t>(4)</w:t>
            </w:r>
          </w:p>
        </w:tc>
        <w:tc>
          <w:tcPr>
            <w:tcW w:w="4820" w:type="dxa"/>
            <w:vAlign w:val="bottom"/>
            <w:tcBorders>
              <w:bottom w:val="single" w:sz="8" w:color="999999"/>
            </w:tcBorders>
          </w:tcPr>
          <w:p>
            <w:pPr>
              <w:jc w:val="right"/>
              <w:ind w:right="10"/>
              <w:spacing w:after="0"/>
              <w:rPr>
                <w:sz w:val="20"/>
                <w:szCs w:val="20"/>
                <w:color w:val="auto"/>
              </w:rPr>
            </w:pPr>
            <w:r>
              <w:rPr>
                <w:rFonts w:ascii="Arial" w:cs="Arial" w:eastAsia="Arial" w:hAnsi="Arial"/>
                <w:sz w:val="18"/>
                <w:szCs w:val="18"/>
                <w:color w:val="auto"/>
              </w:rPr>
              <w:t>2.54%</w:t>
            </w:r>
          </w:p>
        </w:tc>
      </w:tr>
    </w:tbl>
    <w:p>
      <w:pPr>
        <w:spacing w:after="0" w:line="148"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term of stock options with a market condition granted was calculated using the midpoint between the time of vesting and the end of the contractual term.</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all stock options with a market condition granted in 2019,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 maximum of 773,945 shares may be earned for achieving superior performance up to 167% of the target number of shares. As of September 30, 2019, performance-based nonqualified stock options with a market condition of 481,669 had been earned, which have a vesting date of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3"/>
                <w:szCs w:val="13"/>
                <w:color w:val="auto"/>
              </w:rPr>
            </w:pPr>
          </w:p>
        </w:tc>
        <w:tc>
          <w:tcPr>
            <w:tcW w:w="164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jc w:val="center"/>
              <w:ind w:right="9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4100" w:type="dxa"/>
            <w:vAlign w:val="bottom"/>
          </w:tcPr>
          <w:p>
            <w:pPr>
              <w:spacing w:after="0"/>
              <w:rPr>
                <w:sz w:val="6"/>
                <w:szCs w:val="6"/>
                <w:color w:val="auto"/>
              </w:rPr>
            </w:pPr>
          </w:p>
        </w:tc>
        <w:tc>
          <w:tcPr>
            <w:tcW w:w="35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5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201,568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225.48</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Granted</w:t>
            </w:r>
          </w:p>
        </w:tc>
        <w:tc>
          <w:tcPr>
            <w:tcW w:w="5440" w:type="dxa"/>
            <w:vAlign w:val="bottom"/>
            <w:gridSpan w:val="2"/>
          </w:tcPr>
          <w:p>
            <w:pPr>
              <w:jc w:val="right"/>
              <w:ind w:right="88"/>
              <w:spacing w:after="0"/>
              <w:rPr>
                <w:sz w:val="20"/>
                <w:szCs w:val="20"/>
                <w:color w:val="auto"/>
              </w:rPr>
            </w:pPr>
            <w:r>
              <w:rPr>
                <w:rFonts w:ascii="Arial" w:cs="Arial" w:eastAsia="Arial" w:hAnsi="Arial"/>
                <w:sz w:val="18"/>
                <w:szCs w:val="18"/>
                <w:color w:val="auto"/>
              </w:rPr>
              <w:t>58,689</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(72,908)</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440" w:type="dxa"/>
            <w:vAlign w:val="bottom"/>
            <w:gridSpan w:val="2"/>
          </w:tcPr>
          <w:p>
            <w:pPr>
              <w:jc w:val="right"/>
              <w:ind w:right="28"/>
              <w:spacing w:after="0"/>
              <w:rPr>
                <w:sz w:val="20"/>
                <w:szCs w:val="20"/>
                <w:color w:val="auto"/>
              </w:rPr>
            </w:pPr>
            <w:r>
              <w:rPr>
                <w:rFonts w:ascii="Arial" w:cs="Arial" w:eastAsia="Arial" w:hAnsi="Arial"/>
                <w:sz w:val="18"/>
                <w:szCs w:val="18"/>
                <w:color w:val="auto"/>
              </w:rPr>
              <w:t>(32,971)</w:t>
            </w:r>
          </w:p>
        </w:tc>
        <w:tc>
          <w:tcPr>
            <w:tcW w:w="24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288.97</w:t>
            </w:r>
          </w:p>
        </w:tc>
        <w:tc>
          <w:tcPr>
            <w:tcW w:w="0" w:type="dxa"/>
            <w:vAlign w:val="bottom"/>
          </w:tcPr>
          <w:p>
            <w:pPr>
              <w:spacing w:after="0"/>
              <w:rPr>
                <w:sz w:val="1"/>
                <w:szCs w:val="1"/>
                <w:color w:val="auto"/>
              </w:rPr>
            </w:pPr>
          </w:p>
        </w:tc>
      </w:tr>
      <w:tr>
        <w:trPr>
          <w:trHeight w:val="27"/>
        </w:trPr>
        <w:tc>
          <w:tcPr>
            <w:tcW w:w="41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2019</w:t>
            </w:r>
          </w:p>
        </w:tc>
        <w:tc>
          <w:tcPr>
            <w:tcW w:w="5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154,378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262.64</w:t>
            </w:r>
          </w:p>
        </w:tc>
        <w:tc>
          <w:tcPr>
            <w:tcW w:w="0" w:type="dxa"/>
            <w:vAlign w:val="bottom"/>
          </w:tcPr>
          <w:p>
            <w:pPr>
              <w:spacing w:after="0"/>
              <w:rPr>
                <w:sz w:val="1"/>
                <w:szCs w:val="1"/>
                <w:color w:val="auto"/>
              </w:rPr>
            </w:pPr>
          </w:p>
        </w:tc>
      </w:tr>
      <w:tr>
        <w:trPr>
          <w:trHeight w:val="675"/>
        </w:trPr>
        <w:tc>
          <w:tcPr>
            <w:tcW w:w="4100" w:type="dxa"/>
            <w:vAlign w:val="bottom"/>
            <w:tcBorders>
              <w:top w:val="single" w:sz="8" w:color="auto"/>
            </w:tcBorders>
          </w:tcPr>
          <w:p>
            <w:pPr>
              <w:spacing w:after="0"/>
              <w:rPr>
                <w:sz w:val="24"/>
                <w:szCs w:val="24"/>
                <w:color w:val="auto"/>
              </w:rPr>
            </w:pPr>
          </w:p>
        </w:tc>
        <w:tc>
          <w:tcPr>
            <w:tcW w:w="3560" w:type="dxa"/>
            <w:vAlign w:val="bottom"/>
            <w:tcBorders>
              <w:top w:val="single" w:sz="8" w:color="auto"/>
            </w:tcBorders>
          </w:tcPr>
          <w:p>
            <w:pPr>
              <w:jc w:val="right"/>
              <w:ind w:right="1770"/>
              <w:spacing w:after="0"/>
              <w:rPr>
                <w:sz w:val="20"/>
                <w:szCs w:val="20"/>
                <w:color w:val="auto"/>
              </w:rPr>
            </w:pPr>
            <w:r>
              <w:rPr>
                <w:rFonts w:ascii="Arial" w:cs="Arial" w:eastAsia="Arial" w:hAnsi="Arial"/>
                <w:sz w:val="18"/>
                <w:szCs w:val="18"/>
                <w:color w:val="auto"/>
              </w:rPr>
              <w:t>24</w:t>
            </w:r>
          </w:p>
        </w:tc>
        <w:tc>
          <w:tcPr>
            <w:tcW w:w="1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 with Performance Conditions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RSUs with performance conditions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RSUs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92,481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182.28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(40,458)</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(31,049)</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212.09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20,974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214.58</w:t>
            </w:r>
          </w:p>
        </w:tc>
        <w:tc>
          <w:tcPr>
            <w:tcW w:w="0" w:type="dxa"/>
            <w:vAlign w:val="bottom"/>
          </w:tcPr>
          <w:p>
            <w:pPr>
              <w:spacing w:after="0"/>
              <w:rPr>
                <w:sz w:val="1"/>
                <w:szCs w:val="1"/>
                <w:color w:val="auto"/>
              </w:rPr>
            </w:pPr>
          </w:p>
        </w:tc>
      </w:tr>
      <w:tr>
        <w:trPr>
          <w:trHeight w:val="648"/>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Performance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540" w:type="dxa"/>
            <w:vAlign w:val="bottom"/>
            <w:gridSpan w:val="2"/>
          </w:tcPr>
          <w:p>
            <w:pPr>
              <w:ind w:left="340"/>
              <w:spacing w:after="0"/>
              <w:rPr>
                <w:sz w:val="20"/>
                <w:szCs w:val="20"/>
                <w:color w:val="auto"/>
              </w:rPr>
            </w:pPr>
            <w:r>
              <w:rPr>
                <w:rFonts w:ascii="Arial" w:cs="Arial" w:eastAsia="Arial" w:hAnsi="Arial"/>
                <w:sz w:val="18"/>
                <w:szCs w:val="18"/>
                <w:color w:val="auto"/>
                <w:w w:val="92"/>
              </w:rPr>
              <w:t>A summary of changes in outstanding nonvested restricted stock awards ("RSAs") with performance conditions is as follows: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RSAs with Performance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71,412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(17,853)</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53,559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648"/>
        </w:trPr>
        <w:tc>
          <w:tcPr>
            <w:tcW w:w="76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Restricted Stock Awards with Market Conditions</w:t>
            </w:r>
          </w:p>
        </w:tc>
        <w:tc>
          <w:tcPr>
            <w:tcW w:w="18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60" w:type="dxa"/>
            <w:vAlign w:val="bottom"/>
          </w:tcPr>
          <w:p>
            <w:pPr>
              <w:ind w:left="340"/>
              <w:spacing w:after="0"/>
              <w:rPr>
                <w:sz w:val="20"/>
                <w:szCs w:val="20"/>
                <w:color w:val="auto"/>
              </w:rPr>
            </w:pPr>
            <w:r>
              <w:rPr>
                <w:rFonts w:ascii="Arial" w:cs="Arial" w:eastAsia="Arial" w:hAnsi="Arial"/>
                <w:sz w:val="18"/>
                <w:szCs w:val="18"/>
                <w:color w:val="auto"/>
                <w:w w:val="91"/>
              </w:rPr>
              <w:t>A summary of changes in outstanding nonvested RSAs with market conditions at target is as follows: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660" w:type="dxa"/>
            <w:vAlign w:val="bottom"/>
          </w:tcPr>
          <w:p>
            <w:pPr>
              <w:spacing w:after="0"/>
              <w:rPr>
                <w:sz w:val="24"/>
                <w:szCs w:val="24"/>
                <w:color w:val="auto"/>
              </w:rPr>
            </w:pPr>
          </w:p>
        </w:tc>
        <w:tc>
          <w:tcPr>
            <w:tcW w:w="3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RSAs with Market Conditions</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8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3"/>
                <w:szCs w:val="13"/>
                <w:color w:val="auto"/>
              </w:rPr>
            </w:pPr>
          </w:p>
        </w:tc>
        <w:tc>
          <w:tcPr>
            <w:tcW w:w="1660" w:type="dxa"/>
            <w:vAlign w:val="bottom"/>
          </w:tcPr>
          <w:p>
            <w:pPr>
              <w:jc w:val="center"/>
              <w:ind w:right="9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January 1,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at September 30, 2019</w:t>
            </w: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26,674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7"/>
        </w:trPr>
        <w:tc>
          <w:tcPr>
            <w:tcW w:w="766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September 30, 2019, performance-based restricted stock awards with a market condition of 29,601 had been earned, which have a vesting date of September 30, 2022.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2018</w:t>
            </w:r>
          </w:p>
        </w:tc>
      </w:t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0" w:type="dxa"/>
            <w:vAlign w:val="bottom"/>
            <w:gridSpan w:val="4"/>
          </w:tcPr>
          <w:p>
            <w:pPr>
              <w:jc w:val="right"/>
              <w:ind w:right="421"/>
              <w:spacing w:after="0"/>
              <w:rPr>
                <w:sz w:val="20"/>
                <w:szCs w:val="20"/>
                <w:color w:val="auto"/>
              </w:rPr>
            </w:pPr>
            <w:r>
              <w:rPr>
                <w:rFonts w:ascii="Arial" w:cs="Arial" w:eastAsia="Arial" w:hAnsi="Arial"/>
                <w:sz w:val="14"/>
                <w:szCs w:val="14"/>
                <w:b w:val="1"/>
                <w:bCs w:val="1"/>
                <w:i w:val="1"/>
                <w:iCs w:val="1"/>
                <w:color w:val="auto"/>
                <w:w w:val="88"/>
              </w:rPr>
              <w:t>(in thousands, except percentages)</w:t>
            </w: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6"/>
        </w:trPr>
        <w:tc>
          <w:tcPr>
            <w:tcW w:w="5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(1,889)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11,552</w:t>
            </w:r>
          </w:p>
        </w:tc>
        <w:tc>
          <w:tcPr>
            <w:tcW w:w="6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63,716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i w:val="1"/>
                <w:iCs w:val="1"/>
                <w:color w:val="auto"/>
              </w:rPr>
              <w:t>7.2%</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i w:val="1"/>
                <w:iCs w:val="1"/>
                <w:color w:val="auto"/>
              </w:rPr>
              <w:t>(43.7)%</w:t>
            </w: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(140.5)%</w:t>
            </w:r>
          </w:p>
        </w:tc>
      </w:tr>
      <w:tr>
        <w:trPr>
          <w:trHeight w:val="27"/>
        </w:trPr>
        <w:tc>
          <w:tcPr>
            <w:tcW w:w="5280" w:type="dxa"/>
            <w:vAlign w:val="bottom"/>
            <w:tcBorders>
              <w:bottom w:val="single" w:sz="8" w:color="999999"/>
            </w:tcBorders>
          </w:tcPr>
          <w:p>
            <w:pPr>
              <w:spacing w:after="0"/>
              <w:rPr>
                <w:sz w:val="2"/>
                <w:szCs w:val="2"/>
                <w:color w:val="auto"/>
              </w:rPr>
            </w:pPr>
          </w:p>
        </w:tc>
        <w:tc>
          <w:tcPr>
            <w:tcW w:w="3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560" w:type="dxa"/>
            <w:vAlign w:val="bottom"/>
            <w:tcBorders>
              <w:bottom w:val="single" w:sz="8" w:color="999999"/>
            </w:tcBorders>
          </w:tcPr>
          <w:p>
            <w:pPr>
              <w:spacing w:after="0"/>
              <w:rPr>
                <w:sz w:val="2"/>
                <w:szCs w:val="2"/>
                <w:color w:val="auto"/>
              </w:rPr>
            </w:pPr>
          </w:p>
        </w:tc>
        <w:tc>
          <w:tcPr>
            <w:tcW w:w="960" w:type="dxa"/>
            <w:vAlign w:val="bottom"/>
            <w:tcBorders>
              <w:bottom w:val="single" w:sz="8" w:color="999999"/>
            </w:tcBorders>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360" w:type="dxa"/>
            <w:vAlign w:val="bottom"/>
            <w:tcBorders>
              <w:bottom w:val="single" w:sz="8" w:color="999999"/>
            </w:tcBorders>
          </w:tcPr>
          <w:p>
            <w:pPr>
              <w:spacing w:after="0"/>
              <w:rPr>
                <w:sz w:val="2"/>
                <w:szCs w:val="2"/>
                <w:color w:val="auto"/>
              </w:rPr>
            </w:pPr>
          </w:p>
        </w:tc>
        <w:tc>
          <w:tcPr>
            <w:tcW w:w="1180" w:type="dxa"/>
            <w:vAlign w:val="bottom"/>
            <w:tcBorders>
              <w:bottom w:val="single" w:sz="8" w:color="999999"/>
            </w:tcBorders>
          </w:tcPr>
          <w:p>
            <w:pPr>
              <w:spacing w:after="0"/>
              <w:rPr>
                <w:sz w:val="2"/>
                <w:szCs w:val="2"/>
                <w:color w:val="auto"/>
              </w:rPr>
            </w:pPr>
          </w:p>
        </w:tc>
        <w:tc>
          <w:tcPr>
            <w:tcW w:w="62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r>
    </w:tbl>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third quarter and first nine months of 2019, the effective tax rate varied from the federal statutory rate of 21% primarily due to a tax benefit of $2.8 million and $16.5 million, respectively, recognized for excess tax benefits due to employee exercises of stock options and vesting of restricted stock in accordance with ASU 2016-09, a tax benefit of $1.9 million recognized from an adjustment to the federal research tax credit and the effect of state taxes.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third quarter and first nine months of 2018, the effective tax rate varied from the federal statutory rate of 21% primarily due to a tax benefit of $14.3 million and $75.2 million, respectively, recognized for excess tax benefits due to employee exercises of stock options and vesting of restricted stock in accordance with ASU 2016-09 and the effect of state taxes.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6"/>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Income tax expense - excluding excess tax benefit on stock compensation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(4,989)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Excess tax benefit on stock compensation</w:t>
            </w:r>
          </w:p>
        </w:tc>
        <w:tc>
          <w:tcPr>
            <w:tcW w:w="32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2,816</w:t>
            </w:r>
          </w:p>
        </w:tc>
        <w:tc>
          <w:tcPr>
            <w:tcW w:w="5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14,321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8"/>
                <w:szCs w:val="18"/>
                <w:color w:val="auto"/>
              </w:rPr>
              <w:t>16,541</w:t>
            </w:r>
          </w:p>
        </w:tc>
        <w:tc>
          <w:tcPr>
            <w:tcW w:w="5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75,191</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11,552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63,716</w:t>
            </w:r>
          </w:p>
        </w:tc>
      </w:tr>
      <w:tr>
        <w:trPr>
          <w:trHeight w:val="27"/>
        </w:trPr>
        <w:tc>
          <w:tcPr>
            <w:tcW w:w="5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“Notes”) in a private placement. The Notes bear interest at a rate of 0.625% per year, payable semi-annually on June 1 and December 1 of each year, beginning on December 1, 2017. The Notes will mature on June 1, 2022, unless earlier repurchased or converted.</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initial conversion rate of the Notes is 4.8163 shares of Common Stock per $1,000 principal amount of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fundamental change prior to the maturity of the Notes, the Company will, in certain circumstances, increase the conversion rate by a specified number of additional shares for a holder that elects to convert the Notes in connection with such fundamental change. Upon conversion, the Notes will settle for cash, shares of the Company’s stock, or a combination thereof, at the Company’s option. It is the intent of the Company to settle the principal amount of the Notes in cash and any conversion premium in shares of its common stock.</w:t>
      </w:r>
    </w:p>
    <w:p>
      <w:pPr>
        <w:spacing w:after="0" w:line="1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Notes) per $1,000 principal amount of Notes for such trading day was less than 98% of the product of the last reported sale price of the Common Stock and the conversion rate on each such trading day; or</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Holders of the Notes became entitled to convert the Notes on January 1, 2018, based on the last reported sales price of the Company's common stock, for at least 20 trading days (whether or not consecutive) during the period of 30 consecutive trading days ending on December 31, 2017, being greater than or equal to 130% of the conversion price of the Notes on each applicable trading day. Holders of the Notes continued to have such right until June 30, 2018, based on the last reported sales price of the Company's common stock, for at least 20 trading days (whether or not consecutive) during the period of 30 consecutive trading days ending on March 31, 2018, being greater than or equal to 130% of the conversion price of the Notes on each applicable trading day. Holders of the Notes were not entitled to convert the Notes from July 1, 2018 to March 31, 2019. Holders of the Notes became entitled to convert the Notes on April 1, 2019, based on the last reported sales price of the Company's common stock, for at least 20 trading days (whether or not consecutive) during the period of 30 consecutive trading days ending on March 31, 2019, being greater than or equal to 130% of the conversion price of the Notes on each applicable trading day. Holders of the Notes will continue to have such right until December 31, 2019, based on the last reported sales price of the Company's common stock, for at least 20 trading days (whether or not consecutive) during the period of 30 consecutive trading days ending on September 30, 2019, being greater than or equal to 130% of the conversion price of the Notes on each applicable trading day.</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Notes, holders of the Notes may convert all or a portion of their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Notes prior to the maturity date and no sinking fund is provided for the Notes. Upon the occurrence of a fundamental change prior to the maturity date of the Notes, holders of the Notes may require the Company to repurchase all or a portion of the Notes for cash at a price equal to 100% of the principal amount of the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market price per share of the Common Stock, as measured under the terms of the Notes, exceeds the conversion price of the Notes, the Notes could have a dilutive effect, unless the Company elects, subject to certain conditions, to settle the principal amount of the Notes and any conversion premium in cash.</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initial measurement of convertible debt instruments that may be settled in cash is separated into a debt and equity component whereby the debt component is based on the fair value of a similar instrument that does not contain an equity conversion option. The separate components of debt and equity of the Company’s Notes were determined using an interest rate of 5.36%, which reflects the nonconvertible debt borrowing rate of the Company at the date of issuance. As a result, the initial components of debt and equity were $238.4 million and $61.6 million, respectively.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Financing costs related to the issuance of the Notes were approximately $9.3 million of which $7.4 million were allocated to the liability component and are being amortized to interest expense over the term of the debt and $1.9 million were allocated to the equity component.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nine months of 2019, the Company recorded interest expense on the Notes of $11.5 million which consisted of $1.4 million associated with the 0.625% coupon rate, $9.0 million associated with the accretion of the debt discount, and $1.1 million associated with the amortization of the debt issuance costs. In the first nine months of 2018, the Company recorded interest expense on the Notes of $10.9 million which consisted of $1.4 million associated with the 0.625% coupon rate, $8.5 million associated with the accretion of the debt discount, and $1.0 million associated with the amortization of the debt issuance costs. The debt discount is being amortized over the term of the debt.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2019, the fair value of the Notes is estimated to be approximately $482.7 million using the Level 1 observable input of the last quoted market price on September 30, 2019.</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Notes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carrying amount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299,997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34,846</w:t>
            </w:r>
          </w:p>
        </w:tc>
        <w:tc>
          <w:tcPr>
            <w:tcW w:w="32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43,805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4,178</w:t>
            </w:r>
          </w:p>
        </w:tc>
        <w:tc>
          <w:tcPr>
            <w:tcW w:w="3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5,252</w:t>
            </w:r>
          </w:p>
        </w:tc>
      </w:tr>
      <w:tr>
        <w:trPr>
          <w:trHeight w:val="23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260,973</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250,943</w:t>
            </w:r>
          </w:p>
        </w:tc>
      </w:tr>
      <w:tr>
        <w:trPr>
          <w:trHeight w:val="34"/>
        </w:trPr>
        <w:tc>
          <w:tcPr>
            <w:tcW w:w="8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in connection with the issuance of the Notes, the Company entered into Convertible Note Hedge (the “Hedge”) and Warrant transactions with respect to the Company’s common stock. The Company used approximately $18.1 million of the net proceeds from the Notes to pay for the cost of the Hedge, after such cost was partially offset by the proceeds from the Warrant transactions.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31, 2017, the Company paid $61.5 million to the counterparties for the Hedge transactions. The Hedge transactions cover approximately 1.4 million shares of the Company’s common stock, the same number of shares initially underlying the Notes, and are exercisable upon any conversion of the Notes. The Hedge Transactions are expected generally to reduce the potential dilution to the Common Stock upon conversion of the Notes and/or offset any cash payments the Company is required to make in excess of the principal amount of the converted Notes, as the case may be, in the event that the market price per share of Common Stock, as measured under the terms of the Hedge transactions, is greater than the strike price of the Hedge transactions, which initially corresponds to the initial conversion price of the Notes, or approximately $207.63 per share of Common Stock. The Hedge transactions will expire upon the maturity of the Notes.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31, 2017, the Company sold to the counterparties, warrants (the "Warrants") to acquire 1.4 million shares of Common Stock at an initial strike price of $266.39 per share, which represents a premium of 70% over the reported sale price of the Common Stock of $156.70 on May 24, 2017. On May 31, 2017, the Company received aggregate proceeds of approximately $43.4 million from the sale of the Warrants.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market price per share of the Common Stock, as measured under the terms of the Warrants, exceeds the strike price of the Warrants, the Warrants could have a dilutive effect, unless the Company elects, subject to certain conditions, to settle the Warrants in cash.</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Hedge and Warrant transactions are indexed to, and potentially settled in, the Company's common stock and the net cost of $18.1 million has been recorded as a reduction to additional paid-in capital in the consolidated statement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21, 2017, the Company's wholly-owned subsidiary, LendingTree, LLC, entered into an amended and restated $250.0 million five-year senior secured revolving credit facility which matures on November 21, 2022 (the “Revolving Credit Facility”). Under certain conditions, the Company will be permitted to add one or more term loans and/or increase revolving commitments under the Revolving Credit Facility by an additional $100.0 million or a greater amount provided that a total consolidated senior secured debt to EBITDA ratio does not exceed 2.50 to 1.00. On October 26, 2018, the Company amended the Revolving Credit Facility to increase the borrowing capacity by $100.0 million to $350.0 million. Pricing and other terms and conditions of the Revolving Credit Facility remain unchanged. Borrowings under the Revolving Credit Facility can be used to finance working capital needs, capital expenditures and general corporate purposes, including to finance permitted acquisitions. As of September 30, 2019, the Company had $85.0 million in borrowings outstanding under the Revolving Credit Facility at the LIBO rate option with a weighted average interest rate of 3.55%, consisting of a $50.0 million 31-day borrowing and a $35.0 million 30-day borrowing. As of December 31, 2018, the Company had a $125.0 million, 31-day borrowing outstanding under the Revolving Credit Facility bearing interest at the LIBO rate option of 4.02%.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Up to $10.0 million of the Revolving Credit Facility will be available for short-term loans, referred to as swingline loans. Additionally, up to $10.0 million of the Revolving Credit Facility will be available for the issuance of letters of credit.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Revolving Credit Facility bear interest at annual rates that, at the Company’s option, will be either:</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SunTrust Bank, (b) the federal funds effective rate plus 0.5% and (c) the LIBO rate (defined below) on a daily basis applicable for an interest period of one month plus 1.0% and (ii) an applicable percentage of 0.25% to 1.0% based on a total consolidated debt to EBITDA ratio; or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in the applicable currency and (ii) an applicable percentage of 1.25% to 2.0% based on a total consolidated debt to EBITDA ratio.</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swingline loans bear interest at the base rate defined above. Interest on the Company’s borrowings are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contains a restrictive financial covenant, which initially limits the total consolidated debt to EBITDA ratio to 4.5, with step downs to 4.0 over time, except that this may increase by 0.5 for the four fiscal quarters following a material acquisition. In addition, the Revolving Credit Facility contains customary affirmative and negative covenants in addition to events of default for a transaction of this type that, among other things, restrict additional indebtedness, liens, mergers or certain fundamental changes, asset dispositions, dividends, stock repurchases and other restricted payments, transactions with affiliates, sale-leaseback transactions, hedging transactions, loans and investments and other matters customarily restricted in such agreements. The Company was in compliance with all covenants at September 30, 2019.</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Revolving Credit Facility requires LendingTree, LLC to pledge as collateral, subject to certain customary exclusions, substantially all of its assets, including 100% of its equity in all of its domestic subsidiaries and 66% of the voting equity, and 100% of the non-voting equity, in all of its material foreign subsidiaries (of which there are currently none). The obligations under this facility are unconditionally guaranteed on a senior basis by LendingTree, Inc. and material domestic subsidiaries of LendingTree, LLC, which guaranties are secured by a pledge as collateral, subject to certain customary exclusions, of 100% of each such guarantor's assets, including 100% of each such guarantor’s equity in all of its domestic subsidiaries and 66% of the voting equity, and 100% of the non-voting equity, in all of its material foreign subsidiaries (of which there are currently none).</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 required to pay an unused commitment fee quarterly in arrears on the difference between committed amounts and amounts actually borrowed under the Revolving Credit Facility equal to an applicable percentage of 0.25% to 0.45% per annum based on a total consolidated debt to EBITDA ratio. The Company is required to pay a letter of credit participation fee and a letter of credit fronting fee quarterly in arrears. The letter of credit participation fee is based upon the aggregate face amount of outstanding letters of credit at an applicable percentage of 1.25% to 2.0% based on a total consolidated debt to EBITDA ratio. The letter of credit fronting fee is 0.125% per annum on the face amount of each letter of credit.</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remaining unamortized debt issuance costs associated with the original revolving credit facility entered into on October 22, 2015 and the Revolving Credit Facility, debt issuance costs of $0.5 million related to the October 2018 amendment are being amortized to interest expense over the life of the Revolving Credit Facility, and are included in prepaid and other current assets and other non-current assets in the Company's consolidated balance sheet.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nine months of 2019, the Company recorded interest expense related to the Revolving Credit Facility of $5.1 million, which consisted of $4.2 million associated with borrowings bearing interest at the LIBO rate, $0.5 million in unused commitment fees, and $0.4 million associated with the amortization of the debt issuance costs. In the first nine months of 2018, the Company recorded interest expense related to the Revolving Credit Facility of $0.6 million in unused commitment fees and $0.3 million associated with the amortization of the debt issuance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business. With respect to the matters disclosed in this Note 14,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As of September 30, 2019, the Company had litigation settlement accruals of $0.1 million and $31.0 million in continuing operations and discontinued operations, respectively. As of December 31, 2018, the Company had litigation settlement accruals of $0.2 million and $8.0 million in continuing operations and discontinued operations, respectively. The litigation settlement accruals relate to litigation matters that were either settled or a firm offer for settlement was extended, thereby establishing an accrual amount that is both probable and reasonably estimable.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17—Discontinued Operations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15—FAIR VALUE MEASUREMENTS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0.625% Convertible Senior Notes and the Warrants, the carrying amounts of the Company's financial instruments are equal to fair value at September 30, 2019.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13—Debt for additional information on the 0.625% Convertible Senior Notes and the Warrants.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Contingent consideration payments related to acquisitions are measured at fair value each reporting period using Level 3 unobservable inputs. The changes in the fair value of the Company's Level 3 liabilities during the third quarters and first nine months of 2019 and 2018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3"/>
          </w:tcPr>
          <w:p>
            <w:pPr>
              <w:jc w:val="right"/>
              <w:ind w:right="4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50,219</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15,241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38,837</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57,349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into Level 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3,839</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21,221</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Purchases, sales and settlements: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(6,000)</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(48,000)</w:t>
            </w:r>
          </w:p>
        </w:tc>
      </w:tr>
      <w:tr>
        <w:trPr>
          <w:trHeight w:val="27"/>
        </w:trPr>
        <w:tc>
          <w:tcPr>
            <w:tcW w:w="6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Contingent consideration, end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54,058</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54,058</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16,346</w:t>
            </w:r>
          </w:p>
        </w:tc>
      </w:tr>
      <w:tr>
        <w:trPr>
          <w:trHeight w:val="27"/>
        </w:trPr>
        <w:tc>
          <w:tcPr>
            <w:tcW w:w="6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contingent consideration liability at September 30, 2019 is the estimated fair value of the earnout payments of the DepositAccounts, SnapCap, Ovation and QuoteWizard acquisitions.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will make payments ranging from zero to $1.0 million based on the achievement of defined milestone targets for DepositAccounts, payments ranging from $3.0 million to $6.0 million based on the achievement of certain defined earnings targets for SnapCap, payments ranging from $4.4 million to $8.8 million based on the achievement of certain defined operating metrics for Ovation, and payments ranging from zero to $70.2 million based on the achievement of certain defined performance targets for QuoteWizard.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7—Business Acquisitions for additional information on the contingent consideration for each of these respective acquisitions.</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significant unobservable inputs used to calculate the fair value of the contingent consideration are estimated future cash flows for the acquisitions, estimated customer growth rates, estimated date and likelihood of an increase in interest rates and the discount rate. Actual results will differ from the projected results and could have a significant impact on the estimated fair value of the contingent considerations. Additionally, as the liability is stated at present value, the passage of time alone will increase the estimated fair value of the liability each reporting period. Any changes in fair value will be recorded in operating income in the consolidated statements of operations and comprehensive income.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one reportable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Mortgage and non-mortgage product 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tcPr>
          <w:p>
            <w:pPr>
              <w:spacing w:after="0"/>
              <w:rPr>
                <w:sz w:val="14"/>
                <w:szCs w:val="14"/>
                <w:color w:val="auto"/>
              </w:rPr>
            </w:pPr>
          </w:p>
        </w:tc>
      </w:tr>
      <w:tr>
        <w:trPr>
          <w:trHeight w:val="192"/>
        </w:trPr>
        <w:tc>
          <w:tcPr>
            <w:tcW w:w="3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2018</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products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62,004</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55,287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162,606</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195,697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Non-mortgage products</w:t>
            </w:r>
          </w:p>
        </w:tc>
        <w:tc>
          <w:tcPr>
            <w:tcW w:w="46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8"/>
                <w:szCs w:val="18"/>
                <w:color w:val="auto"/>
              </w:rPr>
              <w:t>248,601</w:t>
            </w:r>
          </w:p>
        </w:tc>
        <w:tc>
          <w:tcPr>
            <w:tcW w:w="8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141,770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8"/>
                <w:szCs w:val="18"/>
                <w:color w:val="auto"/>
              </w:rPr>
              <w:t>688,810</w:t>
            </w:r>
          </w:p>
        </w:tc>
        <w:tc>
          <w:tcPr>
            <w:tcW w:w="7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366,496</w:t>
            </w:r>
          </w:p>
        </w:tc>
      </w:tr>
      <w:tr>
        <w:trPr>
          <w:trHeight w:val="27"/>
        </w:trPr>
        <w:tc>
          <w:tcPr>
            <w:tcW w:w="3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310,605</w:t>
            </w:r>
          </w:p>
        </w:tc>
        <w:tc>
          <w:tcPr>
            <w:tcW w:w="8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197,057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851,416</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562,193</w:t>
            </w:r>
          </w:p>
        </w:tc>
      </w:tr>
      <w:tr>
        <w:trPr>
          <w:trHeight w:val="27"/>
        </w:trPr>
        <w:tc>
          <w:tcPr>
            <w:tcW w:w="3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17—DISCONTINUED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LendingTree Loans Business is presented as discontinued operations in the accompanying financial statements. The LendingTree Loans Business originated various consumer mortgage loans through HLC. On June 6, 2012, the Company sold substantially all of the operating assets of HLC, including the LendingTree Loans Business, for $55.9 million in cash to a wholly-owned subsidiary of Discover Financial Services ("Discover"). Discover generally did not assume liabilities of HLC that arose before the closing date, except for certain liabilities directly related to assets Discover acquired. Of the purchase price received, a portion was deposited in escrow in accordance with the agreement with Discover for certain loan loss obligations that remain with HLC following the sale. During the second quarter of 2018, the remaining funds in escrow were released to HLC in accordance with the terms of the agreement with Discover.</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closing of the sale of substantially all of the operating assets of HLC on June 6, 2012, HLC ceased to originate consumer loans. Liability for losses on previously sold loans remains with HLC and is discussed below.</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Litigation settlements and contingencies and legal fees associated with ongoing related bankruptcy and legal proceedings against the Company are included in discontinued operations in the accompanying financial statements.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Home Loan Center, Inc. Bankruptcy Filing</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On June 21, 2019, the U.S. District Court of Minnesota entered judgment in </w:t>
      </w:r>
      <w:r>
        <w:rPr>
          <w:rFonts w:ascii="Arial" w:cs="Arial" w:eastAsia="Arial" w:hAnsi="Arial"/>
          <w:sz w:val="16"/>
          <w:szCs w:val="16"/>
          <w:i w:val="1"/>
          <w:iCs w:val="1"/>
          <w:color w:val="auto"/>
        </w:rPr>
        <w:t>ResCap Liquidating Trust v. Home Loan Center, Inc.</w:t>
      </w:r>
      <w:r>
        <w:rPr>
          <w:rFonts w:ascii="Arial" w:cs="Arial" w:eastAsia="Arial" w:hAnsi="Arial"/>
          <w:sz w:val="16"/>
          <w:szCs w:val="16"/>
          <w:color w:val="auto"/>
        </w:rPr>
        <w:t xml:space="preserve">, against HLC for $68.5 million, </w:t>
      </w:r>
      <w:r>
        <w:rPr>
          <w:rFonts w:ascii="Arial" w:cs="Arial" w:eastAsia="Arial" w:hAnsi="Arial"/>
          <w:sz w:val="16"/>
          <w:szCs w:val="16"/>
          <w:i w:val="1"/>
          <w:iCs w:val="1"/>
          <w:color w:val="auto"/>
        </w:rPr>
        <w:t>see</w:t>
      </w:r>
      <w:r>
        <w:rPr>
          <w:rFonts w:ascii="Arial" w:cs="Arial" w:eastAsia="Arial" w:hAnsi="Arial"/>
          <w:sz w:val="16"/>
          <w:szCs w:val="16"/>
          <w:color w:val="auto"/>
        </w:rPr>
        <w:t xml:space="preserve"> Litigation Related to Discontinued Operations below. The judgment against HLC exceeded the assets of HLC, which were $11.2 million at July 21, 2019, including cash of $5.9 million. On July 19, 2019, HLC appealed the judgment to the United States Court of Appeals for the Eighth Circuit.</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2019, at the direction of the sole independent director of HLC, HLC voluntarily filed a petition under Chapter 11 of the United States Bankruptcy Code (the “Bankruptcy Code”) with the U.S. Bankruptcy Court in the Northern District of California in San Jose, California (the “Bankruptcy Court”) in order to preserve assets for the benefit of all creditors of HLC. On September 16, 2019, the Bankruptcy Court converted the bankruptcy to Chapter 7 of the Bankruptcy Code and appointed a Trustee to liquidate the business.</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The bankruptcy filing does not include as debtors LendingTree, Inc., LendingTree, LLC or any of their respective subsidiaries engaged in continuing operations. HLC’s filing under the Bankruptcy Code creates an automatic stay of enforcement of the judgment entered against HLC by the Minnesota court in </w:t>
      </w:r>
      <w:r>
        <w:rPr>
          <w:rFonts w:ascii="Arial" w:cs="Arial" w:eastAsia="Arial" w:hAnsi="Arial"/>
          <w:sz w:val="16"/>
          <w:szCs w:val="16"/>
          <w:i w:val="1"/>
          <w:iCs w:val="1"/>
          <w:color w:val="auto"/>
        </w:rPr>
        <w:t xml:space="preserve">ResCap Liquidating Trust v. Home Loan Center, Inc. </w:t>
      </w:r>
      <w:r>
        <w:rPr>
          <w:rFonts w:ascii="Arial" w:cs="Arial" w:eastAsia="Arial" w:hAnsi="Arial"/>
          <w:sz w:val="16"/>
          <w:szCs w:val="16"/>
          <w:color w:val="auto"/>
        </w:rPr>
        <w:t>described in Litigation Related to Discontinued Operations below. As a result of the voluntary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LendingTree, LLC was, as of the initial July 21, 2019 bankruptcy petition filing date, no longer deemed to have a controlling interest in HLC under applicable accounting standards. As a result, HLC and its consolidated subsidiary were deconsolidated from the Company’s consolidated financial statements as of July 21, 2019. The effect of such deconsolidation was the elimination of the consolidated assets and liabilities of HLC (and its consolidated subsidiary) from the Company’s consolidated balance sheets. Upon deconsolidation, in the third quarter of 2019 the Company recognized a loss of $5.5 million which includes a net gain of $4.5 million related to the removal of HLC's (and its consolidated subsidiary's) assets and liabilities and the recognition of a liability of $10.0 million related to LendingTree LLC's ownership in HLC. No consideration was received by the Company as a result of the deconsolidation. The derecognition of HLC’s cash of $5.9 million removed from the consolidated balance sheet on the deconsolidation date of July 21, 2019 is included within cash flows from operating activities attributable to discontinued operations in the accompanying consolidated statement of cash flows.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its filings with the Bankruptcy Court, HLC has indicated that it believes that it has claims against HLC’s sole shareholder, LendingTree, LLC, and its former sole director (the Company’s Chairman and Chief Executive Officer), relating to the declaration of a dividend by HLC in January 2016 of $40.0 million. The Company is obligated to advance any expenses to HLC’s former sole director related to these claims and to indemnify such former sole director to the maximum extent permitted by law. LendingTree, LLC believes the declaration of the dividends was proper, that the amounts paid to LendingTree, LLC following such declarations are not subject to recovery by HLC and that any claims by HLC relating to such dividend declarations are without merit. LendingTree, LLC intends to vigorously contest such claims. During the third quarter of 2019, LendingTree, LLC made a settlement offer to HLC for $31.0 million for the release of any and all claims against the Company, including the dividend claim. LendingTree estimates the range of potential losses related to the dividend matter to be $0.0 million to $40.0 million. An estimated liability of $31.0 million is included in the accompanying consolidated balance sheet as of September 30, 2019 related to LendingTree LLC's ownership in HLC. HLC’s voluntary petition under the Bankruptcy Code does not represent an event of default under LendingTree, LLC’s Amended and Restated Credit Agreement dated as of November 21, 2017 or the Company’s indenture dated May 31, 2017 with respect to the Company’s 0.625% Convertible Senior Notes due 2022.</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HLC sold loans it originated through its LendingTree Loans Business to investors on a servicing-released basis, so the risk of loss or default by the borrower was generally transferred to the investor. However, HLC was required by these investors to make certain representations and warranties relating to credit information, loan documentation and collateral. These representations and warranties may extend through the contractual life of the loan. Subsequent to the loan sale, if underwriting deficiencies, borrower fraud or documentation defects are discovered in individual loans, HLC may be obligated to repurchase the respective loan or indemnify the investors for any losses from borrower defaults if such deficiency or defect cannot be cured within the specified period following discovery.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HLC continues to be liable for these indemnification obligations, repurchase obligations and premium repayment obligations following the sale of substantially all of its operating assets in the second quarter of 2012. The liability for losses on previously sold loans was presented as current liabilities of discontinued operations in the accompanying consolidated balance sheet as of December 31, 2018.</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LendingTree guaranteed certain loans sold to investors in the event that HLC is unable to satisfy its repurchase and warranty obligations related to such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Related to Discontinued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Residential Funding Company</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ResCap Liquidating Trust v. Home Loan Center, Inc., Case No. 14-cv-1716 (U.S. Dist. Ct., Minn.), </w:t>
      </w:r>
      <w:r>
        <w:rPr>
          <w:rFonts w:ascii="Arial" w:cs="Arial" w:eastAsia="Arial" w:hAnsi="Arial"/>
          <w:sz w:val="18"/>
          <w:szCs w:val="18"/>
          <w:color w:val="auto"/>
        </w:rPr>
        <w:t>successor to</w:t>
      </w:r>
      <w:r>
        <w:rPr>
          <w:rFonts w:ascii="Arial" w:cs="Arial" w:eastAsia="Arial" w:hAnsi="Arial"/>
          <w:sz w:val="18"/>
          <w:szCs w:val="18"/>
          <w:i w:val="1"/>
          <w:iCs w:val="1"/>
          <w:color w:val="auto"/>
        </w:rPr>
        <w:t xml:space="preserve"> Residential Funding Company, LLC v Home Loan Center, Inc., No. 13-cv-3451 (U.S. Dist. Ct., Minn.). </w:t>
      </w:r>
      <w:r>
        <w:rPr>
          <w:rFonts w:ascii="Arial" w:cs="Arial" w:eastAsia="Arial" w:hAnsi="Arial"/>
          <w:sz w:val="18"/>
          <w:szCs w:val="18"/>
          <w:color w:val="auto"/>
        </w:rPr>
        <w:t>On or about December 16, 2013, Home Loan Center, Inc. was served in the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captioned matter, which involves claims of Residential Funding Company, LLC ("RFC") for damages for breach of contract and indemnification for certain residential mortgage loans as well as residential mortgage-backed securitizations ("RMBS") containing mortgage loans. RFC asserts that, beginning in 2008, RFC faced massive repurchase demands and lawsuits from purchasers or insurers of the loans and RMBS that RFC had sold. RFC filed for bankruptcy protection in May 2012. Plaintiff alleges that, after RFC filed for Chapter 11 protection, hundreds of proofs of claim were filed, many of which mirrored the litigation filed against RFC prior to its bankruptcy.</w:t>
      </w:r>
    </w:p>
    <w:p>
      <w:pPr>
        <w:spacing w:after="0" w:line="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December 2013, the United States Bankruptcy Court for the Southern District of New York entered an Order confirming the Second Amended Joint Chapter 11 Plan Proposed by Residential Capital, LLC et al. and the Official Committee of Unsecured Creditors. Plaintiff then began filing substantially similar complaints against approximately 80 of the loan originators from whom RFC had purchased loans, including HLC, in federal and state courts in Minnesota and New York. In each case, plaintiff claims that the defendant is liable for a portion of the global settlement in RFC’s bankruptcy.</w:t>
      </w:r>
    </w:p>
    <w:p>
      <w:pPr>
        <w:spacing w:after="0" w:line="4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Plaintiff asserted two claims against HLC: (1) breach of contract based on HLC’s alleged breach of representations and warranties concerning the quality and characteristics of the mortgage loans it sold to RFC; and (2) contractual indemnification for alleged liabilities, losses, and damages incurred by RFC arising out of purported defects in loans that RFC purchased from HLC and sold to third parties. Plaintiff alleged that the “types of defects” contained in the loans it purchased from HLC included “income misrepresentation, employment misrepresentation, appraisal misrepresentations or inaccuracies, undisclosed debt, and missing or inaccurate documents.” Plaintiff sought damages of up to $61.0 million plus attorney's fees and prejudgment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HLC denied the material allegations of the complaint and asserted numerous defenses thereto. The matter went to trial in the fourth quarter of 2018 and the jury returned a verdict of $28.7 million in favor of plaintiff. On June 21, 2019, the U.S. District Court in Minnesota entered judgment against HLC for $68.5 million. The judgment is comprised of: (i) $28.7 million in damages awarded by the jury; (ii) $14.1 million in pre-verdict interest; (iii) $23.1 million in attorneys' fees and costs, and (iv) $2.6 million in post-verdict, prejudgment interest.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HLC’s filing under the Bankruptcy Code discussed above creates an automatic stay of enforcement of the judgment entered against HLC by the U.S. District Court in Minnesota. On August 27, 2019, plaintiff filed a lawsuit captioned </w:t>
      </w:r>
      <w:r>
        <w:rPr>
          <w:rFonts w:ascii="Arial" w:cs="Arial" w:eastAsia="Arial" w:hAnsi="Arial"/>
          <w:sz w:val="18"/>
          <w:szCs w:val="18"/>
          <w:i w:val="1"/>
          <w:iCs w:val="1"/>
          <w:color w:val="auto"/>
        </w:rPr>
        <w:t>ResCap Liquidating Trust v. LendingTree, LCC, et al., Case No. 19-cv-2360 (U.S. Dist. Ct., Minn.)</w:t>
      </w:r>
      <w:r>
        <w:rPr>
          <w:rFonts w:ascii="Arial" w:cs="Arial" w:eastAsia="Arial" w:hAnsi="Arial"/>
          <w:sz w:val="18"/>
          <w:szCs w:val="18"/>
          <w:color w:val="auto"/>
        </w:rPr>
        <w:t>, seeking to hold the Company liable for the judgment against HLC, under assumption of liability, agency and alter ego theories.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believes that these claims lack merit and intends to defend this action vigorously. On October 17, 2019, the Company filed a motion to dismiss the liability and agency claims.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Lehman Brothers Holdings, Inc.</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Lehman Brothers Holdings Inc. v. 1st Advantage Mortgage, LLC et al., Case No. 08-13555 (SCC), Adversary Proceeding No. 16-01342 (SCC) (Bankr. S.D.N.Y.). </w:t>
      </w:r>
      <w:r>
        <w:rPr>
          <w:rFonts w:ascii="Arial" w:cs="Arial" w:eastAsia="Arial" w:hAnsi="Arial"/>
          <w:sz w:val="16"/>
          <w:szCs w:val="16"/>
          <w:color w:val="auto"/>
        </w:rPr>
        <w:t>In February 2016, Lehman Brothers Holdings, Inc. (“LBHI”) filed an Adversary Complaint against HLC and approximately 149 other defendants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"Complaint"). In December 2018, LBHI amended its complaint against HLC. The amended complaint references approximately 370 allegedly defective mortgage loans sold by HLC with purported "Claim Amounts" totaling $40.2 million. LBHI alleges it settled all such claims and is seeking indemnification from HLC for LBHI’s purported losses and liabilities associated with such settlements, plus prejudgment interest, attorneys’ fees, litigation costs and other expenses. The amended complaint does not specify the amount of LBHI’s purported damages. HLC believes that these claims lack merit and intends to defend this action vigorously. HLC’s filing under the Bankruptcy Code discussed above creates an automatic stay of this proceeding.</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3"/>
          </w:tcPr>
          <w:p>
            <w:pPr>
              <w:jc w:val="right"/>
              <w:ind w:right="7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318"/>
        </w:trPr>
        <w:tc>
          <w:tcPr>
            <w:tcW w:w="56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removal of HLC's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4,515</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4,515</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(32,182)</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(34,492)</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(29,977)</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1"/>
                <w:szCs w:val="21"/>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7,468</w:t>
            </w:r>
          </w:p>
        </w:tc>
        <w:tc>
          <w:tcPr>
            <w:tcW w:w="5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7,953</w:t>
            </w:r>
          </w:p>
        </w:tc>
        <w:tc>
          <w:tcPr>
            <w:tcW w:w="5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2,464</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(22,024)</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(9,269)</w:t>
            </w:r>
          </w:p>
        </w:tc>
      </w:tr>
      <w:tr>
        <w:trPr>
          <w:trHeight w:val="27"/>
        </w:trPr>
        <w:tc>
          <w:tcPr>
            <w:tcW w:w="56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3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Losses from discontinued operations included all activity of HLC prior to bankruptcy, including litigation settlements, contingencies and legal fees associated with legal proceedings, as well as a gain upon deconsolidation due to the accounting effect of HLC’s bankruptcy filing on the consolidated financial statements.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also include litigation settlements and contingencies and legal fees associated with ongoing legal proceedings against LendingTree Inc. or LendingTree LLC that arose due to the LendingTree Loans Business or the HLC bankruptcy filing.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2018 Annual Report.</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LendingTree, Inc., is the parent of LendingTree, LLC and several companies owned by LendingTree, LLC.</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and lines of credit,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partners.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loan comparison-shopping experience by providing free credit scores and credit score analysis. This platform enables us to observe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46"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LendingTree Loans business is presented as discontinued operations in the accompanying consolidated balance sheets, consolidated statements of operations and comprehensive income and consolidated cash flows for all periods presented. Except for the discussion under the heading "Discontinued Operations," the analysis within Management's Discussion and Analysis of Financial Condition and Results of Operations reflects our continuing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10, 2019, we acquired Value Holding, Inc., the parent company of ValuePenguin Inc. ("ValuePenguin"), a personal finance website that offers consumers objective analysis on a variety of financial topics from insurance to credit cards, for $106.2 million. We believe that combining ValuePenguin’s high-quality content and search engine optimization capability with recently acquired proprietary technology and insurance carrier network from QuoteWizard.com, LLC ("QuoteWizard") enables us to provide immense value to carriers and agents. This strategic acquisition positions us to achieve further scale in the insurance space as well as the broader financial services industry.</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31, 2018, we acquired QuoteWizard, one of the largest insurance comparison marketplaces in the growing online insurance advertising market, for $299.5 million in cash and potential contingent consideration payments of up to $70.2 million through October 2021, subject to achieving specific targets. QuoteWizard services clients by driving consumers to insurance companies’ websites, providing leads to agents and carriers, as well as phone transfers of consumers into carrier call centers. This acquisition has established LendingTree as a leading player in the online insurance advertising industry, while continuing our ongoing diversification within the financial services category.</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July 23, 2018, we acquired Student Loan Hero, Inc. (“Student Loan Hero”) for $62.7 million in cash, of which $2.3 million was recognized as severance expense in our consolidated statements of operations and comprehensive income. Student Loan Hero, a personal finance website dedicated to helping student loan borrowers manage their student debt, offers current and former students in-depth financial comparison tools, educational resources, and unbiased, personalized advice. This strategic transaction allows us to scale our student loan business and provide consumers with the tools and resources to better understand their personal finances and make smarter financial decisions.</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11, 2018, we acquired Ovation Credit Services, Inc. (“Ovation”), a leading provider of credit services with a strong customer service reputation for $12.1 million in cash and potential contingent consideration payments of up to $8.75 million through June 2020, subject to achieving specified targets. Ovation utilizes a proprietary software application that facilitates the credit repair process and is integrated directly with certain credit bureaus while educating consumers on credit improvement via ongoing outreach with Ovation case advisors. The proprietary software application offers consumers a simple, streamlined process to identify, dispute, and correct inaccuracies within their credit reports. Ovation's experienced management team, strong credit bureau relationships and customized software platform enable us to help more consumers achieve their original financial goals through the LendingTree platform.</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acquisitions continue our diversification strategy.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December 2016, we completed the acquisition of two office buildings in Charlotte, North Carolina, for $23.5 million in cash. The buildings were acquired with the intent to use such buildings as our corporate headquarters and rent any unused space. In November 2018, the office buildings were classified as held for sale. In February 2019, we agreed to sell these buildings to an unrelated third party, which agreement was amended in March 2019. The sale was finalized in the second quarter of 2019 for a sale price of $24.4 million, and we incurred closing fees of $0.3 million. For additional information,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6—Assets Held for Sale in the notes to the consolidated financial statements included elsewhere in this report.</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our expansion in North Carolina, in December 2016, we received a grant from the state that provides up to $4.9 million in reimbursements over 12 years beginning in 2017 for investing in real estate and infrastructure in addition to increasing jobs in North Carolina at specific targeted levels through 2020,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up to $8.4 million in reimbursements over 12 years beginning in 2020 for increasing jobs in North Carolina at specific targeted levels through 2023, and maintaining the jobs thereafter.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lending business is subject to cyclical and seasonal trends. Home sales (and purchase mortgages) typically rise during the spring and summer months and decline during the fall and winter months, while refinancing and home equity activity is principally driven by mortgage interest rates as well as real estate values. However, in certain historical periods additional factors affecting the mortgage and real estate markets, such as the 2008-2009 financial crisis and ensuing recession, have impacted customary seasonal trends.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anticipate revenue in our newer products to be cyclical as well; however, we have limited historical data to predict the nature and magnitude of this cyclicality. Based on industry data, we anticipate as our personal loan product matures we will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experience less consumer demand during the fourth and first quarters of each year. We also anticipate less consumer demand for credit cards in the fourth quarter of each year and we anticipate higher consumer demand for deposit accounts in the first quarter of each year. The majority of consumer demand for in-school student loan products occurs in the third quarter coinciding with collegiate enrollment in late summer. Other factors affecting our business include macro factors such as credit availability in the market, interest rates, the strength of the economy and employment.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 These factors combined to drive higher consumer traffic to our website for mortgage products in the third quarter of 2019 compared to the prior year quarter, the results of which were partially offset by lower revenue earned per consumer.</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dynamically adjust selling and marketing expenditures in all interest rate environments to optimize our results against these variables.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According to Freddie Mac, 30-year mortgage interest rates have decreased steadily during 2019 to a monthly average of 3.61% in September 2019. On a quarterly basis, 30-year mortgage interest rates in the third quarter of 2019 averaged 3.67%, as compared to 4.57% in the third quarter of 2018 and 4.00% in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90170</wp:posOffset>
            </wp:positionV>
            <wp:extent cx="4682490" cy="3053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249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Typically, as mortgage interest rates decline, there are more consumers in the marketplace seeking refinancings and, accordingly, the mix of mortgage origination dollars moves towards refinance mortgages. According to Mortgage Bankers Association ("MBA") data, total refinance origination dollars increased to 38% of total mortgage origination dollars in the third quarter of 2019 compared to 29% in the second quarter of 2019, while total purchase origination dollars was 62% of total mortgage origination dollars in the third quarter of 2019 compared to 71% in the second quarter of 2019. In the third quarter of 2019, total refinance origination dollars increased 107% from the third quarter of 2018 and 58% from the second quarter of 2019.</w:t>
      </w:r>
    </w:p>
    <w:p>
      <w:pPr>
        <w:spacing w:after="0" w:line="6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Looking forward, the MBA is projecting 30-year mortgage interest rates to remain relatively consistent through the end of the year. According to MBA projections, refinance origination dollars is projected to increase to 51% of total mortgage origination dollars in the fourth quarter of 2019. The refinance share of total mortgage origination dollars is projected to represent approximately 38% for 2019, compared to 28% for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 to the National Association of Realtors ("NAR"), falling interest rates contributed to an increase in existing home sales in the third quarter of 2019. The NAR expects a minimal increase in existing home sales in 2019 from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2019 and 2018</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3920" w:type="dxa"/>
            <w:vAlign w:val="bottom"/>
            <w:gridSpan w:val="7"/>
          </w:tcPr>
          <w:p>
            <w:pPr>
              <w:jc w:val="center"/>
              <w:ind w:right="200"/>
              <w:spacing w:after="0"/>
              <w:rPr>
                <w:sz w:val="20"/>
                <w:szCs w:val="20"/>
                <w:color w:val="auto"/>
              </w:rPr>
            </w:pPr>
            <w:r>
              <w:rPr>
                <w:rFonts w:ascii="Arial" w:cs="Arial" w:eastAsia="Arial" w:hAnsi="Arial"/>
                <w:sz w:val="16"/>
                <w:szCs w:val="16"/>
                <w:b w:val="1"/>
                <w:bCs w:val="1"/>
                <w:color w:val="auto"/>
                <w:w w:val="92"/>
              </w:rPr>
              <w:t>Three Months Ended September 30,</w:t>
            </w:r>
          </w:p>
        </w:tc>
        <w:tc>
          <w:tcPr>
            <w:tcW w:w="37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37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20" w:type="dxa"/>
            <w:vAlign w:val="bottom"/>
          </w:tcPr>
          <w:p>
            <w:pPr>
              <w:jc w:val="right"/>
              <w:ind w:right="423"/>
              <w:spacing w:after="0" w:line="147" w:lineRule="exact"/>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366"/>
              <w:spacing w:after="0" w:line="147"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840" w:type="dxa"/>
            <w:vAlign w:val="bottom"/>
          </w:tcPr>
          <w:p>
            <w:pPr>
              <w:jc w:val="right"/>
              <w:ind w:right="443"/>
              <w:spacing w:after="0" w:line="147"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6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7"/>
              </w:rPr>
              <w:t>Change</w:t>
            </w: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7"/>
              </w:rPr>
              <w:t>Change</w:t>
            </w:r>
          </w:p>
        </w:tc>
        <w:tc>
          <w:tcPr>
            <w:tcW w:w="9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3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gridSpan w:val="3"/>
          </w:tcPr>
          <w:p>
            <w:pPr>
              <w:jc w:val="right"/>
              <w:ind w:right="281"/>
              <w:spacing w:after="0"/>
              <w:rPr>
                <w:sz w:val="20"/>
                <w:szCs w:val="20"/>
                <w:color w:val="auto"/>
              </w:rPr>
            </w:pPr>
            <w:r>
              <w:rPr>
                <w:rFonts w:ascii="Arial" w:cs="Arial" w:eastAsia="Arial" w:hAnsi="Arial"/>
                <w:sz w:val="13"/>
                <w:szCs w:val="13"/>
                <w:b w:val="1"/>
                <w:bCs w:val="1"/>
                <w:i w:val="1"/>
                <w:iCs w:val="1"/>
                <w:color w:val="auto"/>
              </w:rPr>
              <w:t>(Dollars in thousands)</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 products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62,004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6,717</w:t>
            </w:r>
          </w:p>
        </w:tc>
        <w:tc>
          <w:tcPr>
            <w:tcW w:w="9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12 %</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162,606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195,697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(33,091)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3760" w:type="dxa"/>
            <w:vAlign w:val="bottom"/>
          </w:tcPr>
          <w:p>
            <w:pPr>
              <w:ind w:left="160"/>
              <w:spacing w:after="0"/>
              <w:rPr>
                <w:sz w:val="20"/>
                <w:szCs w:val="20"/>
                <w:color w:val="auto"/>
              </w:rPr>
            </w:pPr>
            <w:r>
              <w:rPr>
                <w:rFonts w:ascii="Arial" w:cs="Arial" w:eastAsia="Arial" w:hAnsi="Arial"/>
                <w:sz w:val="16"/>
                <w:szCs w:val="16"/>
                <w:color w:val="auto"/>
              </w:rPr>
              <w:t>Non-mortgage products</w:t>
            </w:r>
          </w:p>
        </w:tc>
        <w:tc>
          <w:tcPr>
            <w:tcW w:w="840" w:type="dxa"/>
            <w:vAlign w:val="bottom"/>
          </w:tcPr>
          <w:p>
            <w:pPr>
              <w:jc w:val="right"/>
              <w:spacing w:after="0"/>
              <w:rPr>
                <w:sz w:val="20"/>
                <w:szCs w:val="20"/>
                <w:color w:val="auto"/>
              </w:rPr>
            </w:pPr>
            <w:r>
              <w:rPr>
                <w:rFonts w:ascii="Arial" w:cs="Arial" w:eastAsia="Arial" w:hAnsi="Arial"/>
                <w:sz w:val="16"/>
                <w:szCs w:val="16"/>
                <w:color w:val="auto"/>
              </w:rPr>
              <w:t>248,601</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141,770</w:t>
            </w:r>
          </w:p>
        </w:tc>
        <w:tc>
          <w:tcPr>
            <w:tcW w:w="200" w:type="dxa"/>
            <w:vAlign w:val="bottom"/>
          </w:tcPr>
          <w:p>
            <w:pPr>
              <w:spacing w:after="0"/>
              <w:rPr>
                <w:sz w:val="20"/>
                <w:szCs w:val="20"/>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106,831</w:t>
            </w:r>
          </w:p>
        </w:tc>
        <w:tc>
          <w:tcPr>
            <w:tcW w:w="940" w:type="dxa"/>
            <w:vAlign w:val="bottom"/>
          </w:tcPr>
          <w:p>
            <w:pPr>
              <w:jc w:val="right"/>
              <w:ind w:right="6"/>
              <w:spacing w:after="0"/>
              <w:rPr>
                <w:sz w:val="20"/>
                <w:szCs w:val="20"/>
                <w:color w:val="auto"/>
              </w:rPr>
            </w:pPr>
            <w:r>
              <w:rPr>
                <w:rFonts w:ascii="Arial" w:cs="Arial" w:eastAsia="Arial" w:hAnsi="Arial"/>
                <w:sz w:val="16"/>
                <w:szCs w:val="16"/>
                <w:color w:val="auto"/>
              </w:rPr>
              <w:t>75 %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688,810</w:t>
            </w:r>
          </w:p>
        </w:tc>
        <w:tc>
          <w:tcPr>
            <w:tcW w:w="22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366,496</w:t>
            </w:r>
          </w:p>
        </w:tc>
        <w:tc>
          <w:tcPr>
            <w:tcW w:w="200" w:type="dxa"/>
            <w:vAlign w:val="bottom"/>
          </w:tcPr>
          <w:p>
            <w:pPr>
              <w:spacing w:after="0"/>
              <w:rPr>
                <w:sz w:val="20"/>
                <w:szCs w:val="20"/>
                <w:color w:val="auto"/>
              </w:rPr>
            </w:pPr>
          </w:p>
        </w:tc>
        <w:tc>
          <w:tcPr>
            <w:tcW w:w="840" w:type="dxa"/>
            <w:vAlign w:val="bottom"/>
          </w:tcPr>
          <w:p>
            <w:pPr>
              <w:jc w:val="right"/>
              <w:ind w:right="143"/>
              <w:spacing w:after="0"/>
              <w:rPr>
                <w:sz w:val="20"/>
                <w:szCs w:val="20"/>
                <w:color w:val="auto"/>
              </w:rPr>
            </w:pPr>
            <w:r>
              <w:rPr>
                <w:rFonts w:ascii="Arial" w:cs="Arial" w:eastAsia="Arial" w:hAnsi="Arial"/>
                <w:sz w:val="16"/>
                <w:szCs w:val="16"/>
                <w:color w:val="auto"/>
              </w:rPr>
              <w:t>322,314</w:t>
            </w:r>
          </w:p>
        </w:tc>
        <w:tc>
          <w:tcPr>
            <w:tcW w:w="920" w:type="dxa"/>
            <w:vAlign w:val="bottom"/>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310,605</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197,057</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113,548</w:t>
            </w:r>
          </w:p>
        </w:tc>
        <w:tc>
          <w:tcPr>
            <w:tcW w:w="9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58 %</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851,416</w:t>
            </w: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562,193</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289,223</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51 %</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amortization shown separately below)</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17,671</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6,833</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51,651</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22,577</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29,074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Selling and marketing expense</w:t>
            </w:r>
          </w:p>
        </w:tc>
        <w:tc>
          <w:tcPr>
            <w:tcW w:w="4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200,818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124,400</w:t>
            </w:r>
          </w:p>
        </w:tc>
        <w:tc>
          <w:tcPr>
            <w:tcW w:w="20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76,418</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61 %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567,338</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374,390</w:t>
            </w:r>
          </w:p>
        </w:tc>
        <w:tc>
          <w:tcPr>
            <w:tcW w:w="200" w:type="dxa"/>
            <w:vAlign w:val="bottom"/>
          </w:tcPr>
          <w:p>
            <w:pPr>
              <w:spacing w:after="0"/>
              <w:rPr>
                <w:sz w:val="20"/>
                <w:szCs w:val="20"/>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192,948</w:t>
            </w:r>
          </w:p>
        </w:tc>
        <w:tc>
          <w:tcPr>
            <w:tcW w:w="84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22,980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7,343</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89,391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70,553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18,838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Product development</w:t>
            </w:r>
          </w:p>
        </w:tc>
        <w:tc>
          <w:tcPr>
            <w:tcW w:w="4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10,200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6,608</w:t>
            </w:r>
          </w:p>
        </w:tc>
        <w:tc>
          <w:tcPr>
            <w:tcW w:w="20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3,592</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54 %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30,541</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18,835</w:t>
            </w:r>
          </w:p>
        </w:tc>
        <w:tc>
          <w:tcPr>
            <w:tcW w:w="200" w:type="dxa"/>
            <w:vAlign w:val="bottom"/>
          </w:tcPr>
          <w:p>
            <w:pPr>
              <w:spacing w:after="0"/>
              <w:rPr>
                <w:sz w:val="20"/>
                <w:szCs w:val="20"/>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11,706</w:t>
            </w:r>
          </w:p>
        </w:tc>
        <w:tc>
          <w:tcPr>
            <w:tcW w:w="84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2,696</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801</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7,737</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5,199</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2,538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Amortization of intangibles</w:t>
            </w:r>
          </w:p>
        </w:tc>
        <w:tc>
          <w:tcPr>
            <w:tcW w:w="4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13,778</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5,701</w:t>
            </w:r>
          </w:p>
        </w:tc>
        <w:tc>
          <w:tcPr>
            <w:tcW w:w="20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8,077</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142 %</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41,485</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13,628</w:t>
            </w:r>
          </w:p>
        </w:tc>
        <w:tc>
          <w:tcPr>
            <w:tcW w:w="200" w:type="dxa"/>
            <w:vAlign w:val="bottom"/>
          </w:tcPr>
          <w:p>
            <w:pPr>
              <w:spacing w:after="0"/>
              <w:rPr>
                <w:sz w:val="20"/>
                <w:szCs w:val="20"/>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27,857</w:t>
            </w:r>
          </w:p>
        </w:tc>
        <w:tc>
          <w:tcPr>
            <w:tcW w:w="840" w:type="dxa"/>
            <w:vAlign w:val="bottom"/>
          </w:tcPr>
          <w:p>
            <w:pPr>
              <w:jc w:val="right"/>
              <w:spacing w:after="0"/>
              <w:rPr>
                <w:sz w:val="20"/>
                <w:szCs w:val="20"/>
                <w:color w:val="auto"/>
              </w:rPr>
            </w:pPr>
            <w:r>
              <w:rPr>
                <w:rFonts w:ascii="Arial" w:cs="Arial" w:eastAsia="Arial" w:hAnsi="Arial"/>
                <w:sz w:val="16"/>
                <w:szCs w:val="16"/>
                <w:color w:val="auto"/>
              </w:rPr>
              <w:t>204 %</w:t>
            </w: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Change in fair value of contingent consideration</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3,839</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1,734</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21,221</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20,024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Severance</w:t>
            </w:r>
          </w:p>
        </w:tc>
        <w:tc>
          <w:tcPr>
            <w:tcW w:w="4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2,328</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(2,149)</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2,331</w:t>
            </w:r>
          </w:p>
        </w:tc>
        <w:tc>
          <w:tcPr>
            <w:tcW w:w="20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(1,695)</w:t>
            </w: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Litigation settlements and contingencies</w:t>
            </w:r>
          </w:p>
        </w:tc>
        <w:tc>
          <w:tcPr>
            <w:tcW w:w="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4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279,412</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176,767</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102,645</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58 %</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809,709</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508,430</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301,279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59 %</w:t>
            </w:r>
          </w:p>
        </w:tc>
      </w:tr>
      <w:tr>
        <w:trPr>
          <w:trHeight w:val="33"/>
        </w:trPr>
        <w:tc>
          <w:tcPr>
            <w:tcW w:w="3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31,193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20,290</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10,903</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54 %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41,707</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53,763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(12,056)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(2,393)</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2,452</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(15,408)</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7,103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w:t>
            </w:r>
          </w:p>
        </w:tc>
        <w:tc>
          <w:tcPr>
            <w:tcW w:w="20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(249)</w:t>
            </w:r>
          </w:p>
        </w:tc>
        <w:tc>
          <w:tcPr>
            <w:tcW w:w="8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3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26,352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17,828</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8,524</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48 %</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26,442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45,352</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(18,910)</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10,534</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(12,423)</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(118)%</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11,552</w:t>
            </w: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63,716</w:t>
            </w:r>
          </w:p>
        </w:tc>
        <w:tc>
          <w:tcPr>
            <w:tcW w:w="200" w:type="dxa"/>
            <w:vAlign w:val="bottom"/>
          </w:tcPr>
          <w:p>
            <w:pPr>
              <w:spacing w:after="0"/>
              <w:rPr>
                <w:sz w:val="20"/>
                <w:szCs w:val="20"/>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(52,164)</w:t>
            </w: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3"/>
        </w:trPr>
        <w:tc>
          <w:tcPr>
            <w:tcW w:w="3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24,463</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28,362</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(3,899)</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37,994</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109,068</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(71,074)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Loss from discontinued operations, net of tax</w:t>
            </w: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(20,199)</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(2,634)</w:t>
            </w:r>
          </w:p>
        </w:tc>
        <w:tc>
          <w:tcPr>
            <w:tcW w:w="20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17,565</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667 %</w:t>
            </w:r>
          </w:p>
        </w:tc>
        <w:tc>
          <w:tcPr>
            <w:tcW w:w="1000" w:type="dxa"/>
            <w:vAlign w:val="bottom"/>
          </w:tcPr>
          <w:p>
            <w:pPr>
              <w:jc w:val="right"/>
              <w:spacing w:after="0"/>
              <w:rPr>
                <w:sz w:val="20"/>
                <w:szCs w:val="20"/>
                <w:color w:val="auto"/>
              </w:rPr>
            </w:pPr>
            <w:r>
              <w:rPr>
                <w:rFonts w:ascii="Arial" w:cs="Arial" w:eastAsia="Arial" w:hAnsi="Arial"/>
                <w:sz w:val="16"/>
                <w:szCs w:val="16"/>
                <w:color w:val="auto"/>
              </w:rPr>
              <w:t>(22,024)</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(9,269)</w:t>
            </w:r>
          </w:p>
        </w:tc>
        <w:tc>
          <w:tcPr>
            <w:tcW w:w="200" w:type="dxa"/>
            <w:vAlign w:val="bottom"/>
          </w:tcPr>
          <w:p>
            <w:pPr>
              <w:spacing w:after="0"/>
              <w:rPr>
                <w:sz w:val="20"/>
                <w:szCs w:val="20"/>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12,755</w:t>
            </w:r>
          </w:p>
        </w:tc>
        <w:tc>
          <w:tcPr>
            <w:tcW w:w="840" w:type="dxa"/>
            <w:vAlign w:val="bottom"/>
          </w:tcPr>
          <w:p>
            <w:pPr>
              <w:jc w:val="right"/>
              <w:spacing w:after="0"/>
              <w:rPr>
                <w:sz w:val="20"/>
                <w:szCs w:val="20"/>
                <w:color w:val="auto"/>
              </w:rPr>
            </w:pPr>
            <w:r>
              <w:rPr>
                <w:rFonts w:ascii="Arial" w:cs="Arial" w:eastAsia="Arial" w:hAnsi="Arial"/>
                <w:sz w:val="16"/>
                <w:szCs w:val="16"/>
                <w:color w:val="auto"/>
              </w:rPr>
              <w:t>138 %</w:t>
            </w:r>
          </w:p>
        </w:tc>
      </w:tr>
      <w:tr>
        <w:trPr>
          <w:trHeight w:val="33"/>
        </w:trPr>
        <w:tc>
          <w:tcPr>
            <w:tcW w:w="3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and comprehensive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25,728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(21,464)</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(83)%</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   15,970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99,799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(83,829)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r>
      <w:tr>
        <w:trPr>
          <w:trHeight w:val="27"/>
        </w:trPr>
        <w:tc>
          <w:tcPr>
            <w:tcW w:w="3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increased in the third quarter of 2019 compared to the third quarter of 2018 due to increases in our non-mortgage products of $106.8 million and in our mortgage products of $6.7 million. Revenue increased in the first nine months of 2019 compared to the first nine months of 2018 due to an increase in our non-mortgage products of $322.3 million, partially offset by a decrease in our mortgage products of $33.1 million.</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non-mortgage products include the following non-mortgage lending products: credit cards, personal loans, home equity loans and lines of credit, small business loans, student loans, reverse mortgage loans and auto loans. Our non-mortgage products also include insurance quotes, deposit accounts, home improvement referrals and other credit products such as credit repair and debt settlement. Revenue earned through resale of online advertising space to third parties is also included in non-mortgage products. Many of our non-mortgage products are not individually significant to revenue. The increase in revenue from our non-mortgage products in the third quarter and first nine months of 2019 from the third quarter and first nine months of 2018 is primarily due to increases in our insurance, credit cards, personal loans, credit services, student loans and small business loans products, as well as resold advertising space.</w:t>
      </w:r>
    </w:p>
    <w:p>
      <w:pPr>
        <w:spacing w:after="0" w:line="11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Revenue from our insurance product increased to $74.8 million in the third quarter of 2019 and $213.9 million in the first nine months of 2019 from immaterial amounts in the third quarter and first nine months of 2018, due to the acquisition of QuoteWizard in the fourth quarter of 2018.</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our credit cards product increased $12.1 million to $54.8 million in the third quarter of 2019 from $42.7 million in the third quarter of 2018, or 28%, and increased $37.8 million to $165.4 million in the first nine months of 2019 from $127.6 million in the first nine months of 2018, or 30% due to increases in the number of approvals and an increase in revenue earned per approval.</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from our personal loans product increased $5.3 million to $43.9 million in the third quarter of 2019 from $38.6 million in the third quarter of 2018, or 14%, and increased $16.8 million to $117.5 million in the first nine months of 2019 from $100.7 million in the first nine months of 2018, or 17%, due to an increased number of consumers completing request forms as a result of increased lender demand and corresponding increases in selling and marketing efforts, partially offset by a decrease in revenue earned per consumer.</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periods presented, no other non-mortgage product represented more than 10% of revenue; however, certain other non-mortgage products experienced notable increases. Revenue from our student loans product increased by $8.6 million in the third quarter of 2019 compared to the third quarter of 2018 due to increased consumers, and increased by $16.8 million in the first nine months of 2019 compared to the first nine months of 2018 due to increased consumers and the acquisition of Student Loan Hero in July 2018. Revenue from our small business loans product increased by $5.5 million in the third quarter of 2019 compared to the third quarter of 2018 and increased by $14.9 million in the first nine months of 2019 compared to the first nine months of 2018, due to increases in the number of consumers seeking business loans and increases in selling and marketing efforts, partially offset by a decrease in revenue earned per consumer. Revenue from the resale of online advertising space to third parties increased by $15.9 million in the first nine months of 2019 compared to the first nine months of 2018. Online advertising space resold to third parties prior to the third quarter of 2018 was not significant. Revenue from our credit services product increased by $12.6 million in the first nine months of 2019 compared to the first nine months of 2018, primarily due to the acquisition of Ovation in June 2018.</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market for our non-mortgage products remains under-penetrated and we believe long-term growth prospects are strong for non-mortgage products. A significant industry-wide contraction in the availability of capital for non-mortgage products would likely adversely affect our non-mortgage product revenues.</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Revenue from our mortgage products increased in the third quarter of 2019 compared to the third quarter of 2018 due to an increase in revenue from our refinance products, partially offset by a decrease in revenue from our purchase product. Revenue from our mortgage products decreased in the first nine months of 2019 compared to the first nine months of 2018 due to decreases in revenue from both our refinance and purchase products. Revenue from our refinance product increased $14.9 million in the third quarter of 2019 compared to the third quarter of 2018 due to an increase in the number of consumers completing request forms, partially offset by a decrease in revenue earned per consumer. Revenue from our refinance product decreased $8.1 million in the first nine months of 2019 compared to the first nine months of 2018 due to a decrease in revenue earned per consumer, partially offset by an increase in the number of consumers completing request forms. Revenue from our purchase product decreased $8.2 million in the third quarter of 2019 compared to the third quarter of 2018 and decreased $25.0 million in the first nine months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2019 compared to the first nine months of 2018 due to a decrease in the number of consumers completing request forms, as well as a decrease in revenue earned per consumer.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revenue increased in the third quarter of 2019 from the third quarter of 2018, and in the first nine months of 2019 from the first nine months of 2018, primarily due to increases in compensation and benefits from increased headcount of $2.7 million and $9.0 million, respectively, increases in website network hosting and server fees of $1.3 million and $2.7 million, respectively, and increases in the cost of resold advertising space of $2.2 million and $14.6 million, respectively. Online advertising space resold to third parties prior to the third quarter of 2018 was not significant.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as a percentage of revenue remained consistent at 6% in each of the third quarters of 2019 and 2018, and increased to 6% in the first nine months of 2019 compared to 4% in the first nine months of 2018, due to the items above.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increases in selling and marketing expense in the third quarter and first nine months of 2019 compared to the third quarter and first nine months of 2018 were primarily due to increases in advertising and promotional expense of $72.6 million and $180.3 million, respectively, as discussed below. Selling and marketing expense also increased in the third quarter and first nine months of 2019 compared to the third quarter and first nine months of 2018 due to increases in compensation and benefits of $3.8 million and $12.6 million, respectively, as a result of increases in headcount.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9"/>
              </w:rPr>
              <w:t>Nine Months Ended 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1020" w:type="dxa"/>
            <w:vAlign w:val="bottom"/>
          </w:tcPr>
          <w:p>
            <w:pPr>
              <w:jc w:val="right"/>
              <w:ind w:right="55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ind w:left="420"/>
              <w:spacing w:after="0" w:line="15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060" w:type="dxa"/>
            <w:vAlign w:val="bottom"/>
          </w:tcPr>
          <w:p>
            <w:pPr>
              <w:jc w:val="right"/>
              <w:ind w:right="596"/>
              <w:spacing w:after="0" w:line="153"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340" w:type="dxa"/>
            <w:vAlign w:val="bottom"/>
            <w:gridSpan w:val="4"/>
          </w:tcPr>
          <w:p>
            <w:pPr>
              <w:jc w:val="right"/>
              <w:ind w:right="454"/>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Online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182,401</w:t>
            </w:r>
          </w:p>
        </w:tc>
        <w:tc>
          <w:tcPr>
            <w:tcW w:w="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112,223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70,178</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501,119</w:t>
            </w:r>
          </w:p>
        </w:tc>
        <w:tc>
          <w:tcPr>
            <w:tcW w:w="3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336,932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164,187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1780" w:type="dxa"/>
            <w:vAlign w:val="bottom"/>
          </w:tcPr>
          <w:p>
            <w:pPr>
              <w:ind w:left="180"/>
              <w:spacing w:after="0"/>
              <w:rPr>
                <w:sz w:val="20"/>
                <w:szCs w:val="20"/>
                <w:color w:val="auto"/>
              </w:rPr>
            </w:pPr>
            <w:r>
              <w:rPr>
                <w:rFonts w:ascii="Arial" w:cs="Arial" w:eastAsia="Arial" w:hAnsi="Arial"/>
                <w:sz w:val="18"/>
                <w:szCs w:val="18"/>
                <w:color w:val="auto"/>
              </w:rPr>
              <w:t>Broadcast</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3,952</w:t>
            </w:r>
          </w:p>
        </w:tc>
        <w:tc>
          <w:tcPr>
            <w:tcW w:w="3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2,472</w:t>
            </w:r>
          </w:p>
        </w:tc>
        <w:tc>
          <w:tcPr>
            <w:tcW w:w="32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1,480</w:t>
            </w:r>
          </w:p>
        </w:tc>
        <w:tc>
          <w:tcPr>
            <w:tcW w:w="980" w:type="dxa"/>
            <w:vAlign w:val="bottom"/>
          </w:tcPr>
          <w:p>
            <w:pPr>
              <w:ind w:left="58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20,885</w:t>
            </w:r>
          </w:p>
        </w:tc>
        <w:tc>
          <w:tcPr>
            <w:tcW w:w="38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5,907</w:t>
            </w:r>
          </w:p>
        </w:tc>
        <w:tc>
          <w:tcPr>
            <w:tcW w:w="300" w:type="dxa"/>
            <w:vAlign w:val="bottom"/>
          </w:tcPr>
          <w:p>
            <w:pPr>
              <w:spacing w:after="0"/>
              <w:rPr>
                <w:sz w:val="21"/>
                <w:szCs w:val="21"/>
                <w:color w:val="auto"/>
              </w:rPr>
            </w:pPr>
          </w:p>
        </w:tc>
        <w:tc>
          <w:tcPr>
            <w:tcW w:w="1060" w:type="dxa"/>
            <w:vAlign w:val="bottom"/>
          </w:tcPr>
          <w:p>
            <w:pPr>
              <w:jc w:val="right"/>
              <w:ind w:right="156"/>
              <w:spacing w:after="0"/>
              <w:rPr>
                <w:sz w:val="20"/>
                <w:szCs w:val="20"/>
                <w:color w:val="auto"/>
              </w:rPr>
            </w:pPr>
            <w:r>
              <w:rPr>
                <w:rFonts w:ascii="Arial" w:cs="Arial" w:eastAsia="Arial" w:hAnsi="Arial"/>
                <w:sz w:val="18"/>
                <w:szCs w:val="18"/>
                <w:color w:val="auto"/>
              </w:rPr>
              <w:t>14,978</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1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2,885</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1,935</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950</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9,370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8,194</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1,176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8"/>
        </w:trPr>
        <w:tc>
          <w:tcPr>
            <w:tcW w:w="1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advertising</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40"/>
              <w:spacing w:after="0"/>
              <w:rPr>
                <w:sz w:val="20"/>
                <w:szCs w:val="20"/>
                <w:color w:val="auto"/>
              </w:rPr>
            </w:pPr>
            <w:r>
              <w:rPr>
                <w:rFonts w:ascii="Arial" w:cs="Arial" w:eastAsia="Arial" w:hAnsi="Arial"/>
                <w:sz w:val="18"/>
                <w:szCs w:val="18"/>
                <w:b w:val="1"/>
                <w:bCs w:val="1"/>
                <w:color w:val="auto"/>
              </w:rPr>
              <w:t>expense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189,238</w:t>
            </w:r>
          </w:p>
        </w:tc>
        <w:tc>
          <w:tcPr>
            <w:tcW w:w="38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116,630</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56"/>
              <w:spacing w:after="0"/>
              <w:rPr>
                <w:sz w:val="20"/>
                <w:szCs w:val="20"/>
                <w:color w:val="auto"/>
              </w:rPr>
            </w:pPr>
            <w:r>
              <w:rPr>
                <w:rFonts w:ascii="Arial" w:cs="Arial" w:eastAsia="Arial" w:hAnsi="Arial"/>
                <w:sz w:val="18"/>
                <w:szCs w:val="18"/>
                <w:b w:val="1"/>
                <w:bCs w:val="1"/>
                <w:color w:val="auto"/>
              </w:rPr>
              <w:t>72,608</w:t>
            </w:r>
          </w:p>
        </w:tc>
        <w:tc>
          <w:tcPr>
            <w:tcW w:w="980" w:type="dxa"/>
            <w:vAlign w:val="bottom"/>
          </w:tcPr>
          <w:p>
            <w:pPr>
              <w:ind w:left="580"/>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b w:val="1"/>
                <w:bCs w:val="1"/>
                <w:color w:val="auto"/>
              </w:rPr>
              <w:t>531,374</w:t>
            </w:r>
          </w:p>
        </w:tc>
        <w:tc>
          <w:tcPr>
            <w:tcW w:w="38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4"/>
              <w:spacing w:after="0"/>
              <w:rPr>
                <w:sz w:val="20"/>
                <w:szCs w:val="20"/>
                <w:color w:val="auto"/>
              </w:rPr>
            </w:pPr>
            <w:r>
              <w:rPr>
                <w:rFonts w:ascii="Arial" w:cs="Arial" w:eastAsia="Arial" w:hAnsi="Arial"/>
                <w:sz w:val="18"/>
                <w:szCs w:val="18"/>
                <w:b w:val="1"/>
                <w:bCs w:val="1"/>
                <w:color w:val="auto"/>
              </w:rPr>
              <w:t>351,033</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6"/>
              <w:spacing w:after="0"/>
              <w:rPr>
                <w:sz w:val="20"/>
                <w:szCs w:val="20"/>
                <w:color w:val="auto"/>
              </w:rPr>
            </w:pPr>
            <w:r>
              <w:rPr>
                <w:rFonts w:ascii="Arial" w:cs="Arial" w:eastAsia="Arial" w:hAnsi="Arial"/>
                <w:sz w:val="18"/>
                <w:szCs w:val="18"/>
                <w:b w:val="1"/>
                <w:bCs w:val="1"/>
                <w:color w:val="auto"/>
              </w:rPr>
              <w:t>180,341</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34"/>
        </w:trPr>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both mortgage and non-mortgage products.</w:t>
      </w:r>
    </w:p>
    <w:p>
      <w:pPr>
        <w:spacing w:after="0" w:line="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increased our advertising expenditures in the third quarter and first nine months of 2019 compared to the third quarter and first nine months of 2018 in order to generate additional consumer inquiries to meet the increased demand of Network Partners on our marketplace. We will continue to adjust selling and marketing expenditures dynamically in relation to anticipated revenue opportunities.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General and administrative expense increased in the third quarter of 2019 from the third quarter of 2018, and in the first nine months of 2019 from the first nine months of 2018, primarily due to increases in compensation and benefits of $3.3 million and $9.2 million, respectively, as a result of increases in headcount. General and administrative expense also increased in the third quarter of 2019 from the third quarter of 2018, and in the first nine months of 2019 from the first nine months of 2018, due to increases in facilities expense of $1.3 million and $3.4 million, respectively, and increases in technology expense of $1.3 million and $3.5 million, respectively. General and administrative expense in the first nine months of 2018 includes a charge of $1.6 million due to the write-off of certain fixed assets. The increase in general and administrative expense in the first nine months of 2019 compared to the first nine months of 2018 is partially offset by a $2.7 million gain on the sale of two office buildings in Charlotte, North Carolina.</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General and administrative expense as a percentage of revenue decreased to 10% in each of the third quarter and first nine months of 2019, compared to 12% and 13% in the third quarter and first nine months of 2018, respectively.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Product development expense increased in the third quarter and first nine months of 2019 compared to the third quarter and first nine months of 2018, as we continued to invest in internal development of new and enhanced features, functionality and business opportunities that we believe will enable us to better and more fully serve consumers and lenders.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Depreciation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depreciation expense in the third quarter and first nine months of 2019 compared to the third quarter and first nine months of 2018 was primarily the result of higher investment in internally developed software in recent years, to support the growth of our business.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intangibles increased in the third quarter and first nine months of 2019 compared to the third quarter and first nine months of 2018 primarily due to intangible assets associated with our business acquisitions in 2018 and 2019.</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third quarter and first nine months of 2019, we recorded aggregate contingent consideration expense of $3.8 million and $21.2 million, respectively, due to adjustments in the estimated fair value of the earnout payments related to our recent acquisitions. For the third quarter of 2019, the contingent consideration expense for the QuoteWizard and SnapCap acquisitions was $4.3 million and $0.3 million, respectively. This was partially offset by a contingent consideration gain recorded for the Ovation acquisition of $0.8 million. For the first nine months of 2019, the contingent consideration expense for the QuoteWizard and SnapCap acquisitions was $21.2 million, and $1.8 million, respectively. This was partially offset by contingent consideration gains recorded for the Ovation and DepositAccounts acquisitions of $0.8 million and $1.0 million, respectively.</w:t>
      </w:r>
    </w:p>
    <w:p>
      <w:pPr>
        <w:spacing w:after="0" w:line="70" w:lineRule="exact"/>
        <w:rPr>
          <w:sz w:val="20"/>
          <w:szCs w:val="20"/>
          <w:color w:val="auto"/>
        </w:rPr>
      </w:pPr>
    </w:p>
    <w:p>
      <w:pPr>
        <w:jc w:val="both"/>
        <w:ind w:right="440" w:firstLine="324"/>
        <w:spacing w:after="0" w:line="259" w:lineRule="auto"/>
        <w:rPr>
          <w:sz w:val="20"/>
          <w:szCs w:val="20"/>
          <w:color w:val="auto"/>
        </w:rPr>
      </w:pPr>
      <w:r>
        <w:rPr>
          <w:rFonts w:ascii="Arial" w:cs="Arial" w:eastAsia="Arial" w:hAnsi="Arial"/>
          <w:sz w:val="18"/>
          <w:szCs w:val="18"/>
          <w:color w:val="auto"/>
        </w:rPr>
        <w:t>During the third quarter of 2018, we recorded $2.1 million of contingent consideration expense due to adjustments in the estimated fair value of the earnout payments related to the DepositAccounts, SnapCap and Ovation acquisitions. During the first nine months of 2018, we recorded $1.2 million of contingent consideration expense due to adjustments in the estimated fair value of the earnout payments related to the CompareCards, DepositAccounts, SnapCap and Ovation acquisitions.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third quarter and first nine months of 2019, the effective tax rate varied from the federal statutory rate of 21% primarily due to a tax benefit of $2.8 million and $16.5 million, respectively, recognized for excess tax benefits due to employee exercises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stock options and vesting of restricted stock in accordance with ASU 2016-09, a tax benefit of $1.9 million recognized from an adjustment to the federal research tax credit and the effect of state taxes.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third quarter and first nine months of 2018, the effective tax rate varied from the federal statutory rate of 21% primarily due to a tax benefit of $14.3 million and $75.2 million, respectively, recognized for excess tax benefits due to employee exercises of stock options and vesting of restricted stock in accordance with ASU 2016-09 and the effect of state taxes.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to our valuation allowance assessment for the third quarter of 2019.</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discontinued operations include the results of the LendingTree Loans business formerly operated by our wholly-owned subsidiary, Home Loan Center, Inc., or HLC. The sale of substantially all of the assets of HLC, including the LendingTree Loans business, was completed on June 6, 2012. HLC filed a petition under Chapter 11 of the United States Bankruptcy Code on July 21, 2019, which was converted to Chapter 7 of the United States Bankruptcy Code on September 16, 2019.</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voluntary bankruptcy petition, as of the initial July 21, 2019 bankruptcy petition filing date, HLC and its consolidated subsidiary were deconsolidated from LendingTree’s consolidated financial statements. The effect of such deconsolidation was the elimination of the consolidated assets and liabilities of HLC (and its consolidated subsidiary) from LendingTree’s consolidated balance sheets and the recognition of a $4.5 million gain upon deconsolidation in the third quarter of 2019. In addition, LendingTree recognized a loss of $31.0 million in the third quarter of 2019 as a result of a settlement offer related to LendingTree LLC's ownership in HLC.</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bankruptcy filing, losses from the LendingTree Loans business were primarily due to litigation settlements and contingencies and legal fees associated with ongoing legal proceedings.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ongoing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Note 17—Discontinued Operations to the consolidated financial statements included elsewhere in this report for more information,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effect of HLC’s bankruptcy filing on our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also Part II, Item 1A.</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below for further information on risks associated with HLC’s bankruptcy filing.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report Adjusted EBITDA as a supplemental measure to GAAP. This measure is the primary metric by which we evaluate the performance of our businesses, on which our marketing expenditures and internal budgets are based and by which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w:t>
      </w:r>
    </w:p>
    <w:p>
      <w:pPr>
        <w:jc w:val="both"/>
        <w:ind w:firstLine="8"/>
        <w:spacing w:after="0" w:line="252" w:lineRule="auto"/>
        <w:tabs>
          <w:tab w:leader="none" w:pos="2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severance expenses, (5) litigation settlements and contingencies, (6) acquisitions and dispositions income or expense (including with respect to changes in fair value of contingent consideration)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Non-cash compensation expense consists principally of expense associated with grants of restricted stock, restricted stock units and stock options, some of which awards have performance-based vesting conditions.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3"/>
          </w:tcPr>
          <w:p>
            <w:pPr>
              <w:jc w:val="right"/>
              <w:ind w:right="5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320" w:type="dxa"/>
            <w:vAlign w:val="bottom"/>
            <w:gridSpan w:val="3"/>
          </w:tcPr>
          <w:p>
            <w:pPr>
              <w:jc w:val="right"/>
              <w:ind w:right="69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24,463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37,994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109,068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13,778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41,485</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13,628</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2,696</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7,737</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5,199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(gain) on impairments and disposal of assets</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609</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(1,369)</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1,986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10,797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40,832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3,839</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21,221</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1,197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4,845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15,408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Rental amortization of intangibles and depreciation</w:t>
            </w:r>
          </w:p>
        </w:tc>
        <w:tc>
          <w:tcPr>
            <w:tcW w:w="30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1,889</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(11,552)</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(63,716)</w:t>
            </w:r>
          </w:p>
        </w:tc>
      </w:tr>
      <w:tr>
        <w:trPr>
          <w:trHeight w:val="237"/>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63,021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45,279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152,298</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114,108</w:t>
            </w:r>
          </w:p>
        </w:tc>
      </w:tr>
      <w:tr>
        <w:trPr>
          <w:trHeight w:val="34"/>
        </w:trPr>
        <w:tc>
          <w:tcPr>
            <w:tcW w:w="6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2019, we had $50.5 million of cash and cash equivalents compared to $105.1 million of cash and cash equivalents as of December 31, 2018.</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first nine months of 2019, we purchased an aggregate of 18,580 shares of our common stock pursuant to a stock repurchase program for $4.3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2019, we completed the sale of two office buildings in Charlotte, North Carolina to an unrelated third party for a sale price of $24.4 million. We received proceeds of $24.1 million, net of closing fees of $0.3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2019, we acquired ValuePenguin for $106.2 million in cash. The acquisition was funded through $90.0 million drawn on our Revolving Credit Facility and the balance using cash on hand.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nine months of 2019, we paid down $130.0 million on our Revolving Credit Facility.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nine months of 2019, we made a contingent consideration payment of $3.0 million related to the prior acquisition of SnapCap and total contingent consideration payments of $3.0 million related to the prior acquisition of DepositAccounts.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2019, we made a contingent consideration payment of $4.4 million related to the prior acquisition of Ovation. We could make additional potential contingent consideration payments of up to $1.0 million for DepositAccounts, $6.0 million for SnapCap, $4.4 million for Ovation, and $70.2 million for QuoteWizard.</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amended and restated revolving credit facility described below is an additional potential source of liquidity.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26, 2018, we amended our five-year senior secured revolving credit facility which matures on November 21, 2022 (the “Revolving Credit Facility”) to increase its borrowing capacity by $100.0 million to $350.0 million. Borrowings under the Revolving Credit Facility can be used to finance working capital needs, capital expenditures and general corporate purposes, including to finance permitted acquisitions. As of October 30, 2019, we have $75.0 million of borrowings and a $0.2 million letter of credit under the Revolving Credit Facility. The remaining borrowing capacity at October 30, 2019 is $274.8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center"/>
              <w:ind w:right="19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center"/>
              <w:ind w:left="639"/>
              <w:spacing w:after="0"/>
              <w:rPr>
                <w:sz w:val="20"/>
                <w:szCs w:val="20"/>
                <w:color w:val="auto"/>
              </w:rPr>
            </w:pPr>
            <w:r>
              <w:rPr>
                <w:rFonts w:ascii="Arial" w:cs="Arial" w:eastAsia="Arial" w:hAnsi="Arial"/>
                <w:sz w:val="14"/>
                <w:szCs w:val="14"/>
                <w:b w:val="1"/>
                <w:bCs w:val="1"/>
                <w:i w:val="1"/>
                <w:iCs w:val="1"/>
                <w:color w:val="auto"/>
                <w:w w:val="89"/>
              </w:rPr>
              <w:t>(in thousands)</w:t>
            </w:r>
          </w:p>
        </w:tc>
        <w:tc>
          <w:tcPr>
            <w:tcW w:w="100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110,880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60,227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(96,187)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(79,793)</w:t>
            </w: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(56,779)</w:t>
            </w: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(80,482)</w:t>
            </w:r>
          </w:p>
        </w:tc>
      </w:tr>
      <w:tr>
        <w:trPr>
          <w:trHeight w:val="20"/>
        </w:trPr>
        <w:tc>
          <w:tcPr>
            <w:tcW w:w="8320" w:type="dxa"/>
            <w:vAlign w:val="bottom"/>
            <w:shd w:val="clear" w:color="auto" w:fill="999999"/>
          </w:tcPr>
          <w:p>
            <w:pPr>
              <w:spacing w:after="0" w:line="20" w:lineRule="exact"/>
              <w:rPr>
                <w:sz w:val="1"/>
                <w:szCs w:val="1"/>
                <w:color w:val="auto"/>
              </w:rPr>
            </w:pPr>
          </w:p>
        </w:tc>
        <w:tc>
          <w:tcPr>
            <w:tcW w:w="300" w:type="dxa"/>
            <w:vAlign w:val="bottom"/>
            <w:shd w:val="clear" w:color="auto" w:fill="999999"/>
          </w:tcPr>
          <w:p>
            <w:pPr>
              <w:spacing w:after="0" w:line="20" w:lineRule="exact"/>
              <w:rPr>
                <w:sz w:val="1"/>
                <w:szCs w:val="1"/>
                <w:color w:val="auto"/>
              </w:rPr>
            </w:pPr>
          </w:p>
        </w:tc>
        <w:tc>
          <w:tcPr>
            <w:tcW w:w="1240" w:type="dxa"/>
            <w:vAlign w:val="bottom"/>
            <w:shd w:val="clear" w:color="auto" w:fill="999999"/>
          </w:tcPr>
          <w:p>
            <w:pPr>
              <w:spacing w:after="0" w:line="20" w:lineRule="exact"/>
              <w:rPr>
                <w:sz w:val="1"/>
                <w:szCs w:val="1"/>
                <w:color w:val="auto"/>
              </w:rPr>
            </w:pPr>
          </w:p>
        </w:tc>
        <w:tc>
          <w:tcPr>
            <w:tcW w:w="540" w:type="dxa"/>
            <w:vAlign w:val="bottom"/>
            <w:shd w:val="clear" w:color="auto" w:fill="999999"/>
          </w:tcPr>
          <w:p>
            <w:pPr>
              <w:spacing w:after="0" w:line="20" w:lineRule="exact"/>
              <w:rPr>
                <w:sz w:val="1"/>
                <w:szCs w:val="1"/>
                <w:color w:val="auto"/>
              </w:rPr>
            </w:pPr>
          </w:p>
        </w:tc>
        <w:tc>
          <w:tcPr>
            <w:tcW w:w="1000" w:type="dxa"/>
            <w:vAlign w:val="bottom"/>
            <w:shd w:val="clear" w:color="auto" w:fill="999999"/>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largest source of cash provided by our operating activities is revenues generated by our mortgage and non-mortgage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Net cash provided by operating activities attributable to continuing operations increased in the first nine months of 2019 from the first nine months of 2018 due primarily to an increase in revenue, partially offset by an increase in selling and marketing expense and cost of revenue. Additionally, cash from changes in working capital increased primarily as a result of changes in accounts payable, accrued expenses and other current liabilities and current contingent consideration, partially offset by changes in accounts receivable. Cash flows from operating activities in the first nine months of 2018 included the $21.9 million portion of the CompareCards earnout payment made in excess of the contingent consideration liability recognized at the acquisition date.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2019 of $96.2 million consisted primarily of the acquisition of ValuePenguin for $105.6 million, net of cash acquired, and capital expenditures of $15.2 million primarily related to internally developed software. This was partially offset by proceeds of $24.1 million on the sale of two office buildings, net of closing expenses.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attributable to continuing operations in the first nine months of 2018 of $79.8 million consisted primarily of the acquisition of Student Loan Hero and Ovation for $57.4 million and $11.7 million, respectively, net of cash acquired, and capital expenditures of $10.6 million primarily related to internally developed software.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attributable to continuing operations in the first nine months of 2019 of $56.8 million consisted primarily of $40.0 million of net repayments on our Revolving Credit Facility, $4.3 million for the repurchase of our common stock, $9.5 million in withholding taxes paid upon surrender of shares to satisfy obligations on equity awards, net of proceeds from the exercise of stock options, and $3.0 million of contingent consideration payments for SnapCap.</w:t>
      </w:r>
    </w:p>
    <w:p>
      <w:pPr>
        <w:spacing w:after="0" w:line="13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nine months of 2018 of $80.5 million consisted primarily of $26.6 million of contingent consideration payments for CompareCards, DepositAccounts and SimpleTuition and $57.0 million for the repurchase of our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Other than our Revolving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Revolving Credit Facility, if any. As of October 30, 2019, there was $75.0 million borrowed under the Revolving Credit Facility. If the LIBO rate increased by 100-basis points, our annual interest expense would increase by approximately $0.8 million. Increases in the Federal Funds interest rates may also affect potential contingent consideration payments to DepositAccounts.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7—Business Acquisitions—Changes in Contingent Consideration—DepositAccounts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also the risk factor "Adverse conditions in the primary and secondary mortgage markets, as well as the general economy, could materially and adversely affect our business, financial condition and results of operations,"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2018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defined in Exchange Act Rule 13a-15(e). Based upon that evaluation, our Chief Executive Officer and Chief Financial Officer concluded that our disclosure controls and procedures are effective, as of September 30, 2019,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September 30, 2019 that has materially affected, or is reasonably likely to materially affect, our internal controls over financial reporting.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2018 Annual Report and updated that information in Note 14—Contingencies and Note 17— Discontinued Operations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Other than the risk factor set forth below, 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2018 Annual Report.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risks relating to the bankruptcy of our Home Loan Center, Inc. subsidiary, including risks of claims against us and our operating subsidiaries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subsidiary Home Loan Center, Inc., or HLC, filed a voluntary petition for relief under Chapter 11 of the United States Bankruptcy Code, which we refer to as the Bankruptcy Code, in order to preserve assets for the benefit of all creditors of HLC. On September 16, 2019, the Bankruptcy Court converted the bankruptcy to Chapter 7 of the Bankruptcy Code and appointed a Trustee to liquidate the business. We refer to HLC’s filing and the subsequent process under the Bankruptcy Code as the HLC bankruptcy.</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its filings with the Bankruptcy Court, HLC has indicated that it believes it has claims against HLC’s sole shareholder, our operating subsidiary LendingTree, LLC, and its former sole director (our Chairman and Chief Executive Officer), relating to the declaration of a dividend by HLC in January 2016 of $40.0 million. We believe the declaration of the dividend was proper, that the amounts paid to LendingTree, LLC following such declaration are not subject to recovery by HLC and that any claims by HLC relating to the dividend declaration are without merit, and we intend to vigorously contest such claims.</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a result of its filings with the Bankruptcy Court, certain creditors have, and it is possible that certain other creditors will, assert claims directly against our company or one or more of our wholly-owned subsidiaries not included as debtors in the HLC bankruptcy, which we refer to as non-debtor parties, on various legal theories. While we are not aware of a basis for any material claims of this nature, any such assertions of claims by HLC creditors may require significant effort (including management time), resources and money to defend and could result in losses to us. Moreover, our management may be required to spend a significant amount of time and effort dealing with the HLC bankruptcy, which could have an adverse impact on our ability to execute our business plan and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17</w:t>
      </w:r>
      <w:r>
        <w:rPr>
          <w:rFonts w:ascii="Arial" w:cs="Arial" w:eastAsia="Arial" w:hAnsi="Arial"/>
          <w:sz w:val="18"/>
          <w:szCs w:val="18"/>
          <w:b w:val="1"/>
          <w:bCs w:val="1"/>
          <w:color w:val="auto"/>
        </w:rPr>
        <w:t>—</w:t>
      </w:r>
      <w:r>
        <w:rPr>
          <w:rFonts w:ascii="Arial" w:cs="Arial" w:eastAsia="Arial" w:hAnsi="Arial"/>
          <w:sz w:val="18"/>
          <w:szCs w:val="18"/>
          <w:color w:val="auto"/>
        </w:rPr>
        <w:t>Discontinued Operations to the consolidated financial statements included elsewhere in this report for a discussion of the accounting for HLC’s bankruptcy filing.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2019, 1,079 shares of common stock were repurchased under the stock repurchase program. As of </w:t>
      </w:r>
      <w:r>
        <w:rPr>
          <w:rFonts w:ascii="Arial" w:cs="Arial" w:eastAsia="Arial" w:hAnsi="Arial"/>
          <w:sz w:val="15"/>
          <w:szCs w:val="15"/>
          <w:color w:val="auto"/>
        </w:rPr>
        <w:t>October 21, 2019</w:t>
      </w:r>
      <w:r>
        <w:rPr>
          <w:rFonts w:ascii="Arial" w:cs="Arial" w:eastAsia="Arial" w:hAnsi="Arial"/>
          <w:sz w:val="16"/>
          <w:szCs w:val="16"/>
          <w:color w:val="auto"/>
        </w:rPr>
        <w:t>, approximately $180.9 million remains authorized for share repurchase.</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the LendingTree Sixth Amended and Restated 2008 Stock and Award Incentive Plan and the LendingTree 2017 Inducement Grant Plan allow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2019, 2,096 shares were purchased related to these obligations under the LendingTree Sixth Amended and Restated 2008 Stock and Award Incentive Plan and 173 shares were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00" w:type="dxa"/>
            <w:vAlign w:val="bottom"/>
          </w:tcPr>
          <w:p>
            <w:pPr>
              <w:spacing w:after="0"/>
              <w:rPr>
                <w:sz w:val="14"/>
                <w:szCs w:val="14"/>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2"/>
                <w:szCs w:val="12"/>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74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w:t>
            </w: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Paid per Share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(2)</w:t>
            </w:r>
          </w:p>
        </w:tc>
        <w:tc>
          <w:tcPr>
            <w:tcW w:w="200" w:type="dxa"/>
            <w:vAlign w:val="bottom"/>
          </w:tcPr>
          <w:p>
            <w:pPr>
              <w:spacing w:after="0"/>
              <w:rPr>
                <w:sz w:val="16"/>
                <w:szCs w:val="16"/>
                <w:color w:val="auto"/>
              </w:rPr>
            </w:pPr>
          </w:p>
        </w:tc>
        <w:tc>
          <w:tcPr>
            <w:tcW w:w="174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90"/>
        </w:trPr>
        <w:tc>
          <w:tcPr>
            <w:tcW w:w="3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center"/>
              <w:ind w:right="12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80"/>
        </w:trPr>
        <w:tc>
          <w:tcPr>
            <w:tcW w:w="3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7/1/19 - 7/31/19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378.95</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181,167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8/1/19 - 8/31/19</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293.95</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21"/>
              <w:spacing w:after="0"/>
              <w:rPr>
                <w:sz w:val="20"/>
                <w:szCs w:val="20"/>
                <w:color w:val="auto"/>
              </w:rPr>
            </w:pPr>
            <w:r>
              <w:rPr>
                <w:rFonts w:ascii="Arial" w:cs="Arial" w:eastAsia="Arial" w:hAnsi="Arial"/>
                <w:sz w:val="18"/>
                <w:szCs w:val="18"/>
                <w:color w:val="auto"/>
              </w:rPr>
              <w:t>180,857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9/1/19 - 9/30/19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318.50</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180,857</w:t>
            </w:r>
          </w:p>
        </w:tc>
        <w:tc>
          <w:tcPr>
            <w:tcW w:w="0" w:type="dxa"/>
            <w:vAlign w:val="bottom"/>
          </w:tcPr>
          <w:p>
            <w:pPr>
              <w:spacing w:after="0"/>
              <w:rPr>
                <w:sz w:val="1"/>
                <w:szCs w:val="1"/>
                <w:color w:val="auto"/>
              </w:rPr>
            </w:pPr>
          </w:p>
        </w:tc>
      </w:tr>
      <w:tr>
        <w:trPr>
          <w:trHeight w:val="237"/>
        </w:trPr>
        <w:tc>
          <w:tcPr>
            <w:tcW w:w="39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7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3,348</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328.74</w:t>
            </w: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1,079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180,857</w:t>
            </w:r>
          </w:p>
        </w:tc>
        <w:tc>
          <w:tcPr>
            <w:tcW w:w="0" w:type="dxa"/>
            <w:vAlign w:val="bottom"/>
          </w:tcPr>
          <w:p>
            <w:pPr>
              <w:spacing w:after="0"/>
              <w:rPr>
                <w:sz w:val="1"/>
                <w:szCs w:val="1"/>
                <w:color w:val="auto"/>
              </w:rPr>
            </w:pPr>
          </w:p>
        </w:tc>
      </w:tr>
      <w:tr>
        <w:trPr>
          <w:trHeight w:val="34"/>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8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July 2019, August 2019 and September 2019, 1,336 shares, 814 shares and 119 shares, respectively (totaling 2,269 shares), were purchased to satisfy federal and state withholding obligations of our employees upon the settlement of restricted stock units, all in accordance with our Sixth Amended and Restated 2008 Stock and Award Incentive Plan and 2017 Inducement Grant Plan, as described above.</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67" w:lineRule="exact"/>
        <w:rPr>
          <w:sz w:val="20"/>
          <w:szCs w:val="20"/>
          <w:color w:val="auto"/>
        </w:rPr>
      </w:pPr>
    </w:p>
    <w:p>
      <w:pPr>
        <w:ind w:left="240"/>
        <w:spacing w:after="0"/>
        <w:tabs>
          <w:tab w:leader="none" w:pos="4340" w:val="left"/>
          <w:tab w:leader="none" w:pos="96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ind w:left="6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9">
        <w:r>
          <w:rPr>
            <w:rFonts w:ascii="Arial" w:cs="Arial" w:eastAsia="Arial" w:hAnsi="Arial"/>
            <w:sz w:val="16"/>
            <w:szCs w:val="16"/>
            <w:u w:val="single" w:color="auto"/>
            <w:color w:val="0000FF"/>
          </w:rPr>
          <w:t>Amended and Restated Certificate of Incorporation of LendingTree, Inc.</w:t>
        </w:r>
      </w:hyperlink>
    </w:p>
    <w:p>
      <w:pPr>
        <w:spacing w:after="0" w:line="200" w:lineRule="exact"/>
        <w:rPr>
          <w:sz w:val="20"/>
          <w:szCs w:val="20"/>
          <w:color w:val="auto"/>
        </w:rPr>
      </w:pPr>
    </w:p>
    <w:p>
      <w:pPr>
        <w:spacing w:after="0" w:line="295" w:lineRule="exact"/>
        <w:rPr>
          <w:sz w:val="20"/>
          <w:szCs w:val="20"/>
          <w:color w:val="auto"/>
        </w:rPr>
      </w:pPr>
    </w:p>
    <w:p>
      <w:pPr>
        <w:ind w:left="6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20">
        <w:r>
          <w:rPr>
            <w:rFonts w:ascii="Arial" w:cs="Arial" w:eastAsia="Arial" w:hAnsi="Arial"/>
            <w:sz w:val="16"/>
            <w:szCs w:val="16"/>
            <w:u w:val="single" w:color="auto"/>
            <w:color w:val="0000FF"/>
          </w:rPr>
          <w:t>Fourth Amended and Restated By-laws of LendingTree,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51">
        <w:r>
          <w:rPr>
            <w:rFonts w:ascii="Arial" w:cs="Arial" w:eastAsia="Arial" w:hAnsi="Arial"/>
            <w:sz w:val="16"/>
            <w:szCs w:val="16"/>
            <w:u w:val="single" w:color="auto"/>
            <w:color w:val="0000FF"/>
          </w:rPr>
          <w:t>Second Amendment to Credit Agreement</w:t>
        </w:r>
      </w:hyperlink>
    </w:p>
    <w:p>
      <w:pPr>
        <w:spacing w:after="0" w:line="63" w:lineRule="exact"/>
        <w:rPr>
          <w:sz w:val="20"/>
          <w:szCs w:val="20"/>
          <w:color w:val="auto"/>
        </w:rPr>
      </w:pPr>
    </w:p>
    <w:p>
      <w:pPr>
        <w:jc w:val="both"/>
        <w:ind w:left="1080" w:hanging="584"/>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63">
        <w:r>
          <w:rPr>
            <w:rFonts w:ascii="Arial" w:cs="Arial" w:eastAsia="Arial" w:hAnsi="Arial"/>
            <w:sz w:val="18"/>
            <w:szCs w:val="18"/>
            <w:u w:val="single" w:color="auto"/>
            <w:color w:val="0000FF"/>
          </w:rPr>
          <w:t>Certification of the Chief Executive Officer pursuant to Rule 13a-14(a) or Rule 15d-14(a) of the</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Securities Exchange Act of 1934 as adopted pursuant to Section 302 of the Sarbanes-Oxley Act of</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65" w:lineRule="exact"/>
        <w:rPr>
          <w:rFonts w:ascii="Arial" w:cs="Arial" w:eastAsia="Arial" w:hAnsi="Arial"/>
          <w:sz w:val="18"/>
          <w:szCs w:val="18"/>
          <w:u w:val="single" w:color="auto"/>
          <w:color w:val="0000FF"/>
        </w:rPr>
      </w:pPr>
    </w:p>
    <w:p>
      <w:pPr>
        <w:jc w:val="both"/>
        <w:ind w:right="200"/>
        <w:spacing w:after="0" w:line="264" w:lineRule="auto"/>
        <w:rPr>
          <w:sz w:val="20"/>
          <w:szCs w:val="20"/>
          <w:color w:val="auto"/>
        </w:rPr>
      </w:pPr>
      <w:r>
        <w:rPr>
          <w:rFonts w:ascii="Arial" w:cs="Arial" w:eastAsia="Arial" w:hAnsi="Arial"/>
          <w:sz w:val="18"/>
          <w:szCs w:val="18"/>
          <w:color w:val="auto"/>
        </w:rPr>
        <w:t>Exhibit 3.1 to the Registrant's Current Report on Form 8-K filed August 25, 2008</w:t>
      </w:r>
    </w:p>
    <w:p>
      <w:pPr>
        <w:spacing w:after="0" w:line="19" w:lineRule="exact"/>
        <w:rPr>
          <w:rFonts w:ascii="Arial" w:cs="Arial" w:eastAsia="Arial" w:hAnsi="Arial"/>
          <w:sz w:val="18"/>
          <w:szCs w:val="18"/>
          <w:u w:val="single" w:color="auto"/>
          <w:color w:val="0000FF"/>
        </w:rPr>
      </w:pPr>
    </w:p>
    <w:p>
      <w:pPr>
        <w:jc w:val="both"/>
        <w:ind w:right="200"/>
        <w:spacing w:after="0" w:line="264" w:lineRule="auto"/>
        <w:rPr>
          <w:sz w:val="20"/>
          <w:szCs w:val="20"/>
          <w:color w:val="auto"/>
        </w:rPr>
      </w:pPr>
      <w:r>
        <w:rPr>
          <w:rFonts w:ascii="Arial" w:cs="Arial" w:eastAsia="Arial" w:hAnsi="Arial"/>
          <w:sz w:val="18"/>
          <w:szCs w:val="18"/>
          <w:color w:val="auto"/>
        </w:rPr>
        <w:t>Exhibit 3.1 to the Registrant's Current Report on Form 8-K filed November 15, 2017</w:t>
      </w:r>
    </w:p>
    <w:p>
      <w:pPr>
        <w:spacing w:after="0" w:line="1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w:t>
      </w:r>
    </w:p>
    <w:p>
      <w:pPr>
        <w:spacing w:after="0" w:line="478" w:lineRule="exact"/>
        <w:rPr>
          <w:rFonts w:ascii="Arial" w:cs="Arial" w:eastAsia="Arial" w:hAnsi="Arial"/>
          <w:sz w:val="18"/>
          <w:szCs w:val="18"/>
          <w:u w:val="single" w:color="auto"/>
          <w:color w:val="0000FF"/>
        </w:rPr>
      </w:pPr>
    </w:p>
    <w:p>
      <w:pPr>
        <w:sectPr>
          <w:pgSz w:w="11900" w:h="16838" w:orient="portrait"/>
          <w:cols w:equalWidth="0" w:num="2">
            <w:col w:w="8320" w:space="160"/>
            <w:col w:w="29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31.2</w:t>
            </w:r>
          </w:p>
        </w:tc>
        <w:tc>
          <w:tcPr>
            <w:tcW w:w="7260" w:type="dxa"/>
            <w:vAlign w:val="bottom"/>
            <w:tcBorders>
              <w:bottom w:val="single" w:sz="8" w:color="0000FF"/>
            </w:tcBorders>
            <w:gridSpan w:val="4"/>
            <w:shd w:val="clear" w:color="auto" w:fill="CCEEFF"/>
          </w:tcPr>
          <w:p>
            <w:pPr>
              <w:spacing w:after="0"/>
              <w:rPr>
                <w:rFonts w:ascii="Arial" w:cs="Arial" w:eastAsia="Arial" w:hAnsi="Arial"/>
                <w:sz w:val="18"/>
                <w:szCs w:val="18"/>
                <w:color w:val="0000FF"/>
                <w:w w:val="97"/>
              </w:rPr>
            </w:pPr>
            <w:hyperlink w:anchor="page64">
              <w:r>
                <w:rPr>
                  <w:rFonts w:ascii="Arial" w:cs="Arial" w:eastAsia="Arial" w:hAnsi="Arial"/>
                  <w:sz w:val="18"/>
                  <w:szCs w:val="18"/>
                  <w:color w:val="0000FF"/>
                  <w:w w:val="97"/>
                </w:rPr>
                <w:t>Certification of the Chief Financial Officer pursuant to Rule 13a-14(a) or Rule 15d-14(a) of the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196"/>
        </w:trPr>
        <w:tc>
          <w:tcPr>
            <w:tcW w:w="1080" w:type="dxa"/>
            <w:vAlign w:val="bottom"/>
            <w:shd w:val="clear" w:color="auto" w:fill="CCEEFF"/>
          </w:tcPr>
          <w:p>
            <w:pPr>
              <w:spacing w:after="0"/>
              <w:rPr>
                <w:sz w:val="17"/>
                <w:szCs w:val="17"/>
                <w:color w:val="auto"/>
              </w:rPr>
            </w:pPr>
          </w:p>
        </w:tc>
        <w:tc>
          <w:tcPr>
            <w:tcW w:w="7320" w:type="dxa"/>
            <w:vAlign w:val="bottom"/>
            <w:gridSpan w:val="5"/>
            <w:shd w:val="clear" w:color="auto" w:fill="CCEEFF"/>
          </w:tcPr>
          <w:p>
            <w:pPr>
              <w:spacing w:after="0" w:line="196" w:lineRule="exact"/>
              <w:rPr>
                <w:rFonts w:ascii="Arial" w:cs="Arial" w:eastAsia="Arial" w:hAnsi="Arial"/>
                <w:sz w:val="18"/>
                <w:szCs w:val="18"/>
                <w:color w:val="0000FF"/>
                <w:w w:val="93"/>
              </w:rPr>
            </w:pPr>
            <w:hyperlink w:anchor="page64">
              <w:r>
                <w:rPr>
                  <w:rFonts w:ascii="Arial" w:cs="Arial" w:eastAsia="Arial" w:hAnsi="Arial"/>
                  <w:sz w:val="18"/>
                  <w:szCs w:val="18"/>
                  <w:color w:val="0000FF"/>
                  <w:w w:val="93"/>
                </w:rPr>
                <w:t>Securities Exchange Act of 1934 as adopted pursuant to Section 302 of the Sarbanes-Oxley Act of</w:t>
              </w:r>
            </w:hyperlink>
          </w:p>
        </w:tc>
        <w:tc>
          <w:tcPr>
            <w:tcW w:w="3020" w:type="dxa"/>
            <w:vAlign w:val="bottom"/>
            <w:shd w:val="clear" w:color="auto" w:fill="CCEEFF"/>
          </w:tcPr>
          <w:p>
            <w:pPr>
              <w:spacing w:after="0"/>
              <w:rPr>
                <w:sz w:val="17"/>
                <w:szCs w:val="17"/>
                <w:color w:val="auto"/>
              </w:rPr>
            </w:pPr>
          </w:p>
        </w:tc>
      </w:tr>
      <w:tr>
        <w:trPr>
          <w:trHeight w:val="249"/>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8"/>
              </w:rPr>
            </w:pPr>
            <w:hyperlink w:anchor="page64">
              <w:r>
                <w:rPr>
                  <w:rFonts w:ascii="Arial" w:cs="Arial" w:eastAsia="Arial" w:hAnsi="Arial"/>
                  <w:sz w:val="18"/>
                  <w:szCs w:val="18"/>
                  <w:color w:val="0000FF"/>
                  <w:w w:val="88"/>
                </w:rPr>
                <w:t>2002.</w:t>
              </w:r>
            </w:hyperlink>
          </w:p>
        </w:tc>
        <w:tc>
          <w:tcPr>
            <w:tcW w:w="3240" w:type="dxa"/>
            <w:vAlign w:val="bottom"/>
            <w:tcBorders>
              <w:top w:val="single" w:sz="8" w:color="0000FF"/>
              <w:bottom w:val="single" w:sz="8" w:color="CCEEFF"/>
            </w:tcBorders>
            <w:shd w:val="clear" w:color="auto" w:fill="CCEEFF"/>
          </w:tcPr>
          <w:p>
            <w:pPr>
              <w:spacing w:after="0"/>
              <w:rPr>
                <w:sz w:val="21"/>
                <w:szCs w:val="21"/>
                <w:color w:val="auto"/>
              </w:rPr>
            </w:pPr>
          </w:p>
        </w:tc>
        <w:tc>
          <w:tcPr>
            <w:tcW w:w="35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30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080" w:type="dxa"/>
            <w:vAlign w:val="bottom"/>
            <w:tcBorders>
              <w:top w:val="single" w:sz="8" w:color="CCEEFF"/>
            </w:tcBorders>
          </w:tcPr>
          <w:p>
            <w:pPr>
              <w:jc w:val="right"/>
              <w:ind w:right="170"/>
              <w:spacing w:after="0" w:line="202" w:lineRule="exact"/>
              <w:rPr>
                <w:sz w:val="20"/>
                <w:szCs w:val="20"/>
                <w:color w:val="auto"/>
              </w:rPr>
            </w:pPr>
            <w:r>
              <w:rPr>
                <w:rFonts w:ascii="Arial" w:cs="Arial" w:eastAsia="Arial" w:hAnsi="Arial"/>
                <w:sz w:val="18"/>
                <w:szCs w:val="18"/>
                <w:color w:val="auto"/>
              </w:rPr>
              <w:t>32.1</w:t>
            </w:r>
          </w:p>
        </w:tc>
        <w:tc>
          <w:tcPr>
            <w:tcW w:w="7260" w:type="dxa"/>
            <w:vAlign w:val="bottom"/>
            <w:tcBorders>
              <w:top w:val="single" w:sz="8" w:color="CCEEFF"/>
              <w:bottom w:val="single" w:sz="8" w:color="0000FF"/>
            </w:tcBorders>
            <w:gridSpan w:val="4"/>
          </w:tcPr>
          <w:p>
            <w:pPr>
              <w:spacing w:after="0" w:line="202" w:lineRule="exact"/>
              <w:rPr>
                <w:rFonts w:ascii="Arial" w:cs="Arial" w:eastAsia="Arial" w:hAnsi="Arial"/>
                <w:sz w:val="18"/>
                <w:szCs w:val="18"/>
                <w:color w:val="0000FF"/>
                <w:w w:val="91"/>
              </w:rPr>
            </w:pPr>
            <w:hyperlink w:anchor="page65">
              <w:r>
                <w:rPr>
                  <w:rFonts w:ascii="Arial" w:cs="Arial" w:eastAsia="Arial" w:hAnsi="Arial"/>
                  <w:sz w:val="18"/>
                  <w:szCs w:val="18"/>
                  <w:color w:val="0000FF"/>
                  <w:w w:val="91"/>
                </w:rPr>
                <w:t>Certification of the Chief Executive Officer pursuant to 18 U.S.C. Section 1350 as adopted pursuant</w:t>
              </w:r>
            </w:hyperlink>
          </w:p>
        </w:tc>
        <w:tc>
          <w:tcPr>
            <w:tcW w:w="60" w:type="dxa"/>
            <w:vAlign w:val="bottom"/>
            <w:tcBorders>
              <w:top w:val="single" w:sz="8" w:color="CCEEFF"/>
            </w:tcBorders>
          </w:tcPr>
          <w:p>
            <w:pPr>
              <w:spacing w:after="0"/>
              <w:rPr>
                <w:sz w:val="17"/>
                <w:szCs w:val="17"/>
                <w:color w:val="auto"/>
              </w:rPr>
            </w:pPr>
          </w:p>
        </w:tc>
        <w:tc>
          <w:tcPr>
            <w:tcW w:w="302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w:t>
            </w:r>
          </w:p>
        </w:tc>
      </w:tr>
      <w:tr>
        <w:trPr>
          <w:trHeight w:val="196"/>
        </w:trPr>
        <w:tc>
          <w:tcPr>
            <w:tcW w:w="1080" w:type="dxa"/>
            <w:vAlign w:val="bottom"/>
          </w:tcPr>
          <w:p>
            <w:pPr>
              <w:spacing w:after="0"/>
              <w:rPr>
                <w:sz w:val="17"/>
                <w:szCs w:val="17"/>
                <w:color w:val="auto"/>
              </w:rPr>
            </w:pPr>
          </w:p>
        </w:tc>
        <w:tc>
          <w:tcPr>
            <w:tcW w:w="7320" w:type="dxa"/>
            <w:vAlign w:val="bottom"/>
            <w:gridSpan w:val="5"/>
          </w:tcPr>
          <w:p>
            <w:pPr>
              <w:spacing w:after="0" w:line="196" w:lineRule="exact"/>
              <w:rPr>
                <w:rFonts w:ascii="Arial" w:cs="Arial" w:eastAsia="Arial" w:hAnsi="Arial"/>
                <w:sz w:val="18"/>
                <w:szCs w:val="18"/>
                <w:color w:val="0000FF"/>
              </w:rPr>
            </w:pPr>
            <w:hyperlink w:anchor="page65">
              <w:r>
                <w:rPr>
                  <w:rFonts w:ascii="Arial" w:cs="Arial" w:eastAsia="Arial" w:hAnsi="Arial"/>
                  <w:sz w:val="18"/>
                  <w:szCs w:val="18"/>
                  <w:color w:val="0000FF"/>
                </w:rPr>
                <w:t>to Section 906 of the Sarbanes-Oxley Act of 2002.</w:t>
              </w:r>
            </w:hyperlink>
          </w:p>
        </w:tc>
        <w:tc>
          <w:tcPr>
            <w:tcW w:w="302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3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2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32.2</w:t>
            </w:r>
          </w:p>
        </w:tc>
        <w:tc>
          <w:tcPr>
            <w:tcW w:w="724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2"/>
              </w:rPr>
            </w:pPr>
            <w:hyperlink w:anchor="page66">
              <w:r>
                <w:rPr>
                  <w:rFonts w:ascii="Arial" w:cs="Arial" w:eastAsia="Arial" w:hAnsi="Arial"/>
                  <w:sz w:val="18"/>
                  <w:szCs w:val="18"/>
                  <w:color w:val="0000FF"/>
                  <w:w w:val="92"/>
                </w:rPr>
                <w:t>Certification of the Chief Financial Officer pursuant to 18 U.S.C. Section 1350 as adopted pursuant</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to Section 906 of the Sarbanes-Oxley Act of 2002.</w:t>
              </w:r>
            </w:hyperlink>
          </w:p>
        </w:tc>
        <w:tc>
          <w:tcPr>
            <w:tcW w:w="3660" w:type="dxa"/>
            <w:vAlign w:val="bottom"/>
            <w:tcBorders>
              <w:bottom w:val="single" w:sz="8" w:color="CCEEFF"/>
            </w:tcBorders>
            <w:gridSpan w:val="3"/>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1"/>
                <w:szCs w:val="21"/>
                <w:color w:val="auto"/>
              </w:rPr>
            </w:pPr>
          </w:p>
        </w:tc>
      </w:tr>
      <w:tr>
        <w:trPr>
          <w:trHeight w:val="229"/>
        </w:trPr>
        <w:tc>
          <w:tcPr>
            <w:tcW w:w="1080" w:type="dxa"/>
            <w:vAlign w:val="bottom"/>
          </w:tcPr>
          <w:p>
            <w:pPr>
              <w:jc w:val="right"/>
              <w:ind w:right="170"/>
              <w:spacing w:after="0"/>
              <w:rPr>
                <w:sz w:val="20"/>
                <w:szCs w:val="20"/>
                <w:color w:val="auto"/>
              </w:rPr>
            </w:pPr>
            <w:r>
              <w:rPr>
                <w:rFonts w:ascii="Arial" w:cs="Arial" w:eastAsia="Arial" w:hAnsi="Arial"/>
                <w:sz w:val="18"/>
                <w:szCs w:val="18"/>
                <w:color w:val="auto"/>
              </w:rPr>
              <w:t>101.INS</w:t>
            </w:r>
          </w:p>
        </w:tc>
        <w:tc>
          <w:tcPr>
            <w:tcW w:w="7320" w:type="dxa"/>
            <w:vAlign w:val="bottom"/>
            <w:gridSpan w:val="5"/>
          </w:tcPr>
          <w:p>
            <w:pPr>
              <w:spacing w:after="0"/>
              <w:rPr>
                <w:sz w:val="20"/>
                <w:szCs w:val="20"/>
                <w:color w:val="auto"/>
              </w:rPr>
            </w:pPr>
            <w:r>
              <w:rPr>
                <w:rFonts w:ascii="Arial" w:cs="Arial" w:eastAsia="Arial" w:hAnsi="Arial"/>
                <w:sz w:val="18"/>
                <w:szCs w:val="18"/>
                <w:color w:val="auto"/>
                <w:w w:val="94"/>
              </w:rPr>
              <w:t xml:space="preserve">XBRL Instance Document </w:t>
            </w:r>
            <w:r>
              <w:rPr>
                <w:rFonts w:ascii="Arial" w:cs="Arial" w:eastAsia="Arial" w:hAnsi="Arial"/>
                <w:sz w:val="18"/>
                <w:szCs w:val="18"/>
                <w:b w:val="1"/>
                <w:bCs w:val="1"/>
                <w:color w:val="auto"/>
                <w:w w:val="94"/>
              </w:rPr>
              <w:t>—</w:t>
            </w:r>
            <w:r>
              <w:rPr>
                <w:rFonts w:ascii="Arial" w:cs="Arial" w:eastAsia="Arial" w:hAnsi="Arial"/>
                <w:sz w:val="18"/>
                <w:szCs w:val="18"/>
                <w:color w:val="auto"/>
                <w:w w:val="94"/>
              </w:rPr>
              <w:t xml:space="preserve"> The instance document does not appear in the Interactive Data File</w:t>
            </w:r>
          </w:p>
        </w:tc>
        <w:tc>
          <w:tcPr>
            <w:tcW w:w="30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7320" w:type="dxa"/>
            <w:vAlign w:val="bottom"/>
            <w:gridSpan w:val="5"/>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302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101.SCH</w:t>
            </w:r>
          </w:p>
        </w:tc>
        <w:tc>
          <w:tcPr>
            <w:tcW w:w="73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080" w:type="dxa"/>
            <w:vAlign w:val="bottom"/>
          </w:tcPr>
          <w:p>
            <w:pPr>
              <w:jc w:val="right"/>
              <w:ind w:right="170"/>
              <w:spacing w:after="0"/>
              <w:rPr>
                <w:sz w:val="20"/>
                <w:szCs w:val="20"/>
                <w:color w:val="auto"/>
              </w:rPr>
            </w:pPr>
            <w:r>
              <w:rPr>
                <w:rFonts w:ascii="Arial" w:cs="Arial" w:eastAsia="Arial" w:hAnsi="Arial"/>
                <w:sz w:val="18"/>
                <w:szCs w:val="18"/>
                <w:color w:val="auto"/>
              </w:rPr>
              <w:t>101.CAL</w:t>
            </w:r>
          </w:p>
        </w:tc>
        <w:tc>
          <w:tcPr>
            <w:tcW w:w="73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0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
        </w:trPr>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101.DEF</w:t>
            </w:r>
          </w:p>
        </w:tc>
        <w:tc>
          <w:tcPr>
            <w:tcW w:w="73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43"/>
        </w:trPr>
        <w:tc>
          <w:tcPr>
            <w:tcW w:w="1080" w:type="dxa"/>
            <w:vAlign w:val="bottom"/>
          </w:tcPr>
          <w:p>
            <w:pPr>
              <w:jc w:val="right"/>
              <w:ind w:right="170"/>
              <w:spacing w:after="0"/>
              <w:rPr>
                <w:sz w:val="20"/>
                <w:szCs w:val="20"/>
                <w:color w:val="auto"/>
              </w:rPr>
            </w:pPr>
            <w:r>
              <w:rPr>
                <w:rFonts w:ascii="Arial" w:cs="Arial" w:eastAsia="Arial" w:hAnsi="Arial"/>
                <w:sz w:val="18"/>
                <w:szCs w:val="18"/>
                <w:color w:val="auto"/>
              </w:rPr>
              <w:t>101.LAB</w:t>
            </w:r>
          </w:p>
        </w:tc>
        <w:tc>
          <w:tcPr>
            <w:tcW w:w="73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302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170"/>
              <w:spacing w:after="0"/>
              <w:rPr>
                <w:sz w:val="20"/>
                <w:szCs w:val="20"/>
                <w:color w:val="auto"/>
              </w:rPr>
            </w:pPr>
            <w:r>
              <w:rPr>
                <w:rFonts w:ascii="Arial" w:cs="Arial" w:eastAsia="Arial" w:hAnsi="Arial"/>
                <w:sz w:val="18"/>
                <w:szCs w:val="18"/>
                <w:color w:val="auto"/>
              </w:rPr>
              <w:t>101.PRE</w:t>
            </w:r>
          </w:p>
        </w:tc>
        <w:tc>
          <w:tcPr>
            <w:tcW w:w="73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02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44" w:lineRule="exact"/>
        <w:rPr>
          <w:sz w:val="20"/>
          <w:szCs w:val="20"/>
          <w:color w:val="auto"/>
        </w:rPr>
      </w:pPr>
    </w:p>
    <w:p>
      <w:pPr>
        <w:jc w:val="both"/>
        <w:ind w:firstLine="8"/>
        <w:spacing w:after="0" w:line="264" w:lineRule="auto"/>
        <w:tabs>
          <w:tab w:leader="none" w:pos="2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00" w:lineRule="exact"/>
        <w:rPr>
          <w:sz w:val="20"/>
          <w:szCs w:val="20"/>
          <w:color w:val="auto"/>
        </w:rPr>
      </w:pPr>
    </w:p>
    <w:p>
      <w:pPr>
        <w:jc w:val="both"/>
        <w:ind w:firstLine="8"/>
        <w:spacing w:after="0" w:line="264" w:lineRule="auto"/>
        <w:tabs>
          <w:tab w:leader="none" w:pos="1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LENDINGTREE, INC.</w:t>
      </w:r>
    </w:p>
    <w:p>
      <w:pPr>
        <w:spacing w:after="0" w:line="329" w:lineRule="exact"/>
        <w:rPr>
          <w:sz w:val="20"/>
          <w:szCs w:val="20"/>
          <w:color w:val="auto"/>
        </w:rPr>
      </w:pPr>
    </w:p>
    <w:p>
      <w:pPr>
        <w:ind w:left="47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34290</wp:posOffset>
            </wp:positionV>
            <wp:extent cx="38246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6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10.1</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CREDIT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SECOND AMENDMENT TO 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September 17, 2019, by and among LENDINGTREE,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LENDINGTREE, INC., a Delaware corporation (“</w:t>
      </w:r>
      <w:r>
        <w:rPr>
          <w:rFonts w:ascii="Arial" w:cs="Arial" w:eastAsia="Arial" w:hAnsi="Arial"/>
          <w:sz w:val="22"/>
          <w:szCs w:val="22"/>
          <w:u w:val="single" w:color="auto"/>
          <w:color w:val="auto"/>
        </w:rPr>
        <w:t>Parent</w:t>
      </w:r>
      <w:r>
        <w:rPr>
          <w:rFonts w:ascii="Arial" w:cs="Arial" w:eastAsia="Arial" w:hAnsi="Arial"/>
          <w:sz w:val="22"/>
          <w:szCs w:val="22"/>
          <w:color w:val="auto"/>
        </w:rPr>
        <w:t>”), the other Loan Parties (as defined in the Credit Agreement referred to below), the Lenders (as defined below) party hereto, and SUNTRUST BANK, as the administrative agent for itself and on behalf of the Lenders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Borrower, Parent, the financial institutions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the Administrative Agent have executed and delivered that certain Amended and Restated Credit Agreement dated as of November 21, 2017, as amended by that certain First Amendment to Credit Agreement dated as of June 24, 2019 (and as the same may be further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Borrower has requested that the Lenders agree to amend certain provisions of the Credit Agreement as set forth herein, and the Administrative Agent and the Lenders party hereto have agreed to such amendments, in each case subject to the terms and conditions hereof.</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for and in consideration of the above premises and other good and valuable consideration, the receipt and sufficiency of which is hereby acknowledged by the parties hereto, each of the parties hereto hereby covenants and agrees as follows: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Unless otherwise specifically defined herein, each term used herein (and in the recitals above) which is defined in the Credit Agreement shall have the meaning assigned to such term in the Credit Agreement.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 to Section 2.22(a)(ii). Section 2.22(a)</w:t>
      </w:r>
      <w:r>
        <w:rPr>
          <w:rFonts w:ascii="Arial" w:cs="Arial" w:eastAsia="Arial" w:hAnsi="Arial"/>
          <w:sz w:val="22"/>
          <w:szCs w:val="22"/>
          <w:color w:val="auto"/>
        </w:rPr>
        <w:t xml:space="preserve"> of the Credit Agreement is amended by adding “(or such lesser amount as the Issuing Bank may agree in its sole discretion)” at the end of clause (ii) thereof.</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 This Agreement shall become effective only upon the Administrative Agent’s receipt of this Agreement duly executed by each of (i) the Loan Parties, (ii) the Required Lenders, (iii) the Issuing Bank, and (iv) the Administrative Agent.</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Miscellaneous Terms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838"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Loan Document</w:t>
      </w:r>
      <w:r>
        <w:rPr>
          <w:rFonts w:ascii="Arial" w:cs="Arial" w:eastAsia="Arial" w:hAnsi="Arial"/>
          <w:sz w:val="22"/>
          <w:szCs w:val="22"/>
          <w:color w:val="auto"/>
        </w:rPr>
        <w:t>. For avoidance of doubt, the Loan Parties, the Lenders party hereto, and the Administrative Agent each hereby acknowledges and agrees that this Agreement is a Loan Document.</w:t>
      </w:r>
    </w:p>
    <w:p>
      <w:pPr>
        <w:sectPr>
          <w:pgSz w:w="11900" w:h="16838" w:orient="portrait"/>
          <w:cols w:equalWidth="0" w:num="1">
            <w:col w:w="11420"/>
          </w:cols>
          <w:pgMar w:left="240" w:top="121" w:right="239" w:bottom="1440" w:gutter="0" w:footer="0" w:header="0"/>
        </w:sectPr>
      </w:pPr>
    </w:p>
    <w:bookmarkStart w:id="51" w:name="page52"/>
    <w:bookmarkEnd w:id="51"/>
    <w:p>
      <w:pPr>
        <w:jc w:val="both"/>
        <w:ind w:left="-1200" w:firstLine="1305"/>
        <w:spacing w:after="0" w:line="260" w:lineRule="auto"/>
        <w:tabs>
          <w:tab w:leader="none" w:pos="677"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Effect of Agreement</w:t>
      </w:r>
      <w:r>
        <w:rPr>
          <w:rFonts w:ascii="Arial" w:cs="Arial" w:eastAsia="Arial" w:hAnsi="Arial"/>
          <w:sz w:val="22"/>
          <w:szCs w:val="22"/>
          <w:color w:val="auto"/>
        </w:rPr>
        <w:t>. Except as set forth expressly hereinabove, all terms of the Credit Agreement and the other Loan Documents shall be and remain in full force and effect, and shall constitute the legal, valid, binding, and enforceable obligations of the Loan Parties.</w:t>
      </w:r>
    </w:p>
    <w:p>
      <w:pPr>
        <w:spacing w:after="0" w:line="177" w:lineRule="exact"/>
        <w:rPr>
          <w:rFonts w:ascii="Arial" w:cs="Arial" w:eastAsia="Arial" w:hAnsi="Arial"/>
          <w:sz w:val="22"/>
          <w:szCs w:val="22"/>
          <w:color w:val="auto"/>
        </w:rPr>
      </w:pPr>
    </w:p>
    <w:p>
      <w:pPr>
        <w:jc w:val="both"/>
        <w:ind w:left="-1200" w:firstLine="1305"/>
        <w:spacing w:after="0" w:line="260" w:lineRule="auto"/>
        <w:tabs>
          <w:tab w:leader="none" w:pos="65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No Novation or Mutual Departure</w:t>
      </w:r>
      <w:r>
        <w:rPr>
          <w:rFonts w:ascii="Arial" w:cs="Arial" w:eastAsia="Arial" w:hAnsi="Arial"/>
          <w:sz w:val="21"/>
          <w:szCs w:val="21"/>
          <w:color w:val="auto"/>
        </w:rPr>
        <w:t xml:space="preserve">. The Loan Parties expressly acknowledge and agree that (i) there has not been, and this Agreement does not constitute or establish, a novation with respect to the Credit Agreement or any of the other Loan Documents, or a mutual departure from the strict terms, provisions, and conditions thereof, other than with respect to the amendments contained in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above and (ii) nothing in this Agreement shall affect or limit the Administrative Agent’s or any Lender’s right to demand payment of liabilities owing from any Loan Party to the Administrative Agent or the Lender under, or to demand strict performance of the terms, provisions, and conditions of, the Credit Agreement and the other Loan Documents, to exercise any and all rights, powers, and remedies under the Credit Agreement or the other Loan Documents or at law or in equity, or to do any and all of the foregoing, immediately at any time after the occurrence of a Default or an Event of Default under the Credit Agreement or the other Loan Documents.</w:t>
      </w:r>
    </w:p>
    <w:p>
      <w:pPr>
        <w:spacing w:after="0" w:line="184" w:lineRule="exact"/>
        <w:rPr>
          <w:rFonts w:ascii="Arial" w:cs="Arial" w:eastAsia="Arial" w:hAnsi="Arial"/>
          <w:sz w:val="21"/>
          <w:szCs w:val="21"/>
          <w:color w:val="auto"/>
        </w:rPr>
      </w:pPr>
    </w:p>
    <w:p>
      <w:pPr>
        <w:jc w:val="both"/>
        <w:ind w:left="-1200" w:firstLine="1305"/>
        <w:spacing w:after="0" w:line="297" w:lineRule="auto"/>
        <w:tabs>
          <w:tab w:leader="none" w:pos="596"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Ratification</w:t>
      </w:r>
      <w:r>
        <w:rPr>
          <w:rFonts w:ascii="Arial" w:cs="Arial" w:eastAsia="Arial" w:hAnsi="Arial"/>
          <w:sz w:val="19"/>
          <w:szCs w:val="19"/>
          <w:color w:val="auto"/>
        </w:rPr>
        <w:t>. Each Loan Party hereby (i) restates, ratifies, and reaffirms all of its obligations and covenants set forth in the Credit Agreement and the other Loan Documents to which it is a party effective as of the date hereof and (ii) restates and renews each and every representation and warranty heretofore made by it in the Credit Agreement and the other Loan Documents as fully as if made on the date hereof and with specific reference to this Agreement and any other Loan Documents executed or delivered in connection herewith (except with respect to representations and warranties made as of an expressed date, in which case such representations and warranties shall be true and correct as of such date).</w:t>
      </w:r>
    </w:p>
    <w:p>
      <w:pPr>
        <w:spacing w:after="0" w:line="146" w:lineRule="exact"/>
        <w:rPr>
          <w:rFonts w:ascii="Arial" w:cs="Arial" w:eastAsia="Arial" w:hAnsi="Arial"/>
          <w:sz w:val="19"/>
          <w:szCs w:val="19"/>
          <w:color w:val="auto"/>
        </w:rPr>
      </w:pPr>
    </w:p>
    <w:p>
      <w:pPr>
        <w:jc w:val="both"/>
        <w:ind w:left="-1200" w:firstLine="1305"/>
        <w:spacing w:after="0" w:line="307" w:lineRule="auto"/>
        <w:tabs>
          <w:tab w:leader="none" w:pos="61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To induce Lenders to enter into this Agreement, Borrower hereby acknowledges and agrees that, as of the date hereof, and after giving effect to the terms hereof, there exists (i) no Default or Event of Default and (ii) no right of offset, defense, counterclaim, claim, or objection in favor of Borrower or arising out of or with respect to any of the Loans or other obligations of Borrower owed to Lenders under the Credit Agreement or any other Loan Document.</w:t>
      </w:r>
    </w:p>
    <w:p>
      <w:pPr>
        <w:spacing w:after="0" w:line="138" w:lineRule="exact"/>
        <w:rPr>
          <w:rFonts w:ascii="Arial" w:cs="Arial" w:eastAsia="Arial" w:hAnsi="Arial"/>
          <w:sz w:val="19"/>
          <w:szCs w:val="19"/>
          <w:color w:val="auto"/>
        </w:rPr>
      </w:pPr>
    </w:p>
    <w:p>
      <w:pPr>
        <w:jc w:val="both"/>
        <w:ind w:left="-1200" w:firstLine="1305"/>
        <w:spacing w:after="0" w:line="260" w:lineRule="auto"/>
        <w:tabs>
          <w:tab w:leader="none" w:pos="54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by different parties hereto in separate counterparts, each of which when so executed and delivered shall be deemed to be an original and all of which counterparts, taken together, shall constitute but one and the same instrument.</w:t>
      </w:r>
    </w:p>
    <w:p>
      <w:pPr>
        <w:spacing w:after="0" w:line="177" w:lineRule="exact"/>
        <w:rPr>
          <w:rFonts w:ascii="Arial" w:cs="Arial" w:eastAsia="Arial" w:hAnsi="Arial"/>
          <w:sz w:val="22"/>
          <w:szCs w:val="22"/>
          <w:color w:val="auto"/>
        </w:rPr>
      </w:pPr>
    </w:p>
    <w:p>
      <w:pPr>
        <w:jc w:val="both"/>
        <w:ind w:left="-1200" w:firstLine="1305"/>
        <w:spacing w:after="0" w:line="264" w:lineRule="auto"/>
        <w:tabs>
          <w:tab w:leader="none" w:pos="785"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Fax or Other Transmission</w:t>
      </w:r>
      <w:r>
        <w:rPr>
          <w:rFonts w:ascii="Arial" w:cs="Arial" w:eastAsia="Arial" w:hAnsi="Arial"/>
          <w:sz w:val="21"/>
          <w:szCs w:val="21"/>
          <w:color w:val="auto"/>
        </w:rPr>
        <w:t>. Delivery by one or more parties hereto of an executed counterpart of this Agreement via facsimile, telecopy, or other electronic method of transmission pursuant to which the signature of such party can be seen (including, without limitation, Adobe Corporation’s Portable Document Format) shall have the same force and effect as the delivery of an original executed counterpart of this Agreement. Any party delivering an executed counterpart of this Agreement by facsimile or other electronic method of transmission shall also deliver an original executed counterpart, but the failure to do so shall not affect the validity, enforceability, or binding effect of this Agreement.</w:t>
      </w:r>
    </w:p>
    <w:p>
      <w:pPr>
        <w:spacing w:after="0" w:line="391" w:lineRule="exact"/>
        <w:rPr>
          <w:rFonts w:ascii="Arial" w:cs="Arial" w:eastAsia="Arial" w:hAnsi="Arial"/>
          <w:sz w:val="21"/>
          <w:szCs w:val="21"/>
          <w:color w:val="auto"/>
        </w:rPr>
      </w:pPr>
    </w:p>
    <w:p>
      <w:pPr>
        <w:ind w:left="3120" w:hanging="98"/>
        <w:spacing w:after="0"/>
        <w:tabs>
          <w:tab w:leader="none" w:pos="3120" w:val="left"/>
        </w:tabs>
        <w:numPr>
          <w:ilvl w:val="1"/>
          <w:numId w:val="17"/>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0220"/>
          </w:cols>
          <w:pgMar w:left="1440" w:top="631" w:right="239" w:bottom="1440" w:gutter="0" w:footer="0" w:header="0"/>
        </w:sectPr>
      </w:pPr>
    </w:p>
    <w:bookmarkStart w:id="52" w:name="page53"/>
    <w:bookmarkEnd w:id="52"/>
    <w:p>
      <w:pPr>
        <w:ind w:left="1820" w:hanging="515"/>
        <w:spacing w:after="0"/>
        <w:tabs>
          <w:tab w:leader="none" w:pos="182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Recitals Incorporated Herein</w:t>
      </w:r>
      <w:r>
        <w:rPr>
          <w:rFonts w:ascii="Arial" w:cs="Arial" w:eastAsia="Arial" w:hAnsi="Arial"/>
          <w:sz w:val="19"/>
          <w:szCs w:val="19"/>
          <w:color w:val="auto"/>
        </w:rPr>
        <w:t>. The preamble and the recitals to this Agreement are hereby incorporated herein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this reference.</w:t>
      </w:r>
    </w:p>
    <w:p>
      <w:pPr>
        <w:spacing w:after="0" w:line="215" w:lineRule="exact"/>
        <w:rPr>
          <w:rFonts w:ascii="Arial" w:cs="Arial" w:eastAsia="Arial" w:hAnsi="Arial"/>
          <w:sz w:val="19"/>
          <w:szCs w:val="19"/>
          <w:color w:val="auto"/>
        </w:rPr>
      </w:pPr>
    </w:p>
    <w:p>
      <w:pPr>
        <w:ind w:firstLine="1305"/>
        <w:spacing w:after="0" w:line="358" w:lineRule="auto"/>
        <w:tabs>
          <w:tab w:leader="none" w:pos="1761"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Section References</w:t>
      </w:r>
      <w:r>
        <w:rPr>
          <w:rFonts w:ascii="Arial" w:cs="Arial" w:eastAsia="Arial" w:hAnsi="Arial"/>
          <w:sz w:val="19"/>
          <w:szCs w:val="19"/>
          <w:color w:val="auto"/>
        </w:rPr>
        <w:t>. Section titles and references used in this Agreement shall be without substantive meaning or content of any kind whatsoever and are not a part of the agreements among the parties hereto evidenced hereby.</w:t>
      </w:r>
    </w:p>
    <w:p>
      <w:pPr>
        <w:spacing w:after="0" w:line="90" w:lineRule="exact"/>
        <w:rPr>
          <w:rFonts w:ascii="Arial" w:cs="Arial" w:eastAsia="Arial" w:hAnsi="Arial"/>
          <w:sz w:val="19"/>
          <w:szCs w:val="19"/>
          <w:color w:val="auto"/>
        </w:rPr>
      </w:pPr>
    </w:p>
    <w:p>
      <w:pPr>
        <w:jc w:val="both"/>
        <w:ind w:firstLine="1305"/>
        <w:spacing w:after="0" w:line="260" w:lineRule="auto"/>
        <w:tabs>
          <w:tab w:leader="none" w:pos="1802"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Loan Parties agree to take, at the Loan Parties’ expense, such further actions as the Administrative Agent shall reasonably request from time to time to evidence the amendments set forth herein and the transactions contemplated hereby.</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5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and interpreted in accordance with the internal laws of the State of New York but excluding any principles of conflicts of law or other rule of law that would cause the application of the law of any jurisdiction other than the laws of the State of New York.</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7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177" w:lineRule="exact"/>
        <w:rPr>
          <w:rFonts w:ascii="Arial" w:cs="Arial" w:eastAsia="Arial" w:hAnsi="Arial"/>
          <w:sz w:val="22"/>
          <w:szCs w:val="22"/>
          <w:color w:val="auto"/>
        </w:rPr>
      </w:pPr>
    </w:p>
    <w:p>
      <w:pPr>
        <w:jc w:val="both"/>
        <w:ind w:firstLine="1305"/>
        <w:spacing w:after="0" w:line="278" w:lineRule="auto"/>
        <w:tabs>
          <w:tab w:leader="none" w:pos="1869"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Reaffirmation</w:t>
      </w:r>
      <w:r>
        <w:rPr>
          <w:rFonts w:ascii="Arial" w:cs="Arial" w:eastAsia="Arial" w:hAnsi="Arial"/>
          <w:sz w:val="21"/>
          <w:szCs w:val="21"/>
          <w:color w:val="auto"/>
        </w:rPr>
        <w:t>. Each Guarantor (i) consents to the execution and delivery of this Agreement, (ii) reaffirms all of its obligations and covenants under the Loan Documents to which it is a party, and (iii) agrees that none of its respective obligations and covenants shall be reduced or limited by the execution and delivery of this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- 3 -</w:t>
      </w:r>
    </w:p>
    <w:p>
      <w:pPr>
        <w:sectPr>
          <w:pgSz w:w="11900" w:h="16838" w:orient="portrait"/>
          <w:cols w:equalWidth="0" w:num="1">
            <w:col w:w="11420"/>
          </w:cols>
          <w:pgMar w:left="240" w:top="631" w:right="239" w:bottom="1440" w:gutter="0" w:footer="0" w:header="0"/>
        </w:sectPr>
      </w:pPr>
    </w:p>
    <w:bookmarkStart w:id="53" w:name="page54"/>
    <w:bookmarkEnd w:id="53"/>
    <w:p>
      <w:pPr>
        <w:ind w:firstLine="648"/>
        <w:spacing w:after="0" w:line="263" w:lineRule="auto"/>
        <w:rPr>
          <w:sz w:val="20"/>
          <w:szCs w:val="20"/>
          <w:color w:val="auto"/>
        </w:rPr>
      </w:pPr>
      <w:r>
        <w:rPr>
          <w:rFonts w:ascii="Arial" w:cs="Arial" w:eastAsia="Arial" w:hAnsi="Arial"/>
          <w:sz w:val="22"/>
          <w:szCs w:val="22"/>
          <w:color w:val="auto"/>
        </w:rPr>
        <w:t>IN WITNESS WHEREOF, each of the parties hereto has caused this Agreement to be duly executed by its duly authorized officer as of the day and year first above written.</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BORROWER</w:t>
      </w:r>
      <w:r>
        <w:rPr>
          <w:rFonts w:ascii="Arial" w:cs="Arial" w:eastAsia="Arial" w:hAnsi="Arial"/>
          <w:sz w:val="22"/>
          <w:szCs w:val="22"/>
          <w:b w:val="1"/>
          <w:bCs w:val="1"/>
          <w:color w:val="auto"/>
        </w:rPr>
        <w:t>:</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LENDINGTREE, LLC</w:t>
      </w:r>
    </w:p>
    <w:p>
      <w:pPr>
        <w:spacing w:after="0" w:line="200" w:lineRule="exact"/>
        <w:rPr>
          <w:sz w:val="20"/>
          <w:szCs w:val="20"/>
          <w:color w:val="auto"/>
        </w:rPr>
      </w:pPr>
    </w:p>
    <w:p>
      <w:pPr>
        <w:spacing w:after="0" w:line="32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531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J.D. Moriarty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PARENT AND GUARANTOR</w:t>
      </w:r>
      <w:r>
        <w:rPr>
          <w:rFonts w:ascii="Arial" w:cs="Arial" w:eastAsia="Arial" w:hAnsi="Arial"/>
          <w:sz w:val="22"/>
          <w:szCs w:val="22"/>
          <w:b w:val="1"/>
          <w:bCs w:val="1"/>
          <w:color w:val="auto"/>
        </w:rPr>
        <w:t>:</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LENDINGTREE, INC.</w:t>
      </w:r>
    </w:p>
    <w:p>
      <w:pPr>
        <w:spacing w:after="0" w:line="200" w:lineRule="exact"/>
        <w:rPr>
          <w:sz w:val="20"/>
          <w:szCs w:val="20"/>
          <w:color w:val="auto"/>
        </w:rPr>
      </w:pPr>
    </w:p>
    <w:p>
      <w:pPr>
        <w:spacing w:after="0" w:line="32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353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J.D. Moriarty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u w:val="single" w:color="auto"/>
          <w:color w:val="auto"/>
        </w:rPr>
        <w:t>GUARANTORS</w:t>
      </w:r>
      <w:r>
        <w:rPr>
          <w:rFonts w:ascii="Arial" w:cs="Arial" w:eastAsia="Arial" w:hAnsi="Arial"/>
          <w:sz w:val="22"/>
          <w:szCs w:val="22"/>
          <w:b w:val="1"/>
          <w:bCs w:val="1"/>
          <w:color w:val="auto"/>
        </w:rPr>
        <w:t>:</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OVATION CREDIT SERVICES, INC.</w:t>
      </w:r>
    </w:p>
    <w:p>
      <w:pPr>
        <w:spacing w:after="0" w:line="200" w:lineRule="exact"/>
        <w:rPr>
          <w:sz w:val="20"/>
          <w:szCs w:val="20"/>
          <w:color w:val="auto"/>
        </w:rPr>
      </w:pPr>
    </w:p>
    <w:p>
      <w:pPr>
        <w:spacing w:after="0" w:line="32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93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J.D. Moriarty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QUOTEWIZARD.COM, LLC</w:t>
      </w:r>
    </w:p>
    <w:p>
      <w:pPr>
        <w:spacing w:after="0" w:line="200" w:lineRule="exact"/>
        <w:rPr>
          <w:sz w:val="20"/>
          <w:szCs w:val="20"/>
          <w:color w:val="auto"/>
        </w:rPr>
      </w:pPr>
    </w:p>
    <w:p>
      <w:pPr>
        <w:spacing w:after="0" w:line="32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593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 w:lineRule="exact"/>
        <w:rPr>
          <w:sz w:val="20"/>
          <w:szCs w:val="20"/>
          <w:color w:val="auto"/>
        </w:rPr>
      </w:pPr>
    </w:p>
    <w:p>
      <w:pPr>
        <w:ind w:left="3900"/>
        <w:spacing w:after="0"/>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J.D. Moriarty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Treasurer</w:t>
      </w:r>
    </w:p>
    <w:p>
      <w:pPr>
        <w:sectPr>
          <w:pgSz w:w="11900" w:h="16838" w:orient="portrait"/>
          <w:cols w:equalWidth="0" w:num="1">
            <w:col w:w="11400"/>
          </w:cols>
          <w:pgMar w:left="240" w:top="631" w:right="259" w:bottom="1440" w:gutter="0" w:footer="0" w:header="0"/>
        </w:sectPr>
      </w:pPr>
    </w:p>
    <w:bookmarkStart w:id="54" w:name="page55"/>
    <w:bookmarkEnd w:id="54"/>
    <w:p>
      <w:pPr>
        <w:ind w:left="2700"/>
        <w:spacing w:after="0"/>
        <w:rPr>
          <w:sz w:val="20"/>
          <w:szCs w:val="20"/>
          <w:color w:val="auto"/>
        </w:rPr>
      </w:pPr>
      <w:r>
        <w:rPr>
          <w:rFonts w:ascii="Arial" w:cs="Arial" w:eastAsia="Arial" w:hAnsi="Arial"/>
          <w:sz w:val="22"/>
          <w:szCs w:val="22"/>
          <w:u w:val="single" w:color="auto"/>
          <w:color w:val="auto"/>
        </w:rPr>
        <w:t>ADMINISTRATIVE AGENT, ISSUING BANK, AND LENDERS</w:t>
      </w:r>
      <w:r>
        <w:rPr>
          <w:rFonts w:ascii="Arial" w:cs="Arial" w:eastAsia="Arial" w:hAnsi="Arial"/>
          <w:sz w:val="22"/>
          <w:szCs w:val="22"/>
          <w:color w:val="auto"/>
        </w:rPr>
        <w:t>:</w:t>
      </w:r>
    </w:p>
    <w:p>
      <w:pPr>
        <w:spacing w:after="0" w:line="254" w:lineRule="exact"/>
        <w:rPr>
          <w:sz w:val="20"/>
          <w:szCs w:val="20"/>
          <w:color w:val="auto"/>
        </w:rPr>
      </w:pPr>
    </w:p>
    <w:p>
      <w:pPr>
        <w:ind w:left="2700"/>
        <w:spacing w:after="0"/>
        <w:rPr>
          <w:sz w:val="20"/>
          <w:szCs w:val="20"/>
          <w:color w:val="auto"/>
        </w:rPr>
      </w:pPr>
      <w:r>
        <w:rPr>
          <w:rFonts w:ascii="Arial" w:cs="Arial" w:eastAsia="Arial" w:hAnsi="Arial"/>
          <w:sz w:val="19"/>
          <w:szCs w:val="19"/>
          <w:b w:val="1"/>
          <w:bCs w:val="1"/>
          <w:color w:val="auto"/>
        </w:rPr>
        <w:t>SUNTRUST BANK</w:t>
      </w:r>
      <w:r>
        <w:rPr>
          <w:rFonts w:ascii="Arial" w:cs="Arial" w:eastAsia="Arial" w:hAnsi="Arial"/>
          <w:sz w:val="19"/>
          <w:szCs w:val="19"/>
          <w:color w:val="auto"/>
        </w:rPr>
        <w:t>, as the Administrative Agent, Issuing Bank, and a Lender</w:t>
      </w:r>
    </w:p>
    <w:p>
      <w:pPr>
        <w:spacing w:after="0" w:line="200" w:lineRule="exact"/>
        <w:rPr>
          <w:sz w:val="20"/>
          <w:szCs w:val="20"/>
          <w:color w:val="auto"/>
        </w:rPr>
      </w:pPr>
    </w:p>
    <w:p>
      <w:pPr>
        <w:spacing w:after="0" w:line="357"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Cynthia Burton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99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Cynthia Burton</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540"/>
          </w:cols>
          <w:pgMar w:left="1440" w:top="631" w:right="919" w:bottom="1440" w:gutter="0" w:footer="0" w:header="0"/>
        </w:sectPr>
      </w:pPr>
    </w:p>
    <w:bookmarkStart w:id="55" w:name="page56"/>
    <w:bookmarkEnd w:id="55"/>
    <w:p>
      <w:pPr>
        <w:ind w:left="2700"/>
        <w:spacing w:after="0"/>
        <w:rPr>
          <w:sz w:val="20"/>
          <w:szCs w:val="20"/>
          <w:color w:val="auto"/>
        </w:rPr>
      </w:pPr>
      <w:r>
        <w:rPr>
          <w:rFonts w:ascii="Arial" w:cs="Arial" w:eastAsia="Arial" w:hAnsi="Arial"/>
          <w:sz w:val="21"/>
          <w:szCs w:val="21"/>
          <w:b w:val="1"/>
          <w:bCs w:val="1"/>
          <w:color w:val="auto"/>
        </w:rPr>
        <w:t>BANK OF AMERICA, N.A.</w:t>
      </w:r>
      <w:r>
        <w:rPr>
          <w:rFonts w:ascii="Arial" w:cs="Arial" w:eastAsia="Arial" w:hAnsi="Arial"/>
          <w:sz w:val="21"/>
          <w:szCs w:val="21"/>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19"/>
          <w:szCs w:val="19"/>
          <w:color w:val="auto"/>
        </w:rPr>
        <w:t>By:</w:t>
        <w:tab/>
        <w:t>/s/ Charles R.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3810</wp:posOffset>
            </wp:positionV>
            <wp:extent cx="18903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Name: Charles R. Dickerson</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Senior Vice President</w:t>
      </w:r>
    </w:p>
    <w:p>
      <w:pPr>
        <w:sectPr>
          <w:pgSz w:w="11900" w:h="16838" w:orient="portrait"/>
          <w:cols w:equalWidth="0" w:num="1">
            <w:col w:w="9019"/>
          </w:cols>
          <w:pgMar w:left="1440" w:top="882" w:right="1440" w:bottom="1440" w:gutter="0" w:footer="0" w:header="0"/>
        </w:sectPr>
      </w:pPr>
    </w:p>
    <w:bookmarkStart w:id="56" w:name="page57"/>
    <w:bookmarkEnd w:id="56"/>
    <w:p>
      <w:pPr>
        <w:ind w:left="2700"/>
        <w:spacing w:after="0"/>
        <w:rPr>
          <w:sz w:val="20"/>
          <w:szCs w:val="20"/>
          <w:color w:val="auto"/>
        </w:rPr>
      </w:pPr>
      <w:r>
        <w:rPr>
          <w:rFonts w:ascii="Arial" w:cs="Arial" w:eastAsia="Arial" w:hAnsi="Arial"/>
          <w:sz w:val="21"/>
          <w:szCs w:val="21"/>
          <w:b w:val="1"/>
          <w:bCs w:val="1"/>
          <w:color w:val="auto"/>
        </w:rPr>
        <w:t>ROYAL BANK OF CANADA</w:t>
      </w:r>
      <w:r>
        <w:rPr>
          <w:rFonts w:ascii="Arial" w:cs="Arial" w:eastAsia="Arial" w:hAnsi="Arial"/>
          <w:sz w:val="21"/>
          <w:szCs w:val="21"/>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1"/>
          <w:szCs w:val="21"/>
          <w:color w:val="auto"/>
        </w:rPr>
        <w:t>By:</w:t>
        <w:tab/>
        <w:t>/s/ J. Christian Gutiérrez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-10160</wp:posOffset>
            </wp:positionV>
            <wp:extent cx="18903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13"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 Christian Guti</w:t>
      </w:r>
      <w:r>
        <w:rPr>
          <w:rFonts w:ascii="Arial" w:cs="Arial" w:eastAsia="Arial" w:hAnsi="Arial"/>
          <w:sz w:val="22"/>
          <w:szCs w:val="22"/>
          <w:b w:val="1"/>
          <w:bCs w:val="1"/>
          <w:color w:val="auto"/>
        </w:rPr>
        <w:t>é</w:t>
      </w:r>
      <w:r>
        <w:rPr>
          <w:rFonts w:ascii="Arial" w:cs="Arial" w:eastAsia="Arial" w:hAnsi="Arial"/>
          <w:sz w:val="22"/>
          <w:szCs w:val="22"/>
          <w:color w:val="auto"/>
        </w:rPr>
        <w:t>rrez</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9019"/>
          </w:cols>
          <w:pgMar w:left="1440" w:top="625" w:right="1440" w:bottom="1440" w:gutter="0" w:footer="0" w:header="0"/>
        </w:sectPr>
      </w:pPr>
    </w:p>
    <w:bookmarkStart w:id="57" w:name="page58"/>
    <w:bookmarkEnd w:id="57"/>
    <w:p>
      <w:pPr>
        <w:ind w:left="2700"/>
        <w:spacing w:after="0"/>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Jodie R. Ayres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490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64909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Jodie R. Ayres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Title: Senior Vice President</w:t>
      </w:r>
    </w:p>
    <w:p>
      <w:pPr>
        <w:sectPr>
          <w:pgSz w:w="11900" w:h="16838" w:orient="portrait"/>
          <w:cols w:equalWidth="0" w:num="1">
            <w:col w:w="9019"/>
          </w:cols>
          <w:pgMar w:left="1440" w:top="625" w:right="1440" w:bottom="1440" w:gutter="0" w:footer="0" w:header="0"/>
        </w:sectPr>
      </w:pPr>
    </w:p>
    <w:bookmarkStart w:id="58" w:name="page59"/>
    <w:bookmarkEnd w:id="58"/>
    <w:p>
      <w:pPr>
        <w:ind w:left="2700"/>
        <w:spacing w:after="0"/>
        <w:rPr>
          <w:sz w:val="20"/>
          <w:szCs w:val="20"/>
          <w:color w:val="auto"/>
        </w:rPr>
      </w:pPr>
      <w:r>
        <w:rPr>
          <w:rFonts w:ascii="Arial" w:cs="Arial" w:eastAsia="Arial" w:hAnsi="Arial"/>
          <w:sz w:val="21"/>
          <w:szCs w:val="21"/>
          <w:b w:val="1"/>
          <w:bCs w:val="1"/>
          <w:color w:val="auto"/>
        </w:rPr>
        <w:t>JPMORGAN CHASE BANK, N.A.</w:t>
      </w:r>
      <w:r>
        <w:rPr>
          <w:rFonts w:ascii="Arial" w:cs="Arial" w:eastAsia="Arial" w:hAnsi="Arial"/>
          <w:sz w:val="21"/>
          <w:szCs w:val="21"/>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Caitlin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77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67703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Caitlin Stewart</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Executive Director</w:t>
      </w:r>
    </w:p>
    <w:p>
      <w:pPr>
        <w:sectPr>
          <w:pgSz w:w="11900" w:h="16838" w:orient="portrait"/>
          <w:cols w:equalWidth="0" w:num="1">
            <w:col w:w="9019"/>
          </w:cols>
          <w:pgMar w:left="1440" w:top="625" w:right="1440" w:bottom="1440" w:gutter="0" w:footer="0" w:header="0"/>
        </w:sectPr>
      </w:pPr>
    </w:p>
    <w:bookmarkStart w:id="59" w:name="page60"/>
    <w:bookmarkEnd w:id="59"/>
    <w:p>
      <w:pPr>
        <w:ind w:left="2700"/>
        <w:spacing w:after="0"/>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w:t>
      </w:r>
    </w:p>
    <w:p>
      <w:pPr>
        <w:spacing w:after="0" w:line="2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19"/>
          <w:szCs w:val="19"/>
          <w:color w:val="auto"/>
        </w:rPr>
        <w:t>By:</w:t>
        <w:tab/>
        <w:t>/s/ Jason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3810</wp:posOffset>
            </wp:positionV>
            <wp:extent cx="16465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21"/>
          <w:szCs w:val="21"/>
          <w:color w:val="auto"/>
        </w:rPr>
        <w:t>Name: Jason Douglas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Director</w:t>
      </w:r>
    </w:p>
    <w:p>
      <w:pPr>
        <w:sectPr>
          <w:pgSz w:w="11900" w:h="16838" w:orient="portrait"/>
          <w:cols w:equalWidth="0" w:num="1">
            <w:col w:w="9019"/>
          </w:cols>
          <w:pgMar w:left="1440" w:top="625" w:right="1440" w:bottom="1440" w:gutter="0" w:footer="0" w:header="0"/>
        </w:sectPr>
      </w:pPr>
    </w:p>
    <w:bookmarkStart w:id="60" w:name="page61"/>
    <w:bookmarkEnd w:id="60"/>
    <w:p>
      <w:pPr>
        <w:ind w:left="2700"/>
        <w:spacing w:after="0"/>
        <w:rPr>
          <w:sz w:val="20"/>
          <w:szCs w:val="20"/>
          <w:color w:val="auto"/>
        </w:rPr>
      </w:pPr>
      <w:r>
        <w:rPr>
          <w:rFonts w:ascii="Arial" w:cs="Arial" w:eastAsia="Arial" w:hAnsi="Arial"/>
          <w:sz w:val="21"/>
          <w:szCs w:val="21"/>
          <w:b w:val="1"/>
          <w:bCs w:val="1"/>
          <w:color w:val="auto"/>
        </w:rPr>
        <w:t>GOLDMAN SACHS BANK USA</w:t>
      </w:r>
      <w:r>
        <w:rPr>
          <w:rFonts w:ascii="Arial" w:cs="Arial" w:eastAsia="Arial" w:hAnsi="Arial"/>
          <w:sz w:val="21"/>
          <w:szCs w:val="21"/>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616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6160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Jamie Minieri</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Authorized Signatory</w:t>
      </w:r>
    </w:p>
    <w:p>
      <w:pPr>
        <w:sectPr>
          <w:pgSz w:w="11900" w:h="16838" w:orient="portrait"/>
          <w:cols w:equalWidth="0" w:num="1">
            <w:col w:w="9019"/>
          </w:cols>
          <w:pgMar w:left="1440" w:top="625" w:right="1440" w:bottom="1440" w:gutter="0" w:footer="0" w:header="0"/>
        </w:sectPr>
      </w:pPr>
    </w:p>
    <w:bookmarkStart w:id="61" w:name="page62"/>
    <w:bookmarkEnd w:id="61"/>
    <w:p>
      <w:pPr>
        <w:ind w:left="2700"/>
        <w:spacing w:after="0"/>
        <w:rPr>
          <w:sz w:val="20"/>
          <w:szCs w:val="20"/>
          <w:color w:val="auto"/>
        </w:rPr>
      </w:pPr>
      <w:r>
        <w:rPr>
          <w:rFonts w:ascii="Arial" w:cs="Arial" w:eastAsia="Arial" w:hAnsi="Arial"/>
          <w:sz w:val="21"/>
          <w:szCs w:val="21"/>
          <w:b w:val="1"/>
          <w:bCs w:val="1"/>
          <w:color w:val="auto"/>
        </w:rPr>
        <w:t>PNC BANK, NATIONAL ASSOCIATION</w:t>
      </w:r>
      <w:r>
        <w:rPr>
          <w:rFonts w:ascii="Arial" w:cs="Arial" w:eastAsia="Arial" w:hAnsi="Arial"/>
          <w:sz w:val="21"/>
          <w:szCs w:val="21"/>
          <w:color w:val="auto"/>
        </w:rPr>
        <w:t>,</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99" w:lineRule="exact"/>
        <w:rPr>
          <w:sz w:val="20"/>
          <w:szCs w:val="20"/>
          <w:color w:val="auto"/>
        </w:rPr>
      </w:pPr>
    </w:p>
    <w:p>
      <w:pPr>
        <w:ind w:left="2700"/>
        <w:spacing w:after="0"/>
        <w:tabs>
          <w:tab w:leader="none" w:pos="3260" w:val="left"/>
        </w:tabs>
        <w:rPr>
          <w:sz w:val="20"/>
          <w:szCs w:val="20"/>
          <w:color w:val="auto"/>
        </w:rPr>
      </w:pPr>
      <w:r>
        <w:rPr>
          <w:rFonts w:ascii="Arial" w:cs="Arial" w:eastAsia="Arial" w:hAnsi="Arial"/>
          <w:sz w:val="22"/>
          <w:szCs w:val="22"/>
          <w:color w:val="auto"/>
        </w:rPr>
        <w:t>By:</w:t>
        <w:tab/>
        <w:t>/s/ Krutesh Trivedi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-17780</wp:posOffset>
            </wp:positionV>
            <wp:extent cx="17176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717675" cy="8890"/>
                    </a:xfrm>
                    <a:prstGeom prst="rect">
                      <a:avLst/>
                    </a:prstGeom>
                    <a:noFill/>
                  </pic:spPr>
                </pic:pic>
              </a:graphicData>
            </a:graphic>
          </wp:anchor>
        </w:drawing>
      </w:r>
    </w:p>
    <w:p>
      <w:pPr>
        <w:spacing w:after="0" w:line="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 Krutesh Trivedi</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 Vice President</w:t>
      </w:r>
    </w:p>
    <w:p>
      <w:pPr>
        <w:sectPr>
          <w:pgSz w:w="11900" w:h="16838" w:orient="portrait"/>
          <w:cols w:equalWidth="0" w:num="1">
            <w:col w:w="9019"/>
          </w:cols>
          <w:pgMar w:left="1440" w:top="625"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J.D. Moriarty,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2019 of LendingTree,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2019</w:t>
      </w:r>
    </w:p>
    <w:p>
      <w:pPr>
        <w:spacing w:after="0" w:line="252"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66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16" w:lineRule="exact"/>
        <w:rPr>
          <w:sz w:val="20"/>
          <w:szCs w:val="20"/>
          <w:color w:val="auto"/>
        </w:rPr>
      </w:pPr>
    </w:p>
    <w:p>
      <w:pPr>
        <w:ind w:left="340" w:right="4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2019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30, 2019</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Douglas R. Lebda</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6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J.D. Moriarty, certify, pursuant to 18 U.S.C. Section 1350, as adopted pursuant to Section 906 of the Sarbanes-Oxley Act of 2002, that to my knowledge:</w:t>
      </w:r>
    </w:p>
    <w:p>
      <w:pPr>
        <w:spacing w:after="0" w:line="194" w:lineRule="exact"/>
        <w:rPr>
          <w:sz w:val="20"/>
          <w:szCs w:val="20"/>
          <w:color w:val="auto"/>
        </w:rPr>
      </w:pPr>
    </w:p>
    <w:p>
      <w:pPr>
        <w:ind w:left="340" w:right="44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September 30, 2019 of LendingTree, Inc. (the “Report”) which this statement accompanies fully complies with the requirements of Section 13(a) or 15(d) of the Securities Exchange Act of 1934 (15 U.S.C. 78m or 78o(d)); and</w:t>
      </w:r>
    </w:p>
    <w:p>
      <w:pPr>
        <w:spacing w:after="0" w:line="69" w:lineRule="exact"/>
        <w:rPr>
          <w:rFonts w:ascii="Arial" w:cs="Arial" w:eastAsia="Arial" w:hAnsi="Arial"/>
          <w:sz w:val="16"/>
          <w:szCs w:val="16"/>
          <w:color w:val="auto"/>
        </w:rPr>
      </w:pPr>
    </w:p>
    <w:p>
      <w:pPr>
        <w:ind w:right="420" w:firstLine="8"/>
        <w:spacing w:after="0" w:line="465" w:lineRule="auto"/>
        <w:tabs>
          <w:tab w:leader="none" w:pos="3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October 30, 2019</w:t>
      </w:r>
    </w:p>
    <w:p>
      <w:pPr>
        <w:spacing w:after="0" w:line="35"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/s/ J.D.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jc w:val="center"/>
        <w:ind w:left="5260"/>
        <w:spacing w:after="0"/>
        <w:rPr>
          <w:sz w:val="20"/>
          <w:szCs w:val="20"/>
          <w:color w:val="auto"/>
        </w:rPr>
      </w:pPr>
      <w:r>
        <w:rPr>
          <w:rFonts w:ascii="Arial" w:cs="Arial" w:eastAsia="Arial" w:hAnsi="Arial"/>
          <w:sz w:val="18"/>
          <w:szCs w:val="18"/>
          <w:color w:val="auto"/>
        </w:rPr>
        <w:t>J.D. Moriarty</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52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lowerLetter"/>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4"/>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2"/>
    </w:lvl>
    <w:lvl w:ilvl="1">
      <w:lvlJc w:val="left"/>
      <w:lvlText w:val="-"/>
      <w:numFmt w:val="bullet"/>
      <w:start w:val="1"/>
    </w:lvl>
  </w:abstractNum>
  <w:abstractNum w:abstractNumId="17">
    <w:nsid w:val="62BBD95A"/>
    <w:multiLevelType w:val="hybridMultilevel"/>
    <w:lvl w:ilvl="0">
      <w:lvlJc w:val="left"/>
      <w:lvlText w:val="(%1)"/>
      <w:numFmt w:val="lowerLetter"/>
      <w:start w:val="8"/>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19" Type="http://schemas.openxmlformats.org/officeDocument/2006/relationships/hyperlink" Target="http://www.sec.gov/Archives/edgar/data/1434621/000110465908054882/a08-22125_1ex3d1.htm" TargetMode="External"/><Relationship Id="rId20"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2019-12-28T04:09:14Z</dcterms:created>
  <dcterms:modified xsi:type="dcterms:W3CDTF">2019-12-28T04:09:14Z</dcterms:modified>
</cp:coreProperties>
</file>