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6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4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0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2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40"/>
          </w:cols>
          <w:pgMar w:left="240" w:top="685" w:right="31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4">
            <w:col w:w="2680" w:space="720"/>
            <w:col w:w="1660" w:space="720"/>
            <w:col w:w="2160" w:space="720"/>
            <w:col w:w="2680"/>
          </w:cols>
          <w:pgMar w:left="240" w:top="685" w:right="31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40"/>
          </w:cols>
          <w:pgMar w:left="240" w:top="685" w:right="31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November 8, 2011 there were 11,045,274 shares of the Registrant's common stock, par value $.01 per share, outstanding, excluding treasury shares.</w:t>
      </w:r>
    </w:p>
    <w:p>
      <w:pPr>
        <w:sectPr>
          <w:pgSz w:w="11900" w:h="16838" w:orient="portrait"/>
          <w:cols w:equalWidth="0" w:num="1">
            <w:col w:w="11340"/>
          </w:cols>
          <w:pgMar w:left="240" w:top="685"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80" w:type="dxa"/>
            <w:vAlign w:val="bottom"/>
            <w:gridSpan w:val="7"/>
            <w:vMerge w:val="restart"/>
          </w:tcPr>
          <w:p>
            <w:pPr>
              <w:jc w:val="center"/>
              <w:ind w:right="24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6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80" w:type="dxa"/>
            <w:vAlign w:val="bottom"/>
            <w:gridSpan w:val="7"/>
            <w:vMerge w:val="continue"/>
          </w:tcPr>
          <w:p>
            <w:pPr>
              <w:spacing w:after="0"/>
              <w:rPr>
                <w:sz w:val="14"/>
                <w:szCs w:val="14"/>
                <w:color w:val="auto"/>
              </w:rPr>
            </w:pPr>
          </w:p>
        </w:tc>
        <w:tc>
          <w:tcPr>
            <w:tcW w:w="540" w:type="dxa"/>
            <w:vAlign w:val="bottom"/>
            <w:tcBorders>
              <w:top w:val="single" w:sz="8" w:color="auto"/>
            </w:tcBorders>
            <w:gridSpan w:val="3"/>
            <w:vMerge w:val="restart"/>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4"/>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68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400" w:type="dxa"/>
            <w:vAlign w:val="bottom"/>
            <w:gridSpan w:val="2"/>
          </w:tcPr>
          <w:p>
            <w:pPr>
              <w:spacing w:after="0"/>
              <w:rPr>
                <w:sz w:val="17"/>
                <w:szCs w:val="17"/>
                <w:color w:val="auto"/>
              </w:rPr>
            </w:pPr>
          </w:p>
        </w:tc>
        <w:tc>
          <w:tcPr>
            <w:tcW w:w="540" w:type="dxa"/>
            <w:vAlign w:val="bottom"/>
            <w:tcBorders>
              <w:top w:val="single" w:sz="8" w:color="auto"/>
            </w:tcBorders>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3"/>
          </w:tcPr>
          <w:p>
            <w:pPr>
              <w:spacing w:after="0" w:line="196" w:lineRule="exact"/>
              <w:rPr>
                <w:rFonts w:ascii="Arial" w:cs="Arial" w:eastAsia="Arial" w:hAnsi="Arial"/>
                <w:sz w:val="18"/>
                <w:szCs w:val="18"/>
                <w:b w:val="1"/>
                <w:bCs w:val="1"/>
                <w:i w:val="1"/>
                <w:iCs w:val="1"/>
                <w:color w:val="0000EE"/>
              </w:rPr>
            </w:pPr>
            <w:hyperlink w:anchor="page37">
              <w:r>
                <w:rPr>
                  <w:rFonts w:ascii="Arial" w:cs="Arial" w:eastAsia="Arial" w:hAnsi="Arial"/>
                  <w:sz w:val="18"/>
                  <w:szCs w:val="18"/>
                  <w:b w:val="1"/>
                  <w:bCs w:val="1"/>
                  <w:i w:val="1"/>
                  <w:iCs w:val="1"/>
                  <w:color w:val="0000EE"/>
                </w:rPr>
                <w:t>Management's Discussion and Analysis of Financial Condition and Results of Operations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3.</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i w:val="1"/>
                <w:iCs w:val="1"/>
                <w:color w:val="0000EE"/>
                <w:w w:val="85"/>
              </w:rPr>
            </w:pPr>
            <w:hyperlink w:anchor="page50">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4.</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3"/>
              </w:rPr>
            </w:pPr>
            <w:hyperlink w:anchor="page50">
              <w:r>
                <w:rPr>
                  <w:rFonts w:ascii="Arial" w:cs="Arial" w:eastAsia="Arial" w:hAnsi="Arial"/>
                  <w:sz w:val="18"/>
                  <w:szCs w:val="18"/>
                  <w:b w:val="1"/>
                  <w:bCs w:val="1"/>
                  <w:i w:val="1"/>
                  <w:iCs w:val="1"/>
                  <w:color w:val="0000EE"/>
                  <w:w w:val="83"/>
                </w:rPr>
                <w:t>Controls and Procedures</w:t>
              </w:r>
            </w:hyperlink>
          </w:p>
        </w:tc>
        <w:tc>
          <w:tcPr>
            <w:tcW w:w="590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II—OTHER INFORMATION</w:t>
              </w:r>
            </w:hyperlink>
          </w:p>
        </w:tc>
        <w:tc>
          <w:tcPr>
            <w:tcW w:w="2540" w:type="dxa"/>
            <w:vAlign w:val="bottom"/>
            <w:gridSpan w:val="3"/>
          </w:tcPr>
          <w:p>
            <w:pPr>
              <w:spacing w:after="0"/>
              <w:rPr>
                <w:sz w:val="17"/>
                <w:szCs w:val="17"/>
                <w:color w:val="auto"/>
              </w:rPr>
            </w:pPr>
          </w:p>
        </w:tc>
        <w:tc>
          <w:tcPr>
            <w:tcW w:w="540" w:type="dxa"/>
            <w:vAlign w:val="bottom"/>
            <w:gridSpan w:val="3"/>
            <w:vMerge w:val="restart"/>
          </w:tcPr>
          <w:p>
            <w:pPr>
              <w:jc w:val="right"/>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3"/>
          </w:tcPr>
          <w:p>
            <w:pPr>
              <w:spacing w:after="0" w:line="196" w:lineRule="exact"/>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Legal Proceedings</w:t>
              </w:r>
            </w:hyperlink>
          </w:p>
        </w:tc>
        <w:tc>
          <w:tcPr>
            <w:tcW w:w="54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1A.</w:t>
              </w:r>
            </w:hyperlink>
          </w:p>
        </w:tc>
        <w:tc>
          <w:tcPr>
            <w:tcW w:w="7820" w:type="dxa"/>
            <w:vAlign w:val="bottom"/>
            <w:gridSpan w:val="14"/>
          </w:tcPr>
          <w:p>
            <w:pPr>
              <w:ind w:left="100"/>
              <w:spacing w:after="0" w:line="196" w:lineRule="exact"/>
              <w:rPr>
                <w:rFonts w:ascii="Arial" w:cs="Arial" w:eastAsia="Arial" w:hAnsi="Arial"/>
                <w:sz w:val="18"/>
                <w:szCs w:val="18"/>
                <w:b w:val="1"/>
                <w:bCs w:val="1"/>
                <w:i w:val="1"/>
                <w:iCs w:val="1"/>
                <w:color w:val="0000EE"/>
              </w:rPr>
            </w:pPr>
            <w:hyperlink w:anchor="page52">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51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7">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57">
              <w:r>
                <w:rPr>
                  <w:rFonts w:ascii="Arial" w:cs="Arial" w:eastAsia="Arial" w:hAnsi="Arial"/>
                  <w:sz w:val="18"/>
                  <w:szCs w:val="18"/>
                  <w:b w:val="1"/>
                  <w:bCs w:val="1"/>
                  <w:i w:val="1"/>
                  <w:iCs w:val="1"/>
                  <w:color w:val="0000EE"/>
                  <w:w w:val="83"/>
                </w:rPr>
                <w:t>Unregistered Sales of Equity Securities and Use of Proceeds</w:t>
              </w:r>
            </w:hyperlink>
          </w:p>
        </w:tc>
        <w:tc>
          <w:tcPr>
            <w:tcW w:w="33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7">
              <w:r>
                <w:rPr>
                  <w:rFonts w:ascii="Arial" w:cs="Arial" w:eastAsia="Arial" w:hAnsi="Arial"/>
                  <w:sz w:val="18"/>
                  <w:szCs w:val="18"/>
                  <w:b w:val="1"/>
                  <w:bCs w:val="1"/>
                  <w:color w:val="0000EE"/>
                  <w:w w:val="79"/>
                </w:rPr>
                <w:t>56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8">
              <w:r>
                <w:rPr>
                  <w:rFonts w:ascii="Arial" w:cs="Arial" w:eastAsia="Arial" w:hAnsi="Arial"/>
                  <w:sz w:val="18"/>
                  <w:szCs w:val="18"/>
                  <w:b w:val="1"/>
                  <w:bCs w:val="1"/>
                  <w:color w:val="0000EE"/>
                  <w:w w:val="91"/>
                </w:rPr>
                <w:t>Item 6.</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58">
              <w:r>
                <w:rPr>
                  <w:rFonts w:ascii="Arial" w:cs="Arial" w:eastAsia="Arial" w:hAnsi="Arial"/>
                  <w:sz w:val="18"/>
                  <w:szCs w:val="18"/>
                  <w:b w:val="1"/>
                  <w:bCs w:val="1"/>
                  <w:i w:val="1"/>
                  <w:iCs w:val="1"/>
                  <w:color w:val="0000EE"/>
                  <w:w w:val="85"/>
                </w:rPr>
                <w:t>Exhibits</w:t>
              </w:r>
            </w:hyperlink>
          </w:p>
        </w:tc>
        <w:tc>
          <w:tcPr>
            <w:tcW w:w="710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8">
              <w:r>
                <w:rPr>
                  <w:rFonts w:ascii="Arial" w:cs="Arial" w:eastAsia="Arial" w:hAnsi="Arial"/>
                  <w:sz w:val="18"/>
                  <w:szCs w:val="18"/>
                  <w:b w:val="1"/>
                  <w:bCs w:val="1"/>
                  <w:color w:val="0000EE"/>
                  <w:w w:val="79"/>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9"/>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860" w:type="dxa"/>
            <w:vAlign w:val="bottom"/>
            <w:gridSpan w:val="10"/>
          </w:tcPr>
          <w:p>
            <w:pPr>
              <w:jc w:val="center"/>
              <w:ind w:right="64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 of revenue (exclusive of depreciation shown separately below)</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9"/>
                <w:szCs w:val="19"/>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21,294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vMerge w:val="restart"/>
          </w:tcPr>
          <w:p>
            <w:pPr>
              <w:ind w:left="26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(3,760)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(7,436)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(27,470)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(7,496)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(27,736)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(3,685)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(7,538)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(27,853)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(23,036)</w:t>
            </w: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of discontinued operations, net of tax</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(24,615)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16,283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(16,863)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(44,716)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11,037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90"/>
              </w:rPr>
              <w:t>11,023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10,978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10,993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11,120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11,163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available to common shareholders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left="375"/>
              <w:spacing w:after="0" w:line="129" w:lineRule="exact"/>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 thousands,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par value and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85"/>
              </w:rPr>
              <w:t>amounts)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10,331</w:t>
            </w:r>
          </w:p>
        </w:tc>
        <w:tc>
          <w:tcPr>
            <w:tcW w:w="16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Accounts receivable, net of allowance of $118 and $131, respectively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203,950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130,701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40,295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1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202,809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6"/>
              </w:rPr>
              <w:t>Preferred stock $.01 par value; authorized 5,000,000 shares; none issued or outstanding</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authorized 50,000,000 shares; issued 12,165,992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11,893,468 shares, respectively, and outstanding 11,042,731 and 10,770,207 shares,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910,877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(843,318)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(798,602)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Treasury stock 1,123,261 shares</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297,170</w:t>
            </w:r>
          </w:p>
        </w:tc>
        <w:tc>
          <w:tcPr>
            <w:tcW w:w="16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as of December 31, 2010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908,837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(798,602)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Net loss for the nine months ended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(44,716)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(44,716)</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w w:val="98"/>
              </w:rPr>
              <w:t>vesting of restricted stock units,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net of withholding taxes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as of September 30, 2011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910,877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(843,318)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w w:val="92"/>
              </w:rPr>
              <w:t>(44,716)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(17,910)</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(27,853)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from continuing operations to net cash used in operating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continuing operations: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restructuring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(20,879)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(30,074)</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(Increase) decrease in restricted cash</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(4,275)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(32,122)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(58,317)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used in investing activities attributable to discontinued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 attributable to discontinued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(26,366)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(58,488)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Tree.com, Inc. ("we," "Tree.com" or the "Company") is the parent of LendingTree, LLC, which owns several brands and businesses that provide information, tools, advice, products and services for critical transactions in our customers' lives. Our family of brands includes: LendingTree.com®, GetSmart.com®,</w:t>
      </w:r>
    </w:p>
    <w:p>
      <w:pPr>
        <w:ind w:right="460"/>
        <w:spacing w:after="0" w:line="273" w:lineRule="auto"/>
        <w:rPr>
          <w:sz w:val="20"/>
          <w:szCs w:val="20"/>
          <w:color w:val="auto"/>
        </w:rPr>
      </w:pPr>
      <w:r>
        <w:rPr>
          <w:rFonts w:ascii="Arial" w:cs="Arial" w:eastAsia="Arial" w:hAnsi="Arial"/>
          <w:sz w:val="15"/>
          <w:szCs w:val="15"/>
          <w:color w:val="auto"/>
        </w:rPr>
        <w:t>DegreeTree.com</w:t>
      </w:r>
      <w:r>
        <w:rPr>
          <w:rFonts w:ascii="Arial" w:cs="Arial" w:eastAsia="Arial" w:hAnsi="Arial"/>
          <w:sz w:val="24"/>
          <w:szCs w:val="24"/>
          <w:color w:val="auto"/>
          <w:vertAlign w:val="superscript"/>
        </w:rPr>
        <w:t>SM</w:t>
      </w:r>
      <w:r>
        <w:rPr>
          <w:rFonts w:ascii="Arial" w:cs="Arial" w:eastAsia="Arial" w:hAnsi="Arial"/>
          <w:sz w:val="15"/>
          <w:szCs w:val="15"/>
          <w:color w:val="auto"/>
        </w:rPr>
        <w:t>, HealthTree.com</w:t>
      </w:r>
      <w:r>
        <w:rPr>
          <w:rFonts w:ascii="Arial" w:cs="Arial" w:eastAsia="Arial" w:hAnsi="Arial"/>
          <w:sz w:val="24"/>
          <w:szCs w:val="24"/>
          <w:color w:val="auto"/>
          <w:vertAlign w:val="superscript"/>
        </w:rPr>
        <w:t>SM</w:t>
      </w:r>
      <w:r>
        <w:rPr>
          <w:rFonts w:ascii="Arial" w:cs="Arial" w:eastAsia="Arial" w:hAnsi="Arial"/>
          <w:sz w:val="15"/>
          <w:szCs w:val="15"/>
          <w:color w:val="auto"/>
        </w:rPr>
        <w:t>, LendingTreeAutos.com, DoneRight.com®, and InsuranceTree.com</w:t>
      </w:r>
      <w:r>
        <w:rPr>
          <w:rFonts w:ascii="Arial" w:cs="Arial" w:eastAsia="Arial" w:hAnsi="Arial"/>
          <w:sz w:val="24"/>
          <w:szCs w:val="24"/>
          <w:color w:val="auto"/>
          <w:vertAlign w:val="superscript"/>
        </w:rPr>
        <w:t>SM</w:t>
      </w:r>
      <w:r>
        <w:rPr>
          <w:rFonts w:ascii="Arial" w:cs="Arial" w:eastAsia="Arial" w:hAnsi="Arial"/>
          <w:sz w:val="15"/>
          <w:szCs w:val="15"/>
          <w:color w:val="auto"/>
        </w:rPr>
        <w:t>. Together, these brands serve as an ally for consumers who are looking to comparison shop for loans and other services from multiple businesses and professionals that will compete for their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 The Exchanges segment consists of online lead generation networks and call centers that connect consumers and service providers principally in the lending, higher education, home services, insurance and automobile marketplaces.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connection with entering into an agreement in the second quarter of 2011 that provides for the sale of substantially all of the operating assets of our LendingTree Loans segment to Discover Bank that is discussed below and in Note 6, the Company re-evaluated its reporting segments based on the continuing operations of the Company. We have determined that our continuing operations are now one reportable segment, which represents the previous "Exchanges" segment.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balance sheet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March 10, 2011, management of the Company made the decision and finalized a plan to close all of the field offices of the proprietary full service real estate brokerage business known as RealEstate.com, REALTORS®. The Company exited all markets by March 31, 2011. In September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2011, the Company sold the remaining assets of RealEstate.com, which consisted primarily of internet domain names and trademarks, for $8.3 million and recognized a gain on sale of $7.8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On May 12, 2011, we entered into an asset purchase agreement with Discover Bank, a wholly-owned subsidiary of Discover Financial Services. The asset purchase agreement provides for the sale of substantially all of the operating assets of our LendingTree Loans business to Discover Bank.</w:t>
      </w:r>
    </w:p>
    <w:p>
      <w:pPr>
        <w:spacing w:after="0" w:line="13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Under the terms of the asset purchase agreement, Discover Bank has agreed to pay approximately $55.9 million in cash for the assets, subject to certain adjustments as described in the asset purchase agreement. $35.9 million is due upon the closing of the transaction and $10 million is due on each of the first and second anniversaries of the closing, subject to certain conditions as described in the asset purchase agreement, including maintenance of the LendingTree Exchange and certain financial and operational metrics associated with the LendingTree Exchange business, for which we are compliant.</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Discover Bank generally will not assume liabilities of the LendingTree Loans business that arose before the closing date, except for certain liabilities directly related to assets included in the purchase. A portion of the initial purchase price payment will be held in escrow pending the discharge of certain liabilities that will remain with us.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transaction is subject to various closing conditions, including the receipt of regulatory approvals and loan repurchase proposals for Discover Bank. Our stockholders approved the transaction on August 26, 2011.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 purchase agreement contains customary representations, warranties, covenants and indemnification obligations of the parties.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asset purchase agreement also includes covenants of us (for which we are compliant) and Discover Bank. Subject to certain exceptions stated in the asset purchase agreement, we have agreed to operate the LendingTree Loans business in the ordinary course and to maintain certain operational and financial metrics until the closing of the transaction.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 Bank's consent. If the requirements of these covenants are not met, Discover Bank has the option to terminate the asset purchase agreement.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asset purchase agreement also includes customary termination provisions, including that each of our company and Discover Bank may terminate the asset purchase agreement if the other party has materially breached any representation, warranty or covenant contained in the asset purchase agreement and failed to cure such breach, if the closing has not occurred within 150 days from the signing (subject to certain extensions for up to 150 additional days). Discover Bank may terminate the asset purchase agreement if our board of directors determines, after considering any modified proposals from Discover Bank, to change its recommendation to our stockholders because a failure to do so would constitute a breach of its fiduciary duties, or if we materially breach our non-solicitation obligations. If the asset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purchase agreement is terminated under certain circumstances, including due to a change of recommendation by our board of directors, we will be required to pay Discover Bank a termination fee of $2.2 million. If Discover Bank does not complete the acquisition as a result of its inability to obtain proposals for loan purchase arrangements that are customary for a bank that is similarly situated to Discover Bank, Discover Bank will be required to pay us a termination fee of $5 million.</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November 7, 2011, Discover Bank elected to extend the end date upon which either party could terminate the Asset Purchase Agreement by 30 days to December 8, 2011, and paid the required extension payment of $1.0 million to the Company's HLC, Inc. subsidiary. Discover Bank is permitted up to three additional 30-day extensions in certain circumstances. Discover Bank must pay a $1.0 million extension fee to HLC, Inc. to exercise each of the second and third extensions and a $2.0 million extension to exercise the fourth extension. All extension payments, including the one received in November, will be credited against the purchase price due at closing. For a more complete discussion of the closing conditions, end date extension rights and associated fees, termination fees and other provisions of the Asset Purchase Agreement, please see the Company's definitive proxy statement filed with the Securities and Exchange Commission on August 2, 2011.</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Separate from the asset purchase agreement, Tree.com has also agreed to provide certain marketing related services to Discover Bank in connection with its mortgage origination business for a two-year term commencing on the date of entry into the asset purchase agreement. Discover Bank has also agreed to be a participating lender in the LendingTree Network following the closing of the acquisition.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 March 15, 2011, Tree.com, through its wholly-owned subsidiary, HLC, completed its acquisition of certain assets of First Residential Mortgage Network, Inc. dba SurePoint Lending ("SurePoint") and certain shareholders of SurePoint. The Asset Purchase Agreement (the "Agreement") was previously announced on November 16, 2010. SurePoint, a LendingTree network lender for eleven years, was a full service residential mortgage provider licensed in 45 states and employing over 500 people, including more than 300 licensed loan officers. The Agreement provides for the purchase by HLC of certain specified assets and liabilities of SurePoint related to its business of originating, refinancing, processing, underwriting, funding and closing residential mortgage loans; providing title and escrow services; and providing other mortgage related services, as further described in the Agreement. The acquired assets also include all of the equity interests of Real Estate Title Services, LLC. Under the terms of the Agreement, HLC paid $8.0 million in cash upon the closing of the transaction, subject to certain adjustments as described in the Agreement. The Company used available cash to fund the acquisition.</w:t>
      </w:r>
    </w:p>
    <w:p>
      <w:pPr>
        <w:spacing w:after="0" w:line="172"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This asset purchase is being accounted for under the acquisition method of accounting. Accordingly, the purchase price is allocated to the acquired assets and liabilities based on their estimated fair values at the acquisition date. The purchase price has been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2011 and 2010 and for the three and nine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2011 are not necessarily indicative of the results to be expected for the year ending December 31, 2011, or any other period. These financial statements and notes should be read in conjunction with the audited financial statements and notes thereto included in the Company's annual report on Form 10-K for the year ended December 31,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Certain prior period amounts have been reclassified to conform with the current presentation with no effect on net income (loss) or accumulated deficit. Specifically, certain costs within continuing operations totaling $0.1 million for both the three and nine months ended September 30, 2010 were reclassified from general and administrative expense to litigation settlements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8,155</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is effective for fiscal years beginning after December 15, 2010, and for interim periods within those fiscal years. See Note 6 for further information.</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September 15, 2011, the FASB issued the updated accounting standard on testing goodwill for impairment. The update simplifies how an entity tests goodwill for impairment. The amendments allow both public and nonpublic entities an option to first assess qualitative factors to determine whether it is necessary to perform the two-step quantitative goodwill impairment test. Under that option, an entity no longer would be required to calculate the fair value of a reporting unit unless the entity determines, based on that qualitative assessment, that it is more likely than not that its fair value is less than its carrying amount. The amendments will be effective for annual and interim goodwill impairment tests performed for fiscal years beginning after December 15, 2011. Early adoption is permitted. The Company does not plan to early adopt and believes this will not have a material impact on the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the LendingTree trademarks.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2011,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50,436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25,194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(24,998)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83,829</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2010,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2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50,436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26,091</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84,818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55"/>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September 30, 2011 balances, such amortization for the next five years is estimated to be as follows (in thousands):</w:t>
      </w:r>
    </w:p>
    <w:p>
      <w:pPr>
        <w:spacing w:after="0" w:line="236"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0</wp:posOffset>
            </wp:positionV>
            <wp:extent cx="394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Three months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-108585</wp:posOffset>
            </wp:positionV>
            <wp:extent cx="4347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2012</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Year ending December 31, 2014</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hanging="359"/>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107</w:t>
      </w:r>
    </w:p>
    <w:p>
      <w:pPr>
        <w:spacing w:after="0" w:line="4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363</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143</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1,153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3060"/>
          </w:cols>
          <w:pgMar w:left="240" w:top="131"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Projects in progress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2,780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(20,992)</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(17,824)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3,054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8,511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2,234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2,240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7,743</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7,100</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23,881</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An additional $1.0 million and $1.2 million of accrued restructuring liabilities are classified in other long term liabilities at September 30, 2011 and December 31,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March 10, 2011, management of the Company made the decision and finalized a plan to close all of the field offices of the proprietary full service real estate brokerage business known as RealEstate.com, REALTORS®. The Company exited all markets by March 31, 2011. In September 2011, the Company sold the remaining assets of RealEstate.com, which consisted primarily of internet domain names and trademarks. Accordingly, these Real Estate businesses are presented as discontinued operations in the accompanying consolidated balance sheet and consolidated statements of operations and cash flows for all periods presented.</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which provides for the sale of substantially all of the operating assets of our LendingTree Loans business to Discover Bank. The Company has evaluated the facts and circumstances of the pending transaction and the applicable accounting guidance for discontinued operations, and has concluded that the LendingTree Loans business should be reflected as discontinued operations in the accompanying consolidated balance sheet and consolidated statements of operations and cash flows for all periods presented.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revenue and net income (loss) for the Real Estate businesses that are reported as discontinued operations for the applicable periods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(1,182)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Gain from sale of discontinued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3,633</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11,825</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0"/>
              </w:rPr>
              <w:t>(16,936)</w:t>
            </w:r>
          </w:p>
        </w:tc>
        <w:tc>
          <w:tcPr>
            <w:tcW w:w="16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(4,454)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Gain from sale of discontinued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7,752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(9,184)</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Net loss for the nine months ended September 30, 2011 includes goodwill disposal charges totaling $8.0 million, trademark impairment charges of $4.1 million and restructuring charges totaling $2.5 million.</w:t>
      </w:r>
    </w:p>
    <w:p>
      <w:pPr>
        <w:spacing w:after="0" w:line="18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applicable periods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34,760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Income before income taxes</w:t>
            </w:r>
          </w:p>
        </w:tc>
        <w:tc>
          <w:tcPr>
            <w:tcW w:w="2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continu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9,168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10,539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6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10,539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vMerge w:val="restart"/>
          </w:tcPr>
          <w:p>
            <w:pPr>
              <w:jc w:val="right"/>
              <w:ind w:right="151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81,726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87,147</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(7,679)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22,364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(7,679)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 for the nine months ended September 30, 2011 includes restructuring charges totaling $4.0 million.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assets and liabilities of Real Estate that are reported as discontinued operations as of September 30, 2011 and December 31, 2010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ind w:left="2300"/>
              <w:spacing w:after="0"/>
              <w:rPr>
                <w:sz w:val="20"/>
                <w:szCs w:val="20"/>
                <w:color w:val="auto"/>
              </w:rPr>
            </w:pPr>
            <w:r>
              <w:rPr>
                <w:rFonts w:ascii="Arial" w:cs="Arial" w:eastAsia="Arial" w:hAnsi="Arial"/>
                <w:sz w:val="18"/>
                <w:szCs w:val="18"/>
                <w:color w:val="auto"/>
              </w:rPr>
              <w:t>Property and equipment</w:t>
            </w: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4,285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ind w:left="2300"/>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assets (liabilities)</w:t>
            </w:r>
          </w:p>
        </w:tc>
        <w:tc>
          <w:tcPr>
            <w:tcW w:w="2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40" w:type="dxa"/>
            <w:vAlign w:val="bottom"/>
            <w:vMerge w:val="restart"/>
          </w:tcPr>
          <w:p>
            <w:pPr>
              <w:jc w:val="right"/>
              <w:ind w:right="97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September 30, 2011 and December 31, 2010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18,518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130,396</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Net assets (liabilities)</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31"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Bank, LendingTree Loans will cease to originate consumer loans and will no longer have additional borrowings available under the warehouse lines of credit. The remaining operations will be wound down over the quarter following the closing of the transaction. These wind-down activities include selling the balance of loans held for sale to investors, which historically has occurred within thirty days of funding, and paying off and then terminating the lines of credit. Additionally, the liability for losses on previously sold loans will remain with LendingTree Loans. Below is a discussion of these significant items.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September 30, 2011 and December 31, 2010 ($ amounts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4"/>
                <w:szCs w:val="14"/>
                <w:color w:val="auto"/>
              </w:rPr>
            </w:pPr>
          </w:p>
        </w:tc>
        <w:tc>
          <w:tcPr>
            <w:tcW w:w="96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153,561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FHA and Alt-A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20,778</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Subprime</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185,295</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September 30, 2011 and December 31, 2010 (in thousands):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2011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9"/>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3,670</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5"/>
              </w:rPr>
              <w:t>Lower of cost or market valuation allowance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Included within the loans on nonaccrual status are repurchased loans with a net book value of $-0- and $0.2 million at September 30, 2011 and December 31, 2010, respectively. During the nine months ended September 30, 2011, LendingTree Loans did not repurchase any loans, but sold fifteen loans on nonaccrual status for $1.2 million, which approximated the net book value. During the nine months ended September 30, 2010, LendingTree Loans repurchased one loan with a balance of $0.3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discontinued operations.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The value of the underlying loan and the anticipated loan funding probability are the most significant assumptions affecting the valuation of IRLCs. There were no significant changes to the methods and assumptions for valuing IRLCs in the period ended September 30, 2011. At September 30, 2011 and December 31, 2010, there were $454.0 million and $216.6 million, respectively, of IRLCs notional value outstanding.</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current status of the loan. There were no significant changes to the method and assumptions used to estimate the fair value of impaired loans in the period ended September 30, 2011. LendingTree Loans recognizes interest income separately from other changes in fair value.</w:t>
      </w:r>
    </w:p>
    <w:p>
      <w:pPr>
        <w:spacing w:after="0" w:line="13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There were no significant changes to the methods and assumptions for valuing hedging instruments in the period ended September 30, 2011.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current base loan price and the anticipated loan funding probability are the most significant assumptions affecting the value of the best efforts commitments.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8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September 30, 2011 and December 31, 2010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0"/>
              </w:rPr>
              <w:t>As of September 30,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182,089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w w:val="92"/>
              </w:rPr>
              <w:t>As of December 31, 2010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nine months ended September 30, 2011 and 2010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September 30,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31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88"/>
              </w:rPr>
              <w:t>Total net gains (losses) included in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2011</w:t>
            </w:r>
          </w:p>
        </w:tc>
        <w:tc>
          <w:tcPr>
            <w:tcW w:w="8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restart"/>
          </w:tcPr>
          <w:p>
            <w:pPr>
              <w:jc w:val="right"/>
              <w:ind w:right="4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00" w:type="dxa"/>
            <w:vAlign w:val="bottom"/>
          </w:tcPr>
          <w:p>
            <w:pPr>
              <w:spacing w:after="0"/>
              <w:rPr>
                <w:sz w:val="11"/>
                <w:szCs w:val="11"/>
                <w:color w:val="auto"/>
              </w:rPr>
            </w:pPr>
          </w:p>
        </w:tc>
        <w:tc>
          <w:tcPr>
            <w:tcW w:w="60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gridSpan w:val="2"/>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81,847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60"/>
              <w:spacing w:after="0"/>
              <w:rPr>
                <w:sz w:val="20"/>
                <w:szCs w:val="20"/>
                <w:color w:val="auto"/>
              </w:rPr>
            </w:pPr>
            <w:r>
              <w:rPr>
                <w:rFonts w:ascii="Arial" w:cs="Arial" w:eastAsia="Arial" w:hAnsi="Arial"/>
                <w:sz w:val="18"/>
                <w:szCs w:val="18"/>
                <w:color w:val="auto"/>
              </w:rPr>
              <w:t>Purchases(a)</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(8,252)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(67,804)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2011</w:t>
            </w: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Purchased in conjunction with the acquisition of certain assets of SurePoint.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31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88"/>
              </w:rPr>
              <w:t>Total net gains (losses) included in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September 30, 2010</w:t>
            </w:r>
          </w:p>
        </w:tc>
        <w:tc>
          <w:tcPr>
            <w:tcW w:w="8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restart"/>
          </w:tcPr>
          <w:p>
            <w:pPr>
              <w:jc w:val="right"/>
              <w:ind w:right="4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00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Balance at September 30, 2010</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following presents the gains (losses) included in earnings for the three and nine months ended September 30, 2011 and 2010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Ended September 30, 2011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Ended September 30, 2011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64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0"/>
              </w:rPr>
              <w:t>Forward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4"/>
              </w:rPr>
              <w:t>Forward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6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Delivery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Delivery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Commitments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86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net gains (losses) included in earnings,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which are included in discontinued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ind w:left="1140"/>
              <w:spacing w:after="0"/>
              <w:rPr>
                <w:sz w:val="20"/>
                <w:szCs w:val="20"/>
                <w:color w:val="auto"/>
              </w:rPr>
            </w:pPr>
            <w:r>
              <w:rPr>
                <w:rFonts w:ascii="Arial" w:cs="Arial" w:eastAsia="Arial" w:hAnsi="Arial"/>
                <w:sz w:val="18"/>
                <w:szCs w:val="18"/>
                <w:color w:val="auto"/>
                <w:w w:val="94"/>
              </w:rPr>
              <w:t>Change in unrealized gains (losses) relating to</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assets and liabilities still held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w w:val="96"/>
              </w:rPr>
              <w:t>September 30, 2011, which are included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12,747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Ended September 30, 2010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which are included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w w:val="99"/>
              </w:rPr>
              <w:t>September 30, 2010, which are included 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September 30, 2011 and December 31, 2010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Current assets of discontinued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Current assets of discontinued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12,784</w:t>
            </w: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Current assets of discontinued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Current assets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(3,189)</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r>
      <w:tr>
        <w:trPr>
          <w:trHeight w:val="29"/>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periods ended September 30, 2011 and 2010 was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Location of Gain/(Loss)</w:t>
            </w:r>
          </w:p>
        </w:tc>
        <w:tc>
          <w:tcPr>
            <w:tcW w:w="240" w:type="dxa"/>
            <w:vAlign w:val="bottom"/>
          </w:tcPr>
          <w:p>
            <w:pPr>
              <w:spacing w:after="0"/>
              <w:rPr>
                <w:sz w:val="14"/>
                <w:szCs w:val="14"/>
                <w:color w:val="auto"/>
              </w:rPr>
            </w:pPr>
          </w:p>
        </w:tc>
        <w:tc>
          <w:tcPr>
            <w:tcW w:w="1920" w:type="dxa"/>
            <w:vAlign w:val="bottom"/>
            <w:gridSpan w:val="5"/>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2"/>
                <w:szCs w:val="12"/>
                <w:color w:val="auto"/>
              </w:rPr>
            </w:pP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Income on Derivative</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Rate Lock Commitments</w:t>
            </w:r>
          </w:p>
        </w:tc>
        <w:tc>
          <w:tcPr>
            <w:tcW w:w="2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Discontinued operations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Discontinued operations</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(3,262)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(3,818)</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September 30, 2011 and December 31, 2010, -0- and 23 such loans, respectively, all of which were impaired, were included in loans held for sale and were carried at the lower of cost or market ("LOCOM") value assessed on an individual loan basis. The market value (or fair value) of these impaired loans at September 30, 2011 and December 31, 2010, measured on a non-recurring basis using significant unobservable inputs (Level 3), was $-0- and $0.8 million, respectively. This fair value measurement is management's best estimate of the market value of such loans and considers the lien position and loan status. During the nine months ended September 30, 2011, fifteen impaired loans were sold for $1.2 million, which approximated the net book value.</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September 30, 2011 and December 31, 2010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2011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8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49"/>
        </w:trPr>
        <w:tc>
          <w:tcPr>
            <w:tcW w:w="37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Held For</w:t>
            </w:r>
          </w:p>
        </w:tc>
      </w:t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177,471</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Difference between fair value and aggregate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7,824</w:t>
            </w:r>
          </w:p>
        </w:tc>
      </w:tr>
      <w:tr>
        <w:trPr>
          <w:trHeight w:val="29"/>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185,295</w:t>
            </w:r>
          </w:p>
        </w:tc>
      </w:tr>
      <w:tr>
        <w:trPr>
          <w:trHeight w:val="27"/>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49"/>
        </w:trPr>
        <w:tc>
          <w:tcPr>
            <w:tcW w:w="37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Held For</w:t>
            </w:r>
          </w:p>
        </w:tc>
      </w:t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115,406</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Difference between fair value and aggregate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r>
      <w:tr>
        <w:trPr>
          <w:trHeight w:val="27"/>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During the nine months ended September 30, 2011 and 2010, the change in fair value of loans held for sale for which the fair value option was elected was a gain of $3.7 million and $5.5 million, respectively, and is included in discontinued operations in the accompanying consolidated statements of operations.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determined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September 30,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541"/>
              <w:spacing w:after="0"/>
              <w:rPr>
                <w:sz w:val="20"/>
                <w:szCs w:val="20"/>
                <w:color w:val="auto"/>
              </w:rPr>
            </w:pPr>
            <w:r>
              <w:rPr>
                <w:rFonts w:ascii="Arial" w:cs="Arial" w:eastAsia="Arial" w:hAnsi="Arial"/>
                <w:sz w:val="14"/>
                <w:szCs w:val="14"/>
                <w:b w:val="1"/>
                <w:bCs w:val="1"/>
                <w:color w:val="auto"/>
              </w:rPr>
              <w:t>As of September 30, 2011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2010</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2008</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2006</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gridSpan w:val="3"/>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pipeline of 219 loan repurchase requests and indemnifications as of September 30, 2011 was considered in determining the appropriate reserve amount. The status of these 219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$44.3 million, comprised of approximately 80% full documentation first liens, 2% full documentation second liens, 15% limited documentation first liens, and 3% limited documentation second liens.</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must also pay an additional amount of up to $0.3 million in conjunction with this settlement since it did not sell a certain volume of loans to this buyer in 2010. This amount is included in the total settlement amount and the estimated settlement payments remaining to be paid. This settlement amount was included as a charge off to the reserve in 2010 and is not included in the table above.</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September 30, 2011, LendingTree Loans estimated the range of remaining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possible losses due to representations and warranty issues based on the methodology described above, excluding the $0.3 million settlement remaining to be paid in 2011, as $25 million to $33 million. The Company believes that it has adequately reserved for these losses.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nine months ended September 30, 2011 and 2010, is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(10,172)</w:t>
            </w: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27,020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100" w:hanging="550"/>
        <w:spacing w:after="0" w:line="305" w:lineRule="auto"/>
        <w:tabs>
          <w:tab w:leader="none" w:pos="2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nine months ended September 30, 2010 includes a charge off for the amount of the $4.5 million loan loss settlement plus a portion of the $0.3 million additional accrual discussed above. The remaining settlement payment due of</w:t>
      </w:r>
    </w:p>
    <w:p>
      <w:pPr>
        <w:ind w:left="2840"/>
        <w:spacing w:after="0"/>
        <w:rPr>
          <w:rFonts w:ascii="Arial" w:cs="Arial" w:eastAsia="Arial" w:hAnsi="Arial"/>
          <w:sz w:val="15"/>
          <w:szCs w:val="15"/>
          <w:color w:val="auto"/>
        </w:rPr>
      </w:pPr>
      <w:r>
        <w:rPr>
          <w:rFonts w:ascii="Arial" w:cs="Arial" w:eastAsia="Arial" w:hAnsi="Arial"/>
          <w:sz w:val="18"/>
          <w:szCs w:val="18"/>
          <w:color w:val="auto"/>
        </w:rPr>
        <w:t>$0.3 million is tracked as a liability separate from the loan loss reserve (see table below).</w:t>
      </w:r>
    </w:p>
    <w:p>
      <w:pPr>
        <w:spacing w:after="0" w:line="21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loan losses expected to be made by investors will be made more than twelve months following the initial sale of the underlying loans.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September 30, 2011 and December 31, 2010 as follows (in thousands):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related to settlement above, included in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Other current portion, included in current liabilities of</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non-current liabilities of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Borrowings on warehouse lines of credit were $141.9 million and $100.6 million at September 30, 2011 and December 31, 2010, respectively.</w:t>
      </w:r>
    </w:p>
    <w:p>
      <w:pPr>
        <w:spacing w:after="0" w:line="24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30, 2011, LendingTree Loans had two committed lines of credit totaling $150.0 million of borrowing capacity. LendingTree Loans also had a $25.0 million uncommitted line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one of these lenders, which was terminated on October 31, 2011. In addition, LendingTree Loans obtained a third warehouse line for $100.0 million on October 13, 2011 and increased the second line to $125.0 million on October 28, 2011, bringing the total borrowing capacity to $275.0 million. Borrowings under these lines of credit are used to fund, and are secured by, consumer residential loans that are held for sale. Loans under these lines of credit are repaid using proceeds from the sales of loans by LendingTree Loans.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on the earliest of (i) the closing date of the proposed asset sale transaction with Discover Bank or</w:t>
      </w:r>
    </w:p>
    <w:p>
      <w:pPr>
        <w:spacing w:after="0" w:line="38" w:lineRule="exact"/>
        <w:rPr>
          <w:sz w:val="20"/>
          <w:szCs w:val="20"/>
          <w:color w:val="auto"/>
        </w:rPr>
      </w:pPr>
    </w:p>
    <w:p>
      <w:pPr>
        <w:ind w:right="20" w:firstLine="8"/>
        <w:spacing w:after="0" w:line="295" w:lineRule="auto"/>
        <w:tabs>
          <w:tab w:leader="none" w:pos="258" w:val="left"/>
        </w:tabs>
        <w:numPr>
          <w:ilvl w:val="0"/>
          <w:numId w:val="7"/>
        </w:numPr>
        <w:rPr>
          <w:rFonts w:ascii="Arial" w:cs="Arial" w:eastAsia="Arial" w:hAnsi="Arial"/>
          <w:sz w:val="16"/>
          <w:szCs w:val="16"/>
          <w:color w:val="auto"/>
        </w:rPr>
      </w:pPr>
      <w:r>
        <w:rPr>
          <w:rFonts w:ascii="Arial" w:cs="Arial" w:eastAsia="Arial" w:hAnsi="Arial"/>
          <w:sz w:val="16"/>
          <w:szCs w:val="16"/>
          <w:color w:val="auto"/>
        </w:rPr>
        <w:t>January 30, 2012. On November 1, 2011, the terms of this line were amended so that it can be cancelled at the option of the lender at any time upon notice. This first line included an additional uncommitted credit facility of $25.0 million, which was terminated on October 31, 2011. This first line is guaranteed by Tree.com, Inc., LendingTree, LLC and LendingTree Holdings Corp. The interest rate under the first line is the 30-day London InterBank Offered Rate ("LIBOR") or 2.00% (whichever is greater) plus 2.25%. The interest rate under the $25.0 million uncommitted line was the 30-day LIBOR plus 1.50%.</w:t>
      </w:r>
    </w:p>
    <w:p>
      <w:pPr>
        <w:spacing w:after="0" w:line="169"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$100.0 million second line was scheduled to expire on October 28, 2011, but subsequent to September 30, 2011 the line was increased to $125.0 million and the expiration date extended to the earliest of (i) forty-five days after the closing date of the proposed asset sale transaction with Discover Bank or</w:t>
      </w:r>
    </w:p>
    <w:p>
      <w:pPr>
        <w:ind w:right="20" w:firstLine="8"/>
        <w:spacing w:after="0" w:line="253"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April 25, 2012. This line is also guaranteed by Tree.com, Inc., LendingTree, LLC and LendingTree Holdings Corp. Before the extension, the interest rate under this line was the 30-day Adjusted LIBOR or 2.0% (whichever was greater) plus 2.25% to 2.5% for loans being sold to the lender and 30-day Adjusted LIBOR or 2.0% (whichever was greater) plus 2.25% for loans not being sold to the lender. Upon extension of this line, the interest rate was changed to the 30-day Adjusted LIBOR or 2.0% (whichever is greater) plus 1.5% to 1.75% for loans being sold to the lender and 30-day Adjusted LIBOR or 2.0% (whichever is greater) plus 1.5% for loans not being sold to the lender.</w:t>
      </w:r>
    </w:p>
    <w:p>
      <w:pPr>
        <w:spacing w:after="0" w:line="19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$100.0 million third line is scheduled to expire on December 13, 2011. This line is guaranteed by Tree.com, Inc. and LendingTree, LLC. The interest rate under this line is 30-day LIBOR plus 3.25% (LIBOR may be adjusted upward for any increase in the reserve requirement of the lender as further described in the Master Repurchase Agreement).</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$20.0 million, which was increased to $25.0 million upon renewal of the first line in November 2011 and the second line in October 2011, (ii) minimum liquidity, (iii) a minimum current ratio, (iv) a maximum ratio of total liabilities to net worth,</w:t>
      </w:r>
    </w:p>
    <w:p>
      <w:pPr>
        <w:spacing w:after="0" w:line="1" w:lineRule="exact"/>
        <w:rPr>
          <w:sz w:val="20"/>
          <w:szCs w:val="20"/>
          <w:color w:val="auto"/>
        </w:rPr>
      </w:pPr>
    </w:p>
    <w:p>
      <w:pPr>
        <w:ind w:right="740" w:firstLine="8"/>
        <w:spacing w:after="0" w:line="261"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unrestricted cash amount, (vi) pre-tax net income requirements and (vii) a maximum warehouse capacity ratio. During the quarter ended September 30, 2011, LendingTree Loans was in compliance with the covenants under these lines.</w:t>
      </w:r>
    </w:p>
    <w:p>
      <w:pPr>
        <w:spacing w:after="0" w:line="192"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extend, renew or replace these lines before completion of the pending sale of the operating assets of LendingTree Loans, would have a material adverse effect on our business, financial condition and results of operations. Management has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it could continue to operate the LendingTree Loans business at a reduced capacity as long as one of the warehouse lines remains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7"/>
          </w:tcPr>
          <w:p>
            <w:pPr>
              <w:jc w:val="right"/>
              <w:spacing w:after="0"/>
              <w:rPr>
                <w:sz w:val="20"/>
                <w:szCs w:val="20"/>
                <w:color w:val="auto"/>
              </w:rPr>
            </w:pPr>
            <w:r>
              <w:rPr>
                <w:rFonts w:ascii="Arial" w:cs="Arial" w:eastAsia="Arial" w:hAnsi="Arial"/>
                <w:sz w:val="14"/>
                <w:szCs w:val="14"/>
                <w:b w:val="1"/>
                <w:bCs w:val="1"/>
                <w:color w:val="auto"/>
                <w:w w:val="88"/>
              </w:rPr>
              <w:t>Three Months Ended September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Basic</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2"/>
              </w:rPr>
              <w:t>Diluted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Basic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(In</w:t>
            </w:r>
          </w:p>
        </w:tc>
        <w:tc>
          <w:tcPr>
            <w:tcW w:w="160" w:type="dxa"/>
            <w:vAlign w:val="bottom"/>
            <w:gridSpan w:val="2"/>
          </w:tcPr>
          <w:p>
            <w:pPr>
              <w:spacing w:after="0"/>
              <w:rPr>
                <w:sz w:val="12"/>
                <w:szCs w:val="12"/>
                <w:color w:val="auto"/>
              </w:rPr>
            </w:pPr>
          </w:p>
        </w:tc>
        <w:tc>
          <w:tcPr>
            <w:tcW w:w="3720" w:type="dxa"/>
            <w:vAlign w:val="bottom"/>
            <w:gridSpan w:val="16"/>
          </w:tcPr>
          <w:p>
            <w:pPr>
              <w:jc w:val="center"/>
              <w:ind w:right="1880"/>
              <w:spacing w:after="0" w:line="142" w:lineRule="exact"/>
              <w:rPr>
                <w:sz w:val="20"/>
                <w:szCs w:val="20"/>
                <w:color w:val="auto"/>
              </w:rPr>
            </w:pPr>
            <w:r>
              <w:rPr>
                <w:rFonts w:ascii="Arial" w:cs="Arial" w:eastAsia="Arial" w:hAnsi="Arial"/>
                <w:sz w:val="14"/>
                <w:szCs w:val="14"/>
                <w:b w:val="1"/>
                <w:bCs w:val="1"/>
                <w:color w:val="auto"/>
                <w:w w:val="80"/>
              </w:rPr>
              <w:t>thousands, except per share data)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(3,685)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3"/>
              <w:spacing w:after="0"/>
              <w:rPr>
                <w:sz w:val="20"/>
                <w:szCs w:val="20"/>
                <w:color w:val="auto"/>
              </w:rPr>
            </w:pPr>
            <w:r>
              <w:rPr>
                <w:rFonts w:ascii="Arial" w:cs="Arial" w:eastAsia="Arial" w:hAnsi="Arial"/>
                <w:sz w:val="18"/>
                <w:szCs w:val="18"/>
                <w:color w:val="auto"/>
              </w:rPr>
              <w:t>(3,685)</w:t>
            </w: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(7,538)</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available to common shareholders</w:t>
            </w: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11,037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11,163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(0.33)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3"/>
              <w:spacing w:after="0"/>
              <w:rPr>
                <w:sz w:val="20"/>
                <w:szCs w:val="20"/>
                <w:color w:val="auto"/>
              </w:rPr>
            </w:pPr>
            <w:r>
              <w:rPr>
                <w:rFonts w:ascii="Arial" w:cs="Arial" w:eastAsia="Arial" w:hAnsi="Arial"/>
                <w:sz w:val="18"/>
                <w:szCs w:val="18"/>
                <w:color w:val="auto"/>
              </w:rPr>
              <w:t>(0.33)</w:t>
            </w: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(0.68)</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per common share</w:t>
            </w: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Diluted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0"/>
              </w:rPr>
              <w:t>Basic</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4"/>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19"/>
          </w:tcPr>
          <w:p>
            <w:pPr>
              <w:jc w:val="right"/>
              <w:ind w:right="43"/>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(27,853)</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(27,853)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(23,036)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(23,036)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(16,863)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available to common shareholders</w:t>
            </w:r>
          </w:p>
        </w:tc>
        <w:tc>
          <w:tcPr>
            <w:tcW w:w="1420" w:type="dxa"/>
            <w:vAlign w:val="bottom"/>
            <w:gridSpan w:val="2"/>
          </w:tcPr>
          <w:p>
            <w:pPr>
              <w:spacing w:after="0"/>
              <w:rPr>
                <w:sz w:val="2"/>
                <w:szCs w:val="2"/>
                <w:color w:val="auto"/>
              </w:rPr>
            </w:pPr>
          </w:p>
        </w:tc>
        <w:tc>
          <w:tcPr>
            <w:tcW w:w="680" w:type="dxa"/>
            <w:vAlign w:val="bottom"/>
            <w:gridSpan w:val="4"/>
          </w:tcPr>
          <w:p>
            <w:pPr>
              <w:spacing w:after="0"/>
              <w:rPr>
                <w:sz w:val="2"/>
                <w:szCs w:val="2"/>
                <w:color w:val="auto"/>
              </w:rPr>
            </w:pPr>
          </w:p>
        </w:tc>
        <w:tc>
          <w:tcPr>
            <w:tcW w:w="220" w:type="dxa"/>
            <w:vAlign w:val="bottom"/>
            <w:gridSpan w:val="3"/>
          </w:tcPr>
          <w:p>
            <w:pPr>
              <w:spacing w:after="0"/>
              <w:rPr>
                <w:sz w:val="2"/>
                <w:szCs w:val="2"/>
                <w:color w:val="auto"/>
              </w:rPr>
            </w:pPr>
          </w:p>
        </w:tc>
        <w:tc>
          <w:tcPr>
            <w:tcW w:w="780" w:type="dxa"/>
            <w:vAlign w:val="bottom"/>
            <w:gridSpan w:val="4"/>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(44,716)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(44,716)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10,978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10,978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10,993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10,993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(2.54)</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180" w:type="dxa"/>
            <w:vAlign w:val="bottom"/>
            <w:gridSpan w:val="3"/>
          </w:tcPr>
          <w:p>
            <w:pPr>
              <w:jc w:val="right"/>
              <w:ind w:right="3"/>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common share</w:t>
            </w: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vMerge w:val="restart"/>
          </w:tcPr>
          <w:p>
            <w:pPr>
              <w:jc w:val="right"/>
              <w:ind w:right="672"/>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nine months ended September 30, 2011 and 2010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left="201"/>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2,179</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r>
      <w:tr>
        <w:trPr>
          <w:trHeight w:val="21"/>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2,423</w:t>
            </w:r>
          </w:p>
        </w:tc>
      </w:tr>
      <w:tr>
        <w:trPr>
          <w:trHeight w:val="27"/>
        </w:trPr>
        <w:tc>
          <w:tcPr>
            <w:tcW w:w="3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statements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nine months ended September 30, 2011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153,868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spacing w:after="0"/>
              <w:rPr>
                <w:sz w:val="20"/>
                <w:szCs w:val="20"/>
                <w:color w:val="auto"/>
              </w:rPr>
            </w:pPr>
            <w:r>
              <w:rPr>
                <w:rFonts w:ascii="Arial" w:cs="Arial" w:eastAsia="Arial" w:hAnsi="Arial"/>
                <w:sz w:val="18"/>
                <w:szCs w:val="18"/>
                <w:color w:val="auto"/>
                <w:w w:val="96"/>
              </w:rPr>
              <w:t>Outstanding at September 30, 2011</w:t>
            </w: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78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1,066,057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11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Options exercisable at September 30,</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September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6"/>
          </w:tcPr>
          <w:p>
            <w:pPr>
              <w:ind w:left="6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Outstanding at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340" w:type="dxa"/>
            <w:vAlign w:val="bottom"/>
          </w:tcPr>
          <w:p>
            <w:pPr>
              <w:jc w:val="right"/>
              <w:ind w:right="207"/>
              <w:spacing w:after="0" w:line="149" w:lineRule="exact"/>
              <w:rPr>
                <w:sz w:val="20"/>
                <w:szCs w:val="20"/>
                <w:color w:val="auto"/>
              </w:rPr>
            </w:pPr>
            <w:r>
              <w:rPr>
                <w:rFonts w:ascii="Arial" w:cs="Arial" w:eastAsia="Arial" w:hAnsi="Arial"/>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040" w:type="dxa"/>
            <w:vAlign w:val="bottom"/>
            <w:gridSpan w:val="3"/>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tcPr>
          <w:p>
            <w:pPr>
              <w:jc w:val="right"/>
              <w:ind w:right="38"/>
              <w:spacing w:after="0"/>
              <w:rPr>
                <w:sz w:val="20"/>
                <w:szCs w:val="20"/>
                <w:color w:val="auto"/>
              </w:rPr>
            </w:pPr>
            <w:r>
              <w:rPr>
                <w:rFonts w:ascii="Arial" w:cs="Arial" w:eastAsia="Arial" w:hAnsi="Arial"/>
                <w:sz w:val="14"/>
                <w:szCs w:val="14"/>
                <w:b w:val="1"/>
                <w:bCs w:val="1"/>
                <w:color w:val="auto"/>
                <w:w w:val="90"/>
              </w:rPr>
              <w:t>September 30, 2011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b w:val="1"/>
                <w:bCs w:val="1"/>
                <w:color w:val="auto"/>
                <w:w w:val="91"/>
              </w:rPr>
              <w:t>September 30, 2011</w:t>
            </w:r>
          </w:p>
        </w:tc>
        <w:tc>
          <w:tcPr>
            <w:tcW w:w="1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320" w:type="dxa"/>
            <w:vAlign w:val="bottom"/>
          </w:tcPr>
          <w:p>
            <w:pPr>
              <w:jc w:val="right"/>
              <w:spacing w:after="0"/>
              <w:rPr>
                <w:sz w:val="20"/>
                <w:szCs w:val="20"/>
                <w:color w:val="auto"/>
              </w:rPr>
            </w:pPr>
            <w:r>
              <w:rPr>
                <w:rFonts w:ascii="Arial" w:cs="Arial" w:eastAsia="Arial" w:hAnsi="Arial"/>
                <w:sz w:val="18"/>
                <w:szCs w:val="18"/>
                <w:color w:val="auto"/>
              </w:rPr>
              <w:t>161,983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8,115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320" w:type="dxa"/>
            <w:vAlign w:val="bottom"/>
          </w:tcPr>
          <w:p>
            <w:pPr>
              <w:jc w:val="right"/>
              <w:spacing w:after="0"/>
              <w:rPr>
                <w:sz w:val="20"/>
                <w:szCs w:val="20"/>
                <w:color w:val="auto"/>
              </w:rPr>
            </w:pPr>
            <w:r>
              <w:rPr>
                <w:rFonts w:ascii="Arial" w:cs="Arial" w:eastAsia="Arial" w:hAnsi="Arial"/>
                <w:sz w:val="18"/>
                <w:szCs w:val="18"/>
                <w:color w:val="auto"/>
              </w:rPr>
              <w:t>43,103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320" w:type="dxa"/>
            <w:vAlign w:val="bottom"/>
          </w:tcPr>
          <w:p>
            <w:pPr>
              <w:jc w:val="right"/>
              <w:spacing w:after="0"/>
              <w:rPr>
                <w:sz w:val="20"/>
                <w:szCs w:val="20"/>
                <w:color w:val="auto"/>
              </w:rPr>
            </w:pPr>
            <w:r>
              <w:rPr>
                <w:rFonts w:ascii="Arial" w:cs="Arial" w:eastAsia="Arial" w:hAnsi="Arial"/>
                <w:sz w:val="18"/>
                <w:szCs w:val="18"/>
                <w:color w:val="auto"/>
              </w:rPr>
              <w:t>46,663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right"/>
              <w:ind w:right="549"/>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Nonvested RSUs and restricted stock outstanding as of September 30, 2011 and changes during the nine months ended September 30, 2011 were as follows:</w:t>
      </w:r>
    </w:p>
    <w:p>
      <w:pPr>
        <w:spacing w:after="0" w:line="30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9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9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9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371,618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24,642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(255,094)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(173,455)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r>
      <w:tr>
        <w:trPr>
          <w:trHeight w:val="27"/>
        </w:trPr>
        <w:tc>
          <w:tcPr>
            <w:tcW w:w="2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three months ended September 30, 2011 and 2010, Tree.com recorded a tax provision (benefit) of $(0.2) million and $0.04 million, respectively, which represents an effective tax rate of 4.8% and (0.6)%, respectively. The tax rates are lower than the federal statutory rate of 35% primarily due to an increase in the valuation allowance on deferred tax assets.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nine months ended September 30, 2011 and 2010, Tree.com recorded a tax provision of $0.1 million and $0.9 million, respectively, which represents an effective tax rate of (0.4)% and (3.8)%,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Tree.com's unrecognized tax benefits decreased by approximately $0.04 million for the three months ended September 30, 2011. The decrease was due to a partial release of the reserves for uncertain tax positions. Tree.com believes that it is reasonably possible that its remaining unrecognized tax benefits could decrease by approximately $0.06 million within twelve months of the current reporting date due to the expiration of state statute of limitations. An estimate of other changes in unrecognized tax benefits cannot be made, but are not expected to be significant.</w:t>
      </w:r>
    </w:p>
    <w:p>
      <w:pPr>
        <w:spacing w:after="0" w:line="16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the three and nine months ended September 30, 2011, Tree.com determined that its activity yielded an unusual effective tax rate; therefore, Tree.com utilized the actual year to date effective tax rate for purposes of determining year to date tax expense. This approach is consistent with the nine months ended September 30, 2010.</w:t>
      </w:r>
    </w:p>
    <w:p>
      <w:pPr>
        <w:spacing w:after="0" w:line="194"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North Carolina Department of Revenue ("NCDOR") has completed its audit of the Company's North Carolina corporate income and franchise tax returns for the years ended December 31, 2006 through 2008, and issued a notice of assessment to the Company in October 2011. The range of possible loss is estimated to be $-0- to $3.6 million. No reserve has been established for this matter as the Company has determined that the likelihood of a loss is not probable.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During the nine months ended September 30, 2011 and 2010, provisions for litigation settlements and contingencies of $5.2 million and $-0-, respectively, were recorded in litigation settlements and contingencies in the accompanying consolidated statements of operations. The litigation matters were either settled, or a firm offer for settlement was extended by the Company, thereby establishing an accrual amount that is both probable and reasonably estimable. The balance of the related liability was $3.7 million and $0.5 million at September 30, 2011 and December 31, 2010, respectively.</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Twenty-four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proposed Consent Agreement and Order calls for a fine to be allocated among the Division and the Joining Regulators and for LendingTree, LLC to adopt various new procedures and practices. We intend to commence negotiations toward an acceptable Consent Agreement and Order. We do not believe our LendingTree Exchange violates any federal or state mortgage lending laws; nor do we believe that any past operations of the LendingTree Exchange have resulted in a material violation of any such laws. Should the Division or any Joining Regulator bring any actions relating to the matters alleged in the February 2011 Report of Examination/Inspection, we intend to defend such actions vigorously. The range of possible loss is not estimable at this time, and no reserve has been established for this matter as the Company has determined that the likelihood of a loss is not probable.</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for which it believes an unfavorable outcome is not probable and, therefore, no reserve is established. If no reserve is established but the loss contingency is reasonably possible, we disclose the nature of the contingency and the related estimate of possible loss or range of loss if such an estimate can be made.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10—RESTRUCTURING EXPENSE</w:t>
      </w:r>
    </w:p>
    <w:p>
      <w:pPr>
        <w:spacing w:after="0" w:line="231"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Restructuring expense in 2011 primarily relates to severance costs for headcount reductions in the corporate infrastructure departments. Restructuring expense in 2010 primarily relates to continuing lease obligations on facilities previously used for call center operations, for which management had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10—RESTRUCTURING EXPENSE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plan to exit at December 31, 2009, but the cease-use date did not occur until January 2010. Costs that relate to ongoing operations are not part of restructuring expense. Restructuring expense by type are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13"/>
          </w:tcPr>
          <w:p>
            <w:pPr>
              <w:jc w:val="center"/>
              <w:ind w:left="12"/>
              <w:spacing w:after="0"/>
              <w:rPr>
                <w:sz w:val="20"/>
                <w:szCs w:val="20"/>
                <w:color w:val="auto"/>
              </w:rPr>
            </w:pPr>
            <w:r>
              <w:rPr>
                <w:rFonts w:ascii="Arial" w:cs="Arial" w:eastAsia="Arial" w:hAnsi="Arial"/>
                <w:sz w:val="14"/>
                <w:szCs w:val="14"/>
                <w:b w:val="1"/>
                <w:bCs w:val="1"/>
                <w:color w:val="auto"/>
                <w:w w:val="88"/>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jc w:val="center"/>
              <w:ind w:right="192"/>
              <w:spacing w:after="0"/>
              <w:rPr>
                <w:sz w:val="20"/>
                <w:szCs w:val="20"/>
                <w:color w:val="auto"/>
              </w:rPr>
            </w:pPr>
            <w:r>
              <w:rPr>
                <w:rFonts w:ascii="Arial" w:cs="Arial" w:eastAsia="Arial" w:hAnsi="Arial"/>
                <w:sz w:val="14"/>
                <w:szCs w:val="14"/>
                <w:b w:val="1"/>
                <w:bCs w:val="1"/>
                <w:color w:val="auto"/>
                <w:w w:val="85"/>
              </w:rPr>
              <w:t>September 30, 2011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92"/>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83"/>
              </w:rPr>
              <w:t>Asset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498</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15"/>
          </w:tcPr>
          <w:p>
            <w:pPr>
              <w:jc w:val="right"/>
              <w:ind w:right="200"/>
              <w:spacing w:after="0"/>
              <w:rPr>
                <w:sz w:val="20"/>
                <w:szCs w:val="20"/>
                <w:color w:val="auto"/>
              </w:rPr>
            </w:pPr>
            <w:r>
              <w:rPr>
                <w:rFonts w:ascii="Arial" w:cs="Arial" w:eastAsia="Arial" w:hAnsi="Arial"/>
                <w:sz w:val="14"/>
                <w:szCs w:val="14"/>
                <w:b w:val="1"/>
                <w:bCs w:val="1"/>
                <w:color w:val="auto"/>
                <w:w w:val="88"/>
              </w:rPr>
              <w:t>For The 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September 30, 2010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Write-offs</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12"/>
          </w:tcPr>
          <w:p>
            <w:pPr>
              <w:jc w:val="center"/>
              <w:spacing w:after="0"/>
              <w:rPr>
                <w:sz w:val="20"/>
                <w:szCs w:val="20"/>
                <w:color w:val="auto"/>
              </w:rPr>
            </w:pPr>
            <w:r>
              <w:rPr>
                <w:rFonts w:ascii="Arial" w:cs="Arial" w:eastAsia="Arial" w:hAnsi="Arial"/>
                <w:sz w:val="14"/>
                <w:szCs w:val="14"/>
                <w:b w:val="1"/>
                <w:bCs w:val="1"/>
                <w:color w:val="auto"/>
                <w:w w:val="88"/>
              </w:rPr>
              <w:t>For The 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jc w:val="center"/>
              <w:ind w:right="192"/>
              <w:spacing w:after="0"/>
              <w:rPr>
                <w:sz w:val="20"/>
                <w:szCs w:val="20"/>
                <w:color w:val="auto"/>
              </w:rPr>
            </w:pPr>
            <w:r>
              <w:rPr>
                <w:rFonts w:ascii="Arial" w:cs="Arial" w:eastAsia="Arial" w:hAnsi="Arial"/>
                <w:sz w:val="14"/>
                <w:szCs w:val="14"/>
                <w:b w:val="1"/>
                <w:bCs w:val="1"/>
                <w:color w:val="auto"/>
                <w:w w:val="85"/>
              </w:rPr>
              <w:t>September 30, 2011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92"/>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83"/>
              </w:rPr>
              <w:t>Asset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990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gridSpan w:val="13"/>
          </w:tcPr>
          <w:p>
            <w:pPr>
              <w:jc w:val="right"/>
              <w:ind w:right="52"/>
              <w:spacing w:after="0"/>
              <w:rPr>
                <w:sz w:val="20"/>
                <w:szCs w:val="20"/>
                <w:color w:val="auto"/>
              </w:rPr>
            </w:pPr>
            <w:r>
              <w:rPr>
                <w:rFonts w:ascii="Arial" w:cs="Arial" w:eastAsia="Arial" w:hAnsi="Arial"/>
                <w:sz w:val="14"/>
                <w:szCs w:val="14"/>
                <w:b w:val="1"/>
                <w:bCs w:val="1"/>
                <w:color w:val="auto"/>
                <w:w w:val="91"/>
              </w:rPr>
              <w:t>For The 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9"/>
          </w:tcPr>
          <w:p>
            <w:pPr>
              <w:jc w:val="right"/>
              <w:ind w:right="312"/>
              <w:spacing w:after="0"/>
              <w:rPr>
                <w:sz w:val="20"/>
                <w:szCs w:val="20"/>
                <w:color w:val="auto"/>
              </w:rPr>
            </w:pPr>
            <w:r>
              <w:rPr>
                <w:rFonts w:ascii="Arial" w:cs="Arial" w:eastAsia="Arial" w:hAnsi="Arial"/>
                <w:sz w:val="14"/>
                <w:szCs w:val="14"/>
                <w:b w:val="1"/>
                <w:bCs w:val="1"/>
                <w:color w:val="auto"/>
                <w:w w:val="88"/>
              </w:rPr>
              <w:t>September 30, 2010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center"/>
              <w:ind w:right="172"/>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4"/>
              </w:rPr>
              <w:t>Continuing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000" w:type="dxa"/>
            <w:vAlign w:val="bottom"/>
            <w:gridSpan w:val="5"/>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2,718</w:t>
            </w:r>
          </w:p>
        </w:tc>
      </w:tr>
      <w:tr>
        <w:trPr>
          <w:trHeight w:val="27"/>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expense and payments against liabilities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89"/>
              </w:rPr>
              <w:t>For The Nine Months Ended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88"/>
              </w:rPr>
              <w:t>September 30, 2011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0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2,358</w:t>
            </w: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990</w:t>
            </w: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r>
      <w:tr>
        <w:trPr>
          <w:trHeight w:val="222"/>
        </w:trPr>
        <w:tc>
          <w:tcPr>
            <w:tcW w:w="30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w:t>
            </w:r>
          </w:p>
        </w:tc>
      </w:tr>
      <w:tr>
        <w:trPr>
          <w:trHeight w:val="27"/>
        </w:trPr>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September 30, 2011, restructuring liabilities of $0.7 million are included in accrued expenses and other current liabilities and $1.0 million are included in other long-term liabilities in the accompanying consolidated balance sheet. At December 31, 2010, restructuring liabilities of $1.2 million are included in accrued expenses and other current liabilities and $1.2 million are included in other long-term liabilities in the accompanying consolidated balance sheet. Tree.com does not expect to incur significant additional costs related to the restructurings noted above.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quarterly report on Form 10-Q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74"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3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5"/>
          <w:szCs w:val="15"/>
          <w:color w:val="auto"/>
        </w:rPr>
        <w:t>Tree.com is the parent of LendingTree, LLC which owns several brands and businesses that provide information, tools, advice, products and services for critical transactions in our customers' lives. Our family of brands includes: LendingTree.com®, GetSmart.com®,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 HealthTree.com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ind w:right="40"/>
        <w:spacing w:after="0" w:line="206" w:lineRule="auto"/>
        <w:rPr>
          <w:sz w:val="20"/>
          <w:szCs w:val="20"/>
          <w:color w:val="auto"/>
        </w:rPr>
      </w:pPr>
      <w:r>
        <w:rPr>
          <w:rFonts w:ascii="Arial" w:cs="Arial" w:eastAsia="Arial" w:hAnsi="Arial"/>
          <w:sz w:val="18"/>
          <w:szCs w:val="18"/>
          <w:color w:val="auto"/>
        </w:rPr>
        <w:t>LendingTreeAutos.com, DoneRight.com®, and InsuranceTree.com</w:t>
      </w:r>
      <w:r>
        <w:rPr>
          <w:rFonts w:ascii="Arial" w:cs="Arial" w:eastAsia="Arial" w:hAnsi="Arial"/>
          <w:sz w:val="29"/>
          <w:szCs w:val="29"/>
          <w:color w:val="auto"/>
          <w:vertAlign w:val="superscript"/>
        </w:rPr>
        <w:t>SM</w:t>
      </w:r>
      <w:r>
        <w:rPr>
          <w:rFonts w:ascii="Arial" w:cs="Arial" w:eastAsia="Arial" w:hAnsi="Arial"/>
          <w:sz w:val="18"/>
          <w:szCs w:val="18"/>
          <w:color w:val="auto"/>
        </w:rPr>
        <w:t>. Together, these brands serve as an ally for consumers who are looking to comparison shop for loans and other services from multiple businesses and professionals that will compete for their business.</w:t>
      </w:r>
    </w:p>
    <w:p>
      <w:pPr>
        <w:spacing w:after="0" w:line="21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 The Exchanges segment consists of online lead generation networks and call centers that connect consumers and service providers principally in the lending, higher education, home services, insurance and automobile marketplaces.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connection with entering into an agreement in the second quarter of 2011 that provides for the sale of substantially all of the operating assets of our LendingTree Loans segment to Discover Bank that is discussed below and in Notes 1 and 6 to the consolidated financial statements, the Company re-evaluated its reporting segments based on the continuing operations of the Company. We have determined that our continuing operations are now one reportable segment, which represents the previous "Exchanges" segment.</w:t>
      </w:r>
    </w:p>
    <w:p>
      <w:pPr>
        <w:spacing w:after="0" w:line="197"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Additionally, on March 10, 2011, management of the Company made the decision and finalized a plan to close all of the field offices of the proprietary full service real estate brokerage business known as RealEstate.com, REALTORS®. The Company exited all markets by March 31,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Finally, in September 2011, the Company sold the remaining assets of RealEstate.com, which consisted primarily of internet domain names and trademarks, for $8.3 million and recognized a gain on sale of $7.8 million.</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financial statements for all periods presented. The following discussion, unless otherwise noted, excludes information related to the discontinued operations.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time to time, we may evaluate the potential acquisition of various assets and other businesses that may complement our current services, enhance our capabilities, improve or sustain our competitive position, or otherwise offer growth opportunities. From time to time, we may also consider the potential disposition of certain of our assets, subsidiaries or lines of businesses. We typically publicly announce any material acquisitions or dispositions when a definitive agreement has been reached.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Interest rate and market risk can be substantial in the mortgage lead generation business. Fluctuations in interest rates drive consumer demand for new mortgages and the level of refinancing activity, which in turn affects lender demand for mortgage leads. Typically, a decline in mortgage interest rates will lead to reduced lender demand for leads, as there are more consumers in the marketplace and lenders receive more organic lead volume. Conversely, an increase in mortgage interest rates will lead to an increase in lender demand for leads, as there are fewer consumers in the marketplace and the overall supply of mortgage leads decreases.</w:t>
      </w:r>
    </w:p>
    <w:p>
      <w:pPr>
        <w:spacing w:after="0" w:line="197"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Average 30-year fixed mortgage rates hit a low of 4.2% in November 2010, but swiftly increased to 5.0% by year-end. Consequently, the number of mortgage leads dropped off significantly at the end of 2010 and in the first quarter of 2011. Mortgage rates then declined in the second and third quarters of 2011 to below 4.0%, which resulted in an increase in the number of mortgage leads generated in the second and third quarters.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operations, cash flows and financial position of the Company were negatively impacted by the continued deterioration in the housing market in 2010 and early 2011. In particular, revenue has been negatively impacted by falling home prices and increased foreclosures. While nationwide sales of existing homes have risen in recent months, most of the increase is due to a rise in foreclosure sales and distressed transactions. Overall home prices continued to decline during 2011 and most economic forecasts indicate that conditions are unlikely to improve significantly in 2012. Falling home prices also make it more difficult to make accurate home value appraisals and lenders typically require higher down payments and higher credit scores, which could further restrict the pool of prospective homebuyers.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has focused on expense savings and is taking various initiatives to reduce costs. During the first quarter of 2011, the Company commenced a voluntary severance plan for certain corporate employees. In addition, the Company has taken steps to minimize ineffective marketing costs and dynamically align marketing expenses with lender demand for leads.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Discover Asset Sale</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May 12, 2011, the Company entered into an Asset Purchase Agreement (the "APA") with Discover Bank, a wholly-owned subsidiary of Discover Financial Services. The APA provides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 of substantially all of the operating assets of HLC to Discover Bank. Under the terms of the APA, Discover Bank will pay approximately $55.9 million in cash for the assets, subject to certain adjustments as described in the APA. $35.9 million is due upon the closing of the transaction and $10 million is due on each of the first and second anniversaries of the closing, subject to certain conditions as described in the APA. Discover Bank generally will not assume liabilities of the LendingTree Loans business that arose before the closing date. A portion of the initial purchase price payment will be held in escrow for certain liabilities that will remain with the Company. The transaction is subject to various closing conditions, including regulatory approvals for Discover Bank. Subject to certain exceptions stated in the APA, the Company has agreed to operate the LendingTree Loans business in the ordinary course until the closing of the acquisition.</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November 7, 2011, Discover Bank elected to extend the end date upon which either party could terminate the Asset Purchase Agreement by 30 days to December 8, 2011, and paid the required extension payment of $1.0 million to the Company's HLC, Inc. subsidiary. Discover Bank is permitted up to three additional 30-day extensions in certain circumstances. Discover Bank must pay a $1.0 million extension fee to HLC, Inc. to exercise each of the second and third extensions and a $2.0 million extension to exercise the fourth extension. All extension payments, including the one received in November, will be credited against the purchase price due at closing. For a more complete discussion of the closing conditions, end date extension rights and associated fees, termination fees and other provisions of the Asset Purchase Agreement, please see the Company's definitive proxy statement filed with the Securities and Exchange Commission on August 2, 2011.</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Results of operations for the three and nine months ended September 30, 2011 compared to the three and nine months ended September 30, 2010:</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0"/>
              </w:rPr>
              <w:t>Three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12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12,383</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12,858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(1,275)</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(2,103)</w:t>
            </w: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Match fee revenue in 2011 decreased slightly from the same period in 2010. Overall matched requests decreased by 2%, from 282,000 in 2010 to 277,000 in 2011. This reflects an increase of 13% in home loan matches and an aggregate decline of 12% in matches for the new consumer vertical areas of higher education, home services, insurance and automobile. As compared to 2010, the average fee for home loan matches declined by 24%, while the average match fee for the new consumer verticals increased by 49%. The decline in home loan average match fee is due to a product shift toward purchase mortgage, which generates lower revenue per matched lead than refinance. Purchase as a percentage of total mortgage matches increased from 41% in the third quarter of 2010 to 45% in the third quarter of 2011. Additionally, revenue from closed loan fees decreased due to a previously announced shift in pricing on home loan related matches to increase the average match fee while eliminating the closed loan fee.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network lender accounts for revenue representing more than 10% of Tree.com's consolidated revenue for any periods presented.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3"/>
              </w:rPr>
              <w:t>Nine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12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41,045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38,683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(5,238)</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7"/>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43,951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(4,062)</w:t>
            </w: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Match fee revenue in 2011 increased from the same period in 2010. Overall matched requests decreased by 4%, from 601,000 in 2010 to 579,000 in 2011. This reflects a decrease of 5% in home loan matches and an aggregate decline of 3% in matches for the new consumer vertical areas of higher education, home services, insurance and automobile. As compared to 2010, the average fee for home loan matches increased by 4%, while the average match fee for the new consumer verticals increased by 31%. Additionally, revenue from match fees increased and closed loan fees decreased due to a previously announced shift in pricing on home loan related matches to increase the average match fee while eliminating the closed loan fee.</w:t>
      </w:r>
    </w:p>
    <w:p>
      <w:pPr>
        <w:spacing w:after="0" w:line="170"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do not presently record revenue in our Exchanges business for leads provided to Home Loan Center. Instead, we use a cost sharing approach for marketing expenses, whereby the Exchange business and Home Loan Center share the marketing expense on a pro rata basis, based on the quantity of leads received by each. Following completion of the sale to Discover Bank, Discover Bank will pay us for leads generated by the LendingTree Exchange, and that will represent an additional source of revenue, with an associated increase in selling and marketing expenses. We expect revenue from Discover Bank to be accretive to both gross and net margin.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87"/>
              </w:rPr>
              <w:t>Three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8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20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 Change</w:t>
            </w:r>
          </w:p>
        </w:tc>
        <w:tc>
          <w:tcPr>
            <w:tcW w:w="5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1,001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Cost of revenue consists primarily of costs associated with compensation and other employee related costs (including stock-based compensation) related to customer call centers, credit scoring fees, consumer incentive costs, and website network hosting and server fees.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Cost of revenue in 2011 decreased from the same period in 2010 primarily due to decreases of $0.1 million in compensation and other employee related costs and $0.1 million in licensing costs.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88"/>
              </w:rPr>
              <w:t>Nine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8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20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 Change</w:t>
            </w:r>
          </w:p>
        </w:tc>
        <w:tc>
          <w:tcPr>
            <w:tcW w:w="5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  3,529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3,654</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Cost of revenue in 2011 decreased slightly from the same period in 2010 primarily due to a decrease of $0.4 million in compensation and other employee related costs, offset by increases of $0.3 million in credit scoring fees and licensing costs.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87"/>
              </w:rPr>
              <w:t>Three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2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8,475</w:t>
            </w:r>
          </w:p>
        </w:tc>
        <w:tc>
          <w:tcPr>
            <w:tcW w:w="10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(4,469)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12,944</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01"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9"/>
              </w:rPr>
              <w:t>Three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9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(3,825)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(270)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(5,044)</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decreased advertising expense in 2011 in response to interest rates that began declining in the second quarter of 2011. In a declining interest rate environment, the incentive for consumers to come into the market to refinance is much higher, resulting in higher levels of organic traffic to both the Company and for lenders and less demand for externally-generated leads. The Company reduced advertising expense by 42%, while matched requests decreased only 2%. The decrease in other advertising above is primarily due to launching a new television campaign in 2010 that was not repeated in 2011.</w:t>
      </w:r>
    </w:p>
    <w:p>
      <w:pPr>
        <w:spacing w:after="0" w:line="167"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dynamically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00" w:type="dxa"/>
            <w:vAlign w:val="bottom"/>
            <w:tcBorders>
              <w:bottom w:val="single" w:sz="8" w:color="auto"/>
            </w:tcBorders>
            <w:gridSpan w:val="8"/>
          </w:tcPr>
          <w:p>
            <w:pPr>
              <w:jc w:val="center"/>
              <w:ind w:left="460"/>
              <w:spacing w:after="0"/>
              <w:rPr>
                <w:sz w:val="20"/>
                <w:szCs w:val="20"/>
                <w:color w:val="auto"/>
              </w:rPr>
            </w:pPr>
            <w:r>
              <w:rPr>
                <w:rFonts w:ascii="Arial" w:cs="Arial" w:eastAsia="Arial" w:hAnsi="Arial"/>
                <w:sz w:val="14"/>
                <w:szCs w:val="14"/>
                <w:b w:val="1"/>
                <w:bCs w:val="1"/>
                <w:color w:val="auto"/>
                <w:w w:val="87"/>
              </w:rPr>
              <w:t>Nine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6"/>
        </w:trPr>
        <w:tc>
          <w:tcPr>
            <w:tcW w:w="23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39,246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38,901</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00" w:type="dxa"/>
            <w:vAlign w:val="bottom"/>
          </w:tcPr>
          <w:p>
            <w:pPr>
              <w:jc w:val="right"/>
              <w:ind w:right="440"/>
              <w:spacing w:after="0"/>
              <w:rPr>
                <w:sz w:val="20"/>
                <w:szCs w:val="20"/>
                <w:color w:val="auto"/>
              </w:rPr>
            </w:pPr>
            <w:r>
              <w:rPr>
                <w:rFonts w:ascii="Arial" w:cs="Arial" w:eastAsia="Arial" w:hAnsi="Arial"/>
                <w:sz w:val="18"/>
                <w:szCs w:val="18"/>
                <w:color w:val="auto"/>
                <w:w w:val="79"/>
              </w:rPr>
              <w:t>40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9"/>
              </w:rPr>
              <w:t>Nine Months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85"/>
              </w:rPr>
              <w:t>Change</w:t>
            </w:r>
          </w:p>
        </w:tc>
        <w:tc>
          <w:tcPr>
            <w:tcW w:w="11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19,517</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(4,401)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23,918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34,849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(1,464)</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Company decreased advertising expense in 2011 in response to interest rates that began declining in the second quarter of 2011. In a declining interest rate environment, the incentive for consumers to come into the market to refinance is much higher, resulting in higher levels of organic traffic to both the Company and for lenders and less demand for externally-generated leads. Additionally, improvements in marketing efficiencies across several of our marketing channels eliminated approximately $3 million of expense that was incurred in the second quarter of 2011 from future quarters.</w:t>
      </w:r>
    </w:p>
    <w:p>
      <w:pPr>
        <w:spacing w:after="0" w:line="167" w:lineRule="exact"/>
        <w:rPr>
          <w:sz w:val="20"/>
          <w:szCs w:val="20"/>
          <w:color w:val="auto"/>
        </w:rPr>
      </w:pPr>
    </w:p>
    <w:p>
      <w:pPr>
        <w:jc w:val="both"/>
        <w:ind w:right="140" w:firstLine="348"/>
        <w:spacing w:after="0" w:line="335" w:lineRule="auto"/>
        <w:rPr>
          <w:sz w:val="20"/>
          <w:szCs w:val="20"/>
          <w:color w:val="auto"/>
        </w:rPr>
      </w:pPr>
      <w:r>
        <w:rPr>
          <w:rFonts w:ascii="Arial" w:cs="Arial" w:eastAsia="Arial" w:hAnsi="Arial"/>
          <w:sz w:val="15"/>
          <w:szCs w:val="15"/>
          <w:color w:val="auto"/>
        </w:rPr>
        <w:t>The 4% decrease in total advertising expense corresponded to 4% fewer matched requests, and advertising expense increasing to 89% of revenue compared to 81% for the same period in 2010. The increase in other advertising is primarily due to an increase in direct mail campaigns in 2011. The increase in 2011 also reflects non-variable expense associated with expanding the marketing team and investing in marketing tools and technologies that began in the first quarter.</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62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8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95"/>
              </w:rPr>
              <w:t>$ Change</w:t>
            </w:r>
          </w:p>
        </w:tc>
        <w:tc>
          <w:tcPr>
            <w:tcW w:w="11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7"/>
              </w:rPr>
              <w:t>% Change</w:t>
            </w:r>
          </w:p>
        </w:tc>
        <w:tc>
          <w:tcPr>
            <w:tcW w:w="5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4,388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8"/>
              </w:rPr>
              <w:t>$  (1,907)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6,295</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General and administrative expense in 2011 decreased compared to the same period for 2010, primarily reflecting a $2.5 million decrease in compensation and other employee-related costs (excluding non-cash compensation) due to lower headcount and incentive compensation. Professional fees and software costs also decreased by $0.6 million and $0.3 million, respectively. Also impacting the 2010 general and administrative expenses was a $0.8 million reduction of expense related to post acquisition adjustments, which was a result of the change in fair value of the estimated contingent consideration to be paid for business acquisitions that were completed in 2009. These adjustments are shown as a reduction of expense within general and administrative expense, and are excluded from our definition of Adjusted EBITDA. We expect further cost savings in future quarters related to the realignment of costs as we sharpen our focus on fewer verticals.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86"/>
              </w:rPr>
              <w:t>Nine Months Ended 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1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  15,059</w:t>
            </w:r>
          </w:p>
        </w:tc>
        <w:tc>
          <w:tcPr>
            <w:tcW w:w="10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(3,607)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18,666</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General and administrative expense in 2011 decreased from the same period in 2010 primarily due to a $3.4 million decrease in compensation and other employee related costs (excluding non-cash compensation) due to lower headcount and incentive compensation. Professional fees and software costs also each decreased by $0.7 million. Also impacting the general and administrative expenses was a $0.7 million reduction of expense in 2011 and a $0.8 million reduction of expense in 2010 related to the post acquisition adjustments discussed above.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7"/>
              </w:rPr>
              <w:t>Three Months Ended 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8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w w:val="95"/>
              </w:rPr>
              <w:t>$ Change</w:t>
            </w:r>
          </w:p>
        </w:tc>
        <w:tc>
          <w:tcPr>
            <w:tcW w:w="11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681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 related costs (including stock-based compensation) for personnel engaged in the design, development, testing and enhancement of technology that are not capitalized.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2011 decreased from the same period in 2010 due to reduced headcount and contractor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700" w:type="dxa"/>
            <w:vAlign w:val="bottom"/>
            <w:tcBorders>
              <w:bottom w:val="single" w:sz="8" w:color="auto"/>
            </w:tcBorders>
            <w:gridSpan w:val="8"/>
          </w:tcPr>
          <w:p>
            <w:pPr>
              <w:jc w:val="center"/>
              <w:ind w:left="402"/>
              <w:spacing w:after="0"/>
              <w:rPr>
                <w:sz w:val="20"/>
                <w:szCs w:val="20"/>
                <w:color w:val="auto"/>
              </w:rPr>
            </w:pPr>
            <w:r>
              <w:rPr>
                <w:rFonts w:ascii="Arial" w:cs="Arial" w:eastAsia="Arial" w:hAnsi="Arial"/>
                <w:sz w:val="14"/>
                <w:szCs w:val="14"/>
                <w:b w:val="1"/>
                <w:bCs w:val="1"/>
                <w:color w:val="auto"/>
                <w:w w:val="87"/>
              </w:rPr>
              <w:t>Nine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2,554</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2011 increased slightly from 2010 due to increased contractor costs.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40" w:type="dxa"/>
            <w:vAlign w:val="bottom"/>
            <w:tcBorders>
              <w:bottom w:val="single" w:sz="8" w:color="auto"/>
            </w:tcBorders>
            <w:gridSpan w:val="7"/>
          </w:tcPr>
          <w:p>
            <w:pPr>
              <w:jc w:val="center"/>
              <w:ind w:left="442"/>
              <w:spacing w:after="0"/>
              <w:rPr>
                <w:sz w:val="20"/>
                <w:szCs w:val="20"/>
                <w:color w:val="auto"/>
              </w:rPr>
            </w:pPr>
            <w:r>
              <w:rPr>
                <w:rFonts w:ascii="Arial" w:cs="Arial" w:eastAsia="Arial" w:hAnsi="Arial"/>
                <w:sz w:val="14"/>
                <w:szCs w:val="14"/>
                <w:b w:val="1"/>
                <w:bCs w:val="1"/>
                <w:color w:val="auto"/>
                <w:w w:val="87"/>
              </w:rPr>
              <w:t>Three Months Ended September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(3,760)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3,676</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 $</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(7,436)</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bl>
    <w:p>
      <w:pPr>
        <w:spacing w:after="0" w:line="201"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Operating loss in 2011 decreased from the same period in 2010 primarily due to the decreases in selling and marketing expense and general and administrative expense, offset by the decrease in revenue, discussed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88"/>
              </w:rPr>
              <w:t>Nine Months Ended September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5"/>
              </w:rPr>
              <w:t>$ 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  (27,470)</w:t>
            </w: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(5,669)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 $</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(21,801)</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Operating loss in 2011 increased from the same period in 2010 primarily due to $5.2 million in litigation settlements and contingency expense recorded in 2011.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is a</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reconciliation of operating loss to EBITDA from continuing operations and Adjusted EBITDA from continuing operations, and operating loss to net income (loss).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88"/>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(7,436)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Adjustments to reconcile to EBITDA and Adjusted EBITDA: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EBITDA from continuing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(6,306)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(23,006)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Post acquisition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Adjusted EBITDA from continuing operations</w:t>
            </w:r>
          </w:p>
        </w:tc>
        <w:tc>
          <w:tcPr>
            <w:tcW w:w="1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(6,379)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(7,436)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(27,470)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(3,870)</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(7,496)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(27,736)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loss from continuing operations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(3,685)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(7,538)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(27,853)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(16,863)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(44,716)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September 30, 2011 compared to the three months ended September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8"/>
              </w:rPr>
              <w:t>Three Months Ended September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880" w:type="dxa"/>
            <w:vAlign w:val="bottom"/>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5"/>
              </w:rPr>
              <w:t>$ Change</w:t>
            </w:r>
          </w:p>
        </w:tc>
        <w:tc>
          <w:tcPr>
            <w:tcW w:w="10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91"/>
              </w:rPr>
              <w:t>(Dollars</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0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6"/>
              </w:rPr>
              <w:t>$  (521)</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   5,858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 $</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(6,379)</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Adjusted EBITDA from continuing operations in 2011 increased from the same period in 2010, reflecting the decreased selling and marketing expenses and general and administrative expenses as described above, to better align our costs with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nine months ended September 30, 2011 compared to the nine months ended September 30,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08"/>
        </w:trPr>
        <w:tc>
          <w:tcPr>
            <w:tcW w:w="2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4"/>
        </w:trPr>
        <w:tc>
          <w:tcPr>
            <w:tcW w:w="2300" w:type="dxa"/>
            <w:vAlign w:val="bottom"/>
          </w:tcPr>
          <w:p>
            <w:pPr>
              <w:spacing w:after="0"/>
              <w:rPr>
                <w:sz w:val="19"/>
                <w:szCs w:val="19"/>
                <w:color w:val="auto"/>
              </w:rPr>
            </w:pPr>
          </w:p>
        </w:tc>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1"/>
              </w:rPr>
              <w:t>$  (14,270)</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(14,185)</w:t>
            </w:r>
          </w:p>
        </w:tc>
        <w:tc>
          <w:tcPr>
            <w:tcW w:w="2280" w:type="dxa"/>
            <w:vAlign w:val="bottom"/>
          </w:tcPr>
          <w:p>
            <w:pPr>
              <w:spacing w:after="0"/>
              <w:rPr>
                <w:sz w:val="19"/>
                <w:szCs w:val="19"/>
                <w:color w:val="auto"/>
              </w:rPr>
            </w:pPr>
          </w:p>
        </w:tc>
      </w:tr>
      <w:tr>
        <w:trPr>
          <w:trHeight w:val="222"/>
        </w:trPr>
        <w:tc>
          <w:tcPr>
            <w:tcW w:w="2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Adjusted EBITDA from continuing operations in 2011 was flat compared to the same period in 2010, reflecting a decrease in revenue for the first quarter of 2011 and a decrease in general and administrative expense as described above, to better align our costs with revenue.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the three months ended September 30, 2011 and 2010, Tree.com recorded a tax provision (benefit) of $(0.2) million and $0.04 million, respectively, which represents an effective tax rate of 4.8% and (0.6)%, respectively. The tax rates are lower than the federal statutory rate of 35% primarily due to an increase in the valuation allowance on deferred tax assets.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For the nine months ended September 30, 2011 and 2010, Tree.com recorded a tax provision of $0.1 million and $0.9 million, respectively, which represents an effective tax rate of (0.4)% and (3.8)%,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Tree.com's unrecognized tax benefits decreased by approximately $0.04 million for the three months ended September 30, 2011. The decrease was due to a partial release of the reserves for uncertain tax positions. Tree.com believes that it is reasonably possible that its remaining unrecognized tax benefits could decrease by approximately $0.06 million within twelve months of the current reporting date due to the expiration of state statute of limitations. An estimate of other changes in unrecognized tax benefits cannot be made, but are not expected to be significant.</w:t>
      </w:r>
    </w:p>
    <w:p>
      <w:pPr>
        <w:spacing w:after="0" w:line="16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For the three and nine months ended September 30, 2011, Tree.com determined that its activity yielded an unusual effective tax rate; therefore, Tree.com utilized the actual year to date effective tax rate for purposes of determining year to date tax expense. This approach is consistent with the nine months ended September 30, 2010.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Revenue from discontinued operations in the third quarter of 2011 was $37.6 million, a decrease of 1% as compared to the third quarter 2010 revenue from discontinued operations of $38.0 million. LendingTree Loans revenue was up $2.3 million compared to the third quarter of 2010 on 4% more closed units, and revenue from the Real Estate business was down $2.7 million compared to the third quarter of 2010, reflecting the shutdown of the company-owned brokerage in early 2011.</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LendingTree Loans benefited from lower marketing expenses as a result of lower interest rates and improved marketing efficiencies. Although LendingTree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Loans produced higher revenue in 2011 compared to the same period in 2010, gross margins were flat due to loan officer compensation regulations that drove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increase in variable compensation costs. Loan officer compensation increased from 20% of total revenue at LendingTree Loans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to 25% of total revenue in the third quarter of 2011. In addition, general and administrative costs in discontinued operations in the third quarter of 2011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or 16% higher than the third quarter of 2010. This increase was driven largely by the acquisition of certain assets of First Residential Mortgage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 Inc. dba SurePoint Lending that was completed in the first quarter of 2011, and partially offset by lower Real Estate fixed costs after the shutdown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company-owned brokerage in early 2011.</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September 30, 2011, Tree.com had $10.3 million of cash and cash equivalents and $13.0 million of restricted cash and cash equivalents, compared to $68.8 million of cash and cash equivalents and $8.2 million of restricted cash and cash equivalents as of December 31, 2010. During the third quarter LendingTree Loans utilized an additional $30 million of unrestricted cash for funding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loans at LendingTree Loans. These loans were sold in October 2011, and the proceeds were returned to LendingTree Loans as unrestricted cash. LendingTree Loans elected to fund loans with its own cash in order to take advantage of the positive refinance market conditions as it reached borrowing capacity on its warehouse lines. LendingTree Loans has now increased its warehouse lines as discussed below.</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Net cash used in operating activities was $20.9 million in the nine months ended September 30, 2011, compared to $30.1 million used in operating activities in the same period in 2010. The change from cash used in operating activities in 2010 to cash used by operating activities in 2011 was primarily due to a</w:t>
      </w:r>
    </w:p>
    <w:p>
      <w:pPr>
        <w:ind w:right="420"/>
        <w:spacing w:after="0" w:line="255" w:lineRule="auto"/>
        <w:rPr>
          <w:sz w:val="20"/>
          <w:szCs w:val="20"/>
          <w:color w:val="auto"/>
        </w:rPr>
      </w:pPr>
      <w:r>
        <w:rPr>
          <w:rFonts w:ascii="Arial" w:cs="Arial" w:eastAsia="Arial" w:hAnsi="Arial"/>
          <w:sz w:val="18"/>
          <w:szCs w:val="18"/>
          <w:color w:val="auto"/>
        </w:rPr>
        <w:t>$4.8 million increase in the net loss from continuing operations, offset by a $16.0 million increase in accounts payable and other current liabilities, which principally related to litigation payments of $12.8 million that were made in the nine months ended September 30, 2010 and managing working capital more closely in 2011.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in the nine months ended September 30, 2011 of $7.0 million primarily resulted from capital expenditures of</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$5.5 million. Net cash used in investing activities in the nine months ended September 30, 2010 of $1.6 million primarily resulted from capital expenditures of $3.7 million, offset by the release of restricted cash of $2.2 million.</w:t>
      </w:r>
    </w:p>
    <w:p>
      <w:pPr>
        <w:spacing w:after="0" w:line="19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Net cash used in financing activities in the nine months ended September 30, 2011 of $4.3 million was primarily due to increased restricted cash requirements and the vesting of stock to employees (less withholding taxes). Net cash used by financing activities in the nine months ended September 30, 2010 of $5.1 million was primarily due to purchases of treasury stock of $4.7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September 30, 2011, LendingTree Loans had two committed lines of credit totaling $150.0 million of borrowing capacity. LendingTree Loans also had a $25.0 million uncommitted line with one of these lenders, which was terminated on October 31, 2011. In addition, LendingTree Loans obtained a third warehouse line for $100.0 million on October 13, 2011 and increased the second line to $125.0 million on October 28, 2011, bringing the total borrowing capacity to $275.0 million. Borrowings under these lines of credit are used to fund, and are secured by, consumer residential loans that are held for sale. Loans under these lines of credit are repaid using proceeds from the sales of loans by LendingTree Loans.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on the earliest of (i) the closing date of the proposed asset sale transaction with Discover Bank or</w:t>
      </w:r>
    </w:p>
    <w:p>
      <w:pPr>
        <w:spacing w:after="0" w:line="38" w:lineRule="exact"/>
        <w:rPr>
          <w:sz w:val="20"/>
          <w:szCs w:val="20"/>
          <w:color w:val="auto"/>
        </w:rPr>
      </w:pPr>
    </w:p>
    <w:p>
      <w:pPr>
        <w:ind w:right="20" w:firstLine="8"/>
        <w:spacing w:after="0" w:line="295"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January 30, 2012. On November 1, 2011, the terms of this line were amended so that it can be cancelled at the option of the lender at any time upon notice. This first line included an additional uncommitted credit facility of $25.0 million, which was terminated on October 31, 2011. This first line is guaranteed by Tree.com, Inc., LendingTree, LLC and LendingTree Holdings Corp. The interest rate under the first line is the 30-day London InterBank Offered Rate ("LIBOR") or 2.00% (whichever is greater) plus 2.25%. The interest rate under the $25.0 million uncommitted line was the 30-day LIBOR plus 1.50%.</w:t>
      </w:r>
    </w:p>
    <w:p>
      <w:pPr>
        <w:spacing w:after="0" w:line="169"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$100.0 million second line was scheduled to expire on October 28, 2011, but subsequent to September 30, 2011 the line was increased to $125.0 million and the expiration date extended to the earliest of (i) forty-five days after the closing date of the proposed asset sale transaction with Discover Bank or</w:t>
      </w:r>
    </w:p>
    <w:p>
      <w:pPr>
        <w:jc w:val="both"/>
        <w:ind w:right="20" w:firstLine="8"/>
        <w:spacing w:after="0" w:line="295"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April 25, 2012. This line is also guaranteed by Tree.com, Inc., LendingTree, LLC and LendingTree Holdings Corp. Before the extension, the interest rate under this line was the 30-day Adjusted LIBOR or 2.0% (whichever was greater) plus 2.25% to 2.5% for loans being sold to the lender and 30-day Adjusted LIBOR or 2.0% (whichever was greater) plus 2.25% for loans not being sold to the lender. Upon extension of this line, the interest rate was changed to the 30-day Adjusted LIBOR or 2.0% (whichever is greater) plus 1.5% to 1.75% for loans being sold to the lender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30-day Adjusted LIBOR or 2.0% (whichever is greater) plus 1.5% for loans not being sold to the lender.</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$100.0 million third line is scheduled to expire on December 13, 2011. This line is guaranteed by Tree.com, Inc. and LendingTree, LLC. The interest rate under this line is 30-day LIBOR plus 3.25% (LIBOR may be adjusted upward for any increase in the reserve requirement of the lender as further described in the Master Repurchase Agreement).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$20.0 million, which was increased to $25.0 million upon renewal of the first line in November and the second line in October 2011, (ii) minimum liquidity, (iii) a minimum current ratio, (iv) a maximum ratio of total liabilities to net worth, (v) a minimum unrestricted cash amount, (vi) pre-tax net income requirements and (vii) a maximum warehouse capacity ratio. During the quarter ended September 30, 2011, LendingTree Loans was in compliance with the covenants under these lines.</w:t>
      </w:r>
    </w:p>
    <w:p>
      <w:pPr>
        <w:spacing w:after="0" w:line="170"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as long as one of the warehouse lines remains available. We believe that our sources of liquidity are sufficient to fund our operating needs, including operation of the LendingTree Loans business through a sale to Discover Bank, and including all debt requirements, commitments and contingencies, and capital and investing commitments for the foreseeable future. However, the operations of our LendingTree Loans business through completion of the transaction with Discover Bank have a significant impact on our liquidity, and the results of such operations are highly dependent on interest rates. If interest rates increase above current levels before completion of a transaction with Discover Bank, or if such transaction is not completed, we may need to take more aggressive actions to manage our working capital, sell certain assets or seek equity or debt financing. We cannot assure you that, in such a situation, we would be able to sell assets or raise equity or debt financing on terms acceptable to us, or at all. Moreover, the asset purchase agreement with Discover Bank contains certain covenants and conditions that may limit our ability to take certain of these actions without the consent of Discover Bank while the sale transaction is pending. Additionally, we anticipate that we will want to make capital and other expenditures in connection with the development and expansion of our overall operations. We intend to use proceeds from the sale of this LendingTree Loans business to fund these expenditures. If such proceeds are not sufficient after payments of transaction-related expenses and amounts held in escrow or otherwise restricted, we may seek equity or debt financing. We cannot assure you that such financing will be available on terms acceptable to us, or at all.</w:t>
      </w:r>
    </w:p>
    <w:p>
      <w:pPr>
        <w:spacing w:after="0" w:line="180"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Bank, LendingTree Loans will cease to originate consumer loans and will no longer have additional borrowings available under the warehouse lines of credit. The remaining operations will be wound down over the quarter following the closing of the transaction. These wind-down activities include selling the balance of loans held for sale to investors, which historically has occurred within thirty days of funding, and paying off and then terminating the lines of credit.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estate values. The broader cyclical trends in the mortgage and real estate markets have upset the usual seasonal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2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Tree.com reports EBITDA as operating income or loss (which excludes interest expense and taxes) adjusted to exclude amortization of intangibles and depreciation.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reports Adjusted EBITDA as EBITDA excluding (1) non-cash compensation expense, (2) non-cash intangible asset impairment charges,</w:t>
      </w:r>
    </w:p>
    <w:p>
      <w:pPr>
        <w:spacing w:after="0" w:line="38" w:lineRule="exact"/>
        <w:rPr>
          <w:sz w:val="20"/>
          <w:szCs w:val="20"/>
          <w:color w:val="auto"/>
        </w:rPr>
      </w:pPr>
    </w:p>
    <w:p>
      <w:pPr>
        <w:ind w:firstLine="8"/>
        <w:spacing w:after="0" w:line="292"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litigation settlements and contingencies, (6) pro forma adjustments for significant acquisitions or dispositions,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Tree.com will include Adjusted EBITDA pro forma adjustments for significant acquisitions and dispositions only if it views a particular transaction as significant in size or transformational in nature. For the periods presented in this report, there are no pro forma adjustments for significant acquisitions or dispositions included in EBITDA and Adjusted EBITDA.</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Non-cash compensation expense consists principally of expense associated with the grants of restricted stock units and stock options. These expenses are not paid in cash, and Tree.com will include the related shares in its calculations of fully diluted shares outstanding. Upon vesting of restricted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units and the exercise of certain stock options, the awards will be settled, at Tree.com's discretion, on a net basis, with Tree.com remitting the required tax withholding amount from its current funds.</w:t>
      </w:r>
    </w:p>
    <w:p>
      <w:pPr>
        <w:spacing w:after="0" w:line="186"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principal executive officer and principal financial officer. Based on that evaluation, the Company's principal executive officer and principal financial officer have concluded that due to a material weakness in internal control over financial reporting related to income taxes as of December 31, 2010, as described in the Company's 2010 Form 10-K, the Company's disclosure controls and procedures are not effective as of September 30, 2011. The Company has taken appropriate actions in 2011 to address and remediate the deficiencies that gave rise to the material weakness, including evaluating our available resources to provide effective oversight of the work performed by our third party tax advisors and evaluating the resources provided by the third party tax advisors. However, the material weakness will not be fully remediated until, in the opinion of management, the revised control procedures have been operating for a sufficient period of time to provide reasonable assurances as to their effectiveness, and management does not believe that a sufficient period of time has passed to make this determination.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Other than as noted above, there has been no change in the Company's internal controls over financial reporting during the third quarter of 2011 that has materially affected, or is reasonably likely to materially affect, the Company's internal controls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60" w:firstLine="351"/>
        <w:spacing w:after="0" w:line="305" w:lineRule="auto"/>
        <w:rPr>
          <w:sz w:val="20"/>
          <w:szCs w:val="20"/>
          <w:color w:val="auto"/>
        </w:rPr>
      </w:pPr>
      <w:r>
        <w:rPr>
          <w:rFonts w:ascii="Arial" w:cs="Arial" w:eastAsia="Arial" w:hAnsi="Arial"/>
          <w:sz w:val="15"/>
          <w:szCs w:val="15"/>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2010 (the</w:t>
      </w:r>
    </w:p>
    <w:p>
      <w:pPr>
        <w:ind w:right="220"/>
        <w:spacing w:after="0" w:line="263" w:lineRule="auto"/>
        <w:rPr>
          <w:sz w:val="20"/>
          <w:szCs w:val="20"/>
          <w:color w:val="auto"/>
        </w:rPr>
      </w:pPr>
      <w:r>
        <w:rPr>
          <w:rFonts w:ascii="Arial" w:cs="Arial" w:eastAsia="Arial" w:hAnsi="Arial"/>
          <w:sz w:val="17"/>
          <w:szCs w:val="17"/>
          <w:color w:val="auto"/>
        </w:rPr>
        <w:t>"2010 Form 10-K") and an update in Part II, Item 1, of our Quarterly Reports on Form 10-Q for the quarters ended March 31, 2011 and June 30, 2011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 2011 10-Qs"). During the quarter ended September 30, 2011, there were no material developments to the legal proceedings disclosed in the 2010 Form 10-K or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 2011 10-Qs and no new material proceedings except as set forth below.</w:t>
      </w:r>
    </w:p>
    <w:p>
      <w:pPr>
        <w:spacing w:after="0" w:line="60" w:lineRule="exact"/>
        <w:rPr>
          <w:sz w:val="20"/>
          <w:szCs w:val="20"/>
          <w:color w:val="auto"/>
        </w:rPr>
      </w:pPr>
    </w:p>
    <w:p>
      <w:pPr>
        <w:jc w:val="both"/>
        <w:ind w:right="60" w:firstLine="351"/>
        <w:spacing w:after="0" w:line="284"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Store, Inc. and Castleview Home Loans, Inc. filed this putative class action against HLC in the California Superior Court for Orange County. Plaintiffs, two former Network Lenders, allege that HLC interfered with LendingTree's contracts with Network Lenders by taking referrals from LendingTree. The</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 xml:space="preserve">complaint is largely based upon the factual allegations made in the </w:t>
      </w:r>
      <w:r>
        <w:rPr>
          <w:rFonts w:ascii="Arial" w:cs="Arial" w:eastAsia="Arial" w:hAnsi="Arial"/>
          <w:sz w:val="17"/>
          <w:szCs w:val="17"/>
          <w:i w:val="1"/>
          <w:iCs w:val="1"/>
          <w:color w:val="auto"/>
        </w:rPr>
        <w:t>Schnee</w:t>
      </w:r>
      <w:r>
        <w:rPr>
          <w:rFonts w:ascii="Arial" w:cs="Arial" w:eastAsia="Arial" w:hAnsi="Arial"/>
          <w:sz w:val="17"/>
          <w:szCs w:val="17"/>
          <w:color w:val="auto"/>
        </w:rPr>
        <w:t xml:space="preserve"> complaint (described in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 2011 10-Q). Based upon these factual allegations, Plaintiffs assert claims for intentional interference with contractual relations, intentional interference with prospective economic advantage, and violation of the California Unfair Competition Law ("UCL") and California Business and Professions Code § 17500. Plaintiffs purport to represent all Network Lenders from December 14, 2004 to date, and seek damages, restitution, attorneys' fees, and punitive damages.</w:t>
      </w:r>
    </w:p>
    <w:p>
      <w:pPr>
        <w:spacing w:after="0" w:line="21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Plaintiffs' motion for class certification was granted April 29, 2010. HLC's motion for summary judgment was filed April 12, 2011. On October 17, 2011 HLC's motion for summary judgment was granted.</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 violations of the federal Truth in Lending Act (the "TILA"), violations of the UCL,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UCL claims. As with each of the seven previous versions of Plaintiffs' complaint, the Second Amended Complaint was dismissed in April 2010. Plaintiffs appealed and filed their opening brief in November 2010. Company's responsive appellate brief was filed in February 2011. On August 10, 2011 the appellate court reversed the trial court's dismissal indicating that Plaintiffs' complaint was sufficient to withstand demur despite Plaintiffs' lack of damages. The case will be remanded to superior court. We believe plaintiff's allegations lack merit and we intend to defend against this action vigorously.</w:t>
      </w:r>
    </w:p>
    <w:p>
      <w:pPr>
        <w:spacing w:after="0" w:line="17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Gaines v. Home Loan Center, Inc., No. SACV08-667 (U.S. Dist. Ct., C.D. Cal.). </w:t>
      </w:r>
      <w:r>
        <w:rPr>
          <w:rFonts w:ascii="Arial" w:cs="Arial" w:eastAsia="Arial" w:hAnsi="Arial"/>
          <w:sz w:val="18"/>
          <w:szCs w:val="18"/>
          <w:color w:val="auto"/>
        </w:rPr>
        <w:t>On June 13, 2008, Plaintiffs filed this putative class action against HLC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LendingTree in the U.S. District Court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Central District of California. Plaintiffs allege,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 violations of the federal Racketeer Influenced and Corrupt Organizations Act ("RICO"), the TILA, the California UCL, California Business and Professions Code § 17500, the CLRA, breach of contract, breach of the implied covenant of good faith and fair dealing, unjust enrichment, conversion, and money had and received.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Plaintiffs purport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seek restitution, disgorgement, damages, attorneys' fees and injunctive relief.</w:t>
      </w:r>
    </w:p>
    <w:p>
      <w:pPr>
        <w:spacing w:after="0" w:line="16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RICO claim, certain claims alleging problems involving home equity lines of credit and all contract-based claims were dismissed with prejudice in May, 2010. This lawsuit was scheduled for trial in April, 2011, but has been continued indefinitely.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Twenty-four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proposed Consent Agreement and Order calls for a fine to be allocated among the Division and the Joining Regulators and for LendingTree, LLC to adopt various new procedures and practices. We intend to commence negotiations toward an acceptable Consent Agreement and Order. We do not believe our LendingTree Exchange violates any federal or state mortgage lending laws; nor do we believe that any past operations of the LendingTree Exchange have resulted in a material violation of any such laws. Should the Division or any Joining Regulator bring any actions relating to the matters alleged in the February 2011 Report of Examination/Inspection, we intend to defend such actions vigorously.</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2010 Form 10-K.</w:t>
      </w: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report, LendingTree Loans had three committed lines of credit totaling $275.0 million of borrowing capacity. One line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of borrowing capacity expires on the earliest of (i) the closing date of the proposed asset sale with Discover Bank or (ii) January 30, 2012.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 million of borrowing capacity expires on the earliest of (i) forty-five days after the closing date of the proposed asset sale transaction with Discover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(ii) April 25, 2012, and a third warehouse line with $100.0 million of borrowing capacity expires on December 13, 2011. Each of these warehouse lines may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terminated by the lender in certain circumstances. Borrowings under these lines of credit are used to fund, and are secured by, consumer residential loans that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held for sale. Loans under these lines of credit are repaid using proceeds from the sales of loans by LendingTree Loans. At September 30, 2011, there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$141.9 million outstanding under the lines of credit. See "Financial Position, Liquidity and Capital Resources" above for more information on our warehouse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lines.</w:t>
      </w:r>
    </w:p>
    <w:p>
      <w:pPr>
        <w:spacing w:after="0" w:line="219"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extend, renew or replace these lines before completion of the pending sale of the operating assets of LendingTree Loans,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 In addition, Discover Bank may terminate the agreement to acquire substantially all of the assets of our LendingTree Loans business if, with respect to either of our committed warehouse lines we fail to make a payment when due with respect to any indebtedness outstanding under any such agreement, we breach any other agreement, condition or covenant, relating to such indebtedness, or we obtain a waiver of any breach of or failure to satisfy any agreement, condition or covenant contained in such agreement without the prior written consent of Discover Bank, subject to certain exceptions.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Compliance and Changing Laws, Rules and Regulations—Failure to comply with past, existing or new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businesses market and provide services in heavily regulated industries through a number of different online and offline channels across the United States. As a result, our businesses have been and remain subject to a variety of statutes, rules, regulations, policies and procedures in various jurisdictions in the United States, which are subject to change at any time. The failure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businesses to comply with past, existing or new laws, rules and regulations, or to obtain and maintain required licenses, could result in administrative fines and/or proceedings against us or our businesses by governmental agencies and/or litigation by consumers, which could adversely affect our business, financial condition and results of operations and our brand.</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and the Federal Trade Commission Act and its accompanying regulations and guidelines, among others.</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that jurisdiction.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 Although we believe that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businesses have been structured in such a way so as to comply with RESPA, the relevant regulatory agency may take a contrary position.</w:t>
      </w:r>
    </w:p>
    <w:p>
      <w:pPr>
        <w:spacing w:after="0" w:line="225" w:lineRule="exact"/>
        <w:rPr>
          <w:sz w:val="20"/>
          <w:szCs w:val="20"/>
          <w:color w:val="auto"/>
        </w:rPr>
      </w:pPr>
    </w:p>
    <w:p>
      <w:pPr>
        <w:ind w:right="660" w:firstLine="348"/>
        <w:spacing w:after="0" w:line="306" w:lineRule="auto"/>
        <w:rPr>
          <w:sz w:val="20"/>
          <w:szCs w:val="20"/>
          <w:color w:val="auto"/>
        </w:rPr>
      </w:pPr>
      <w:r>
        <w:rPr>
          <w:rFonts w:ascii="Arial" w:cs="Arial" w:eastAsia="Arial" w:hAnsi="Arial"/>
          <w:sz w:val="16"/>
          <w:szCs w:val="16"/>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16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underwriters,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the reputation of Tree.com and its businesses.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Regardless of the effectiveness of our compliance activities, relevant regulatory authorities and private plaintiffs may allege that we failed to comply with applicable laws, rules and regulations. These allegations may relate to past conduct and/or past business operations, such as our discontinued real estate brokerage operations (which was subject to various state and local laws, rules and regulations). Even allegations that our activities have not complied or do not comply with all applicable laws and regulations may have an adverse effect on our business, financial condition and results of operations. Such allegations typically require legal fee expenditures to defend.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an adverse effect on our business, financial condition and results of operations.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sale of LendingTree Loans assets to Discover Bank may not be completed unless important conditions to the closing are satisfied and unless we maintain certain operational or financial metrics.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Completion of the transaction with Discover Bank is subject to certain conditions, including receipt of regulatory approvals. If these conditions are not satisfied or waived (to the extent permitted by law), the transaction may be delayed or may not occur, and we could lose some or all of the intended benefits of the transaction, which could have a material adverse effect on our business, results of operations or financial condition. Discover Bank may not receive the applicable regulatory approvals, or governmental authorities may impose conditions upon the completion of the transaction or require changes in the terms of the transaction. These conditions or changes could result in the termination of the asset purchase agreement or could have the effect of delaying the completion of the transaction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imposing additional costs, which could have a material adverse effect on our business, results of operations or financial condition.</w:t>
      </w:r>
    </w:p>
    <w:p>
      <w:pPr>
        <w:spacing w:after="0" w:line="225"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Additionally, the asset purchase agreement imposes on the Company covenants regarding maintenance of certain operational and financial metrics until the closing of the transaction. If the requirements of these covenants are not met, Discover Bank has the option to terminate the asset purchase agreement, which could have a material adverse effect on our business, results of operations or financial condition.</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Further, the purchase price for the assets is comprised of a payment of $35.9 million at closing and future contingent payments of $10 million on each of the first and second anniversaries of the closing, subject to the Company satisfying certain conditions, including maintenance of the LendingTree Exchange and certain financial and operational metrics. If these conditions are not met, these future contingent payments could be reduced or eliminated, which could have a material adverse effect on our business, results of operations or financial condition.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more information on the conditions to the closing, see the proxy statement we prepared in connection with the solicitation of stockholder approval for the transaction, which we filed with the SEC on August 2,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transaction with Discover Bank may distract our management from other responsibilities.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transaction to sell assets of LendingTree Loans to Discover Bank could cause our management to focus its time and energies on matters related to the transaction that otherwise would be directed to our business and operations.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quarter ended September 30, 2011.</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Average Price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Shares Purchased(1)</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Paid 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07/01/11 - 07/31/11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08/01/11 - 08/31/11</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09/01/11 - 09/30/11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gridSpan w:val="4"/>
            <w:vMerge w:val="continue"/>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98"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quarter ended September 30, 2011, 7,494 shares of the Company's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400"/>
        <w:spacing w:after="0"/>
        <w:tabs>
          <w:tab w:leader="none" w:pos="3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19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right="20" w:hanging="407"/>
        <w:spacing w:after="0" w:line="254" w:lineRule="auto"/>
        <w:tabs>
          <w:tab w:leader="none" w:pos="2240" w:val="left"/>
        </w:tabs>
        <w:rPr>
          <w:sz w:val="20"/>
          <w:szCs w:val="20"/>
          <w:color w:val="auto"/>
        </w:rPr>
      </w:pPr>
      <w:r>
        <w:rPr>
          <w:rFonts w:ascii="Arial" w:cs="Arial" w:eastAsia="Arial" w:hAnsi="Arial"/>
          <w:sz w:val="18"/>
          <w:szCs w:val="18"/>
          <w:color w:val="auto"/>
        </w:rPr>
        <w:t>2.1</w:t>
        <w:tab/>
        <w:t>Asset Purchase Agreement dated September 15, 2011 by and among LendingTree, LLC, RealEstate.com, Inc. and Market Leader, Inc.*</w:t>
      </w:r>
    </w:p>
    <w:p>
      <w:pPr>
        <w:spacing w:after="0" w:line="226"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Bill of Sale</w:t>
      </w:r>
    </w:p>
    <w:p>
      <w:pPr>
        <w:spacing w:after="0" w:line="200" w:lineRule="exact"/>
        <w:rPr>
          <w:sz w:val="20"/>
          <w:szCs w:val="20"/>
          <w:color w:val="auto"/>
        </w:rPr>
      </w:pPr>
    </w:p>
    <w:p>
      <w:pPr>
        <w:spacing w:after="0" w:line="268"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Assignment and Assumption Agreement</w:t>
      </w:r>
    </w:p>
    <w:p>
      <w:pPr>
        <w:spacing w:after="0" w:line="200" w:lineRule="exact"/>
        <w:rPr>
          <w:sz w:val="20"/>
          <w:szCs w:val="20"/>
          <w:color w:val="auto"/>
        </w:rPr>
      </w:pPr>
    </w:p>
    <w:p>
      <w:pPr>
        <w:spacing w:after="0" w:line="268" w:lineRule="exact"/>
        <w:rPr>
          <w:sz w:val="20"/>
          <w:szCs w:val="20"/>
          <w:color w:val="auto"/>
        </w:rPr>
      </w:pPr>
    </w:p>
    <w:p>
      <w:pPr>
        <w:ind w:left="2260" w:hanging="495"/>
        <w:spacing w:after="0" w:line="255" w:lineRule="auto"/>
        <w:tabs>
          <w:tab w:leader="none" w:pos="2240" w:val="left"/>
        </w:tabs>
        <w:rPr>
          <w:sz w:val="20"/>
          <w:szCs w:val="20"/>
          <w:color w:val="auto"/>
        </w:rPr>
      </w:pPr>
      <w:r>
        <w:rPr>
          <w:rFonts w:ascii="Arial" w:cs="Arial" w:eastAsia="Arial" w:hAnsi="Arial"/>
          <w:sz w:val="18"/>
          <w:szCs w:val="18"/>
          <w:color w:val="auto"/>
        </w:rPr>
        <w:t>10.3</w:t>
        <w:tab/>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59"/>
        <w:spacing w:after="0" w:line="321" w:lineRule="auto"/>
        <w:rPr>
          <w:sz w:val="20"/>
          <w:szCs w:val="20"/>
          <w:color w:val="auto"/>
        </w:rPr>
      </w:pPr>
      <w:r>
        <w:rPr>
          <w:rFonts w:ascii="Arial" w:cs="Arial" w:eastAsia="Arial" w:hAnsi="Arial"/>
          <w:sz w:val="16"/>
          <w:szCs w:val="16"/>
          <w:color w:val="auto"/>
        </w:rPr>
        <w:t>Exhibit 2.1 to the Registrant's Current Report on Form 8-K filed September 21, 2011</w:t>
      </w:r>
    </w:p>
    <w:p>
      <w:pPr>
        <w:spacing w:after="0" w:line="391"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2.2 to the Registrant's Current Report on Form 8-K filed September 21, 2011</w:t>
      </w:r>
    </w:p>
    <w:p>
      <w:pPr>
        <w:spacing w:after="0" w:line="166"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2.3 to the Registrant's Current Report on Form 8-K filed September 21, 2011</w:t>
      </w:r>
    </w:p>
    <w:p>
      <w:pPr>
        <w:spacing w:after="0" w:line="166"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July 15, 2011</w:t>
      </w:r>
    </w:p>
    <w:p>
      <w:pPr>
        <w:spacing w:after="0" w:line="837" w:lineRule="exact"/>
        <w:rPr>
          <w:sz w:val="20"/>
          <w:szCs w:val="20"/>
          <w:color w:val="auto"/>
        </w:rPr>
      </w:pPr>
    </w:p>
    <w:p>
      <w:pPr>
        <w:sectPr>
          <w:pgSz w:w="11900" w:h="16838" w:orient="portrait"/>
          <w:cols w:equalWidth="0" w:num="2">
            <w:col w:w="6180" w:space="180"/>
            <w:col w:w="3859"/>
          </w:cols>
          <w:pgMar w:left="240" w:top="131" w:right="1440" w:bottom="1440" w:gutter="0" w:footer="0" w:header="0"/>
        </w:sectPr>
      </w:pPr>
    </w:p>
    <w:p>
      <w:pPr>
        <w:spacing w:after="0" w:line="24" w:lineRule="exact"/>
        <w:rPr>
          <w:sz w:val="20"/>
          <w:szCs w:val="20"/>
          <w:color w:val="auto"/>
        </w:rPr>
      </w:pPr>
    </w:p>
    <w:p>
      <w:pPr>
        <w:ind w:left="2260" w:hanging="495"/>
        <w:spacing w:after="0" w:line="254" w:lineRule="auto"/>
        <w:tabs>
          <w:tab w:leader="none" w:pos="2240" w:val="left"/>
        </w:tabs>
        <w:rPr>
          <w:sz w:val="20"/>
          <w:szCs w:val="20"/>
          <w:color w:val="auto"/>
        </w:rPr>
      </w:pPr>
      <w:r>
        <w:rPr>
          <w:rFonts w:ascii="Arial" w:cs="Arial" w:eastAsia="Arial" w:hAnsi="Arial"/>
          <w:sz w:val="18"/>
          <w:szCs w:val="18"/>
          <w:color w:val="auto"/>
        </w:rPr>
        <w:t>10.4</w:t>
        <w:tab/>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1052" w:lineRule="exact"/>
        <w:rPr>
          <w:sz w:val="20"/>
          <w:szCs w:val="20"/>
          <w:color w:val="auto"/>
        </w:rPr>
      </w:pPr>
    </w:p>
    <w:p>
      <w:pPr>
        <w:sectPr>
          <w:pgSz w:w="11900" w:h="16838" w:orient="portrait"/>
          <w:cols w:equalWidth="0" w:num="2">
            <w:col w:w="6160" w:space="200"/>
            <w:col w:w="3859"/>
          </w:cols>
          <w:pgMar w:left="240" w:top="131" w:right="1440" w:bottom="1440" w:gutter="0" w:footer="0" w:header="0"/>
          <w:type w:val="continuous"/>
        </w:sectPr>
      </w:pPr>
    </w:p>
    <w:p>
      <w:pPr>
        <w:spacing w:after="0" w:line="25" w:lineRule="exact"/>
        <w:rPr>
          <w:sz w:val="20"/>
          <w:szCs w:val="20"/>
          <w:color w:val="auto"/>
        </w:rPr>
      </w:pPr>
    </w:p>
    <w:p>
      <w:pPr>
        <w:ind w:left="2260" w:hanging="495"/>
        <w:spacing w:after="0" w:line="298" w:lineRule="auto"/>
        <w:tabs>
          <w:tab w:leader="none" w:pos="2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Extension Letter Agreement dated as of August 11, 2011, regarding the Master Repurchase Agreement by and between Bank of America, N.A. and Home Loan Center, Inc. dated May 1, 2009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39"/>
        <w:spacing w:after="0" w:line="268" w:lineRule="auto"/>
        <w:rPr>
          <w:sz w:val="20"/>
          <w:szCs w:val="20"/>
          <w:color w:val="auto"/>
        </w:rPr>
      </w:pPr>
      <w:r>
        <w:rPr>
          <w:rFonts w:ascii="Arial" w:cs="Arial" w:eastAsia="Arial" w:hAnsi="Arial"/>
          <w:sz w:val="18"/>
          <w:szCs w:val="18"/>
          <w:color w:val="auto"/>
        </w:rPr>
        <w:t>Exhibit 10.12 to the Registrant's Quarterly Report on Form 10-Q filed August 15, 2011</w:t>
      </w:r>
    </w:p>
    <w:p>
      <w:pPr>
        <w:spacing w:after="0" w:line="645" w:lineRule="exact"/>
        <w:rPr>
          <w:sz w:val="20"/>
          <w:szCs w:val="20"/>
          <w:color w:val="auto"/>
        </w:rPr>
      </w:pPr>
    </w:p>
    <w:p>
      <w:pPr>
        <w:sectPr>
          <w:pgSz w:w="11900" w:h="16838" w:orient="portrait"/>
          <w:cols w:equalWidth="0" w:num="2">
            <w:col w:w="6060" w:space="300"/>
            <w:col w:w="3859"/>
          </w:cols>
          <w:pgMar w:left="240" w:top="131" w:right="1440" w:bottom="1440" w:gutter="0" w:footer="0" w:header="0"/>
          <w:type w:val="continuous"/>
        </w:sectPr>
      </w:pPr>
    </w:p>
    <w:p>
      <w:pPr>
        <w:ind w:left="2260" w:hanging="495"/>
        <w:spacing w:after="0" w:line="259" w:lineRule="auto"/>
        <w:tabs>
          <w:tab w:leader="none" w:pos="2240" w:val="left"/>
        </w:tabs>
        <w:rPr>
          <w:sz w:val="20"/>
          <w:szCs w:val="20"/>
          <w:color w:val="auto"/>
        </w:rPr>
      </w:pPr>
      <w:r>
        <w:rPr>
          <w:rFonts w:ascii="Arial" w:cs="Arial" w:eastAsia="Arial" w:hAnsi="Arial"/>
          <w:sz w:val="18"/>
          <w:szCs w:val="18"/>
          <w:color w:val="auto"/>
        </w:rPr>
        <w:t>10.6</w:t>
        <w:tab/>
        <w:t>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19, 2011</w:t>
      </w:r>
    </w:p>
    <w:p>
      <w:pPr>
        <w:spacing w:after="0" w:line="407" w:lineRule="exact"/>
        <w:rPr>
          <w:sz w:val="20"/>
          <w:szCs w:val="20"/>
          <w:color w:val="auto"/>
        </w:rPr>
      </w:pPr>
    </w:p>
    <w:p>
      <w:pPr>
        <w:sectPr>
          <w:pgSz w:w="11900" w:h="16838" w:orient="portrait"/>
          <w:cols w:equalWidth="0" w:num="2">
            <w:col w:w="6160" w:space="200"/>
            <w:col w:w="3859"/>
          </w:cols>
          <w:pgMar w:left="240" w:top="131" w:right="1440" w:bottom="1440" w:gutter="0" w:footer="0" w:header="0"/>
          <w:type w:val="continuous"/>
        </w:sectPr>
      </w:pPr>
    </w:p>
    <w:p>
      <w:pPr>
        <w:spacing w:after="0" w:line="21" w:lineRule="exact"/>
        <w:rPr>
          <w:sz w:val="20"/>
          <w:szCs w:val="20"/>
          <w:color w:val="auto"/>
        </w:rPr>
      </w:pPr>
    </w:p>
    <w:p>
      <w:pPr>
        <w:jc w:val="both"/>
        <w:ind w:left="2260" w:hanging="495"/>
        <w:spacing w:after="0" w:line="259" w:lineRule="auto"/>
        <w:tabs>
          <w:tab w:leader="none" w:pos="2240" w:val="left"/>
        </w:tabs>
        <w:rPr>
          <w:sz w:val="20"/>
          <w:szCs w:val="20"/>
          <w:color w:val="auto"/>
        </w:rPr>
      </w:pPr>
      <w:r>
        <w:rPr>
          <w:rFonts w:ascii="Arial" w:cs="Arial" w:eastAsia="Arial" w:hAnsi="Arial"/>
          <w:sz w:val="18"/>
          <w:szCs w:val="18"/>
          <w:color w:val="auto"/>
        </w:rPr>
        <w:t>10.7</w:t>
        <w:tab/>
        <w:t>Pricing Side Letter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19, 2011</w:t>
      </w:r>
    </w:p>
    <w:p>
      <w:pPr>
        <w:spacing w:after="0" w:line="407" w:lineRule="exact"/>
        <w:rPr>
          <w:sz w:val="20"/>
          <w:szCs w:val="20"/>
          <w:color w:val="auto"/>
        </w:rPr>
      </w:pPr>
    </w:p>
    <w:p>
      <w:pPr>
        <w:sectPr>
          <w:pgSz w:w="11900" w:h="16838" w:orient="portrait"/>
          <w:cols w:equalWidth="0" w:num="2">
            <w:col w:w="5920" w:space="440"/>
            <w:col w:w="3859"/>
          </w:cols>
          <w:pgMar w:left="240" w:top="131" w:right="1440" w:bottom="1440" w:gutter="0" w:footer="0" w:header="0"/>
          <w:type w:val="continuous"/>
        </w:sectPr>
      </w:pPr>
    </w:p>
    <w:p>
      <w:pPr>
        <w:spacing w:after="0" w:line="21" w:lineRule="exact"/>
        <w:rPr>
          <w:sz w:val="20"/>
          <w:szCs w:val="20"/>
          <w:color w:val="auto"/>
        </w:rPr>
      </w:pPr>
    </w:p>
    <w:p>
      <w:pPr>
        <w:ind w:left="2260" w:hanging="495"/>
        <w:spacing w:after="0" w:line="294" w:lineRule="auto"/>
        <w:tabs>
          <w:tab w:leader="none" w:pos="2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Amendment No. 3 to Transaction Terms Letter dated as of September 30, 2011, which supplements that certain Master Repurchase Agreement dated as of May 1, 2009 by and between Home Loan Center, Inc. and Bank of America, N.A</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5, 2011</w:t>
      </w:r>
    </w:p>
    <w:p>
      <w:pPr>
        <w:sectPr>
          <w:pgSz w:w="11900" w:h="16838" w:orient="portrait"/>
          <w:cols w:equalWidth="0" w:num="2">
            <w:col w:w="6180" w:space="180"/>
            <w:col w:w="3859"/>
          </w:cols>
          <w:pgMar w:left="240" w:top="131" w:right="1440"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5060" w:type="dxa"/>
            <w:vAlign w:val="bottom"/>
            <w:gridSpan w:val="2"/>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1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Amendment No. 7 to Master Repurchase Agreement</w:t>
            </w:r>
          </w:p>
        </w:tc>
        <w:tc>
          <w:tcPr>
            <w:tcW w:w="1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dated as of October 28, 2011, by and between Home</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Loan Center, Inc. and JPMorgan Chase Bank,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Amendment No. 5 to Side Letter dated as of</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October 28, 2011, which supplements that certain</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Master Repurchase Agreement dated as of October 30,</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2009 by and between Home Loan Center, Inc. and</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JPMorgan Chase Bank,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Amendment No. 2 to Master Repurchase Agreement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dated as of November 1, 2011, which supplements that</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certain Master Repurchase Agreement dated as of</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May 1, 2009 by and between Home Loan Center, Inc.</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and Bank of America,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Amendment No. 4 to Transaction Terms Letter dated as</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of November 1, 2011, which supplements that certain</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Master Repurchase Agreement dated as of May 1, 2009</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by and between Home Loan Center, Inc. and Bank of</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America,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Certification of the principal executive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to Rule 13a-14(a) or Rule 15d-14(a) of the Securities</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Exchange Act of 1934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302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the principal financial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to Rule 13a-14(a) or Rule 15d-14(a) of the Securities</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Exchange Act of 1934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302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Certification of the principal executive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to 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the principal financial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to 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101.INS</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101.SCH</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453"/>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101.CAL</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9"/>
              </w:rPr>
              <w:t>XBRL Taxonomy Extension Calculation Linkbase</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gridSpan w:val="2"/>
          </w:tcPr>
          <w:p>
            <w:pPr>
              <w:ind w:left="35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101.LAB</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0"/>
              </w:rPr>
              <w:t>XBRL Taxonomy Extension Label Linkbase Document</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101.PRE</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6"/>
              </w:rPr>
              <w:t>XBRL Taxonomy Extension Presentation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240" w:hanging="531"/>
        <w:spacing w:after="0" w:line="306"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256" w:lineRule="auto"/>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11" w:lineRule="exact"/>
        <w:rPr>
          <w:sz w:val="20"/>
          <w:szCs w:val="20"/>
          <w:color w:val="auto"/>
        </w:rPr>
      </w:pPr>
    </w:p>
    <w:p>
      <w:pPr>
        <w:ind w:left="1680" w:right="8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0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400"/>
        <w:spacing w:after="0"/>
        <w:tabs>
          <w:tab w:leader="none" w:pos="3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190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60" w:right="20" w:hanging="407"/>
        <w:spacing w:after="0" w:line="254" w:lineRule="auto"/>
        <w:tabs>
          <w:tab w:leader="none" w:pos="2240" w:val="left"/>
        </w:tabs>
        <w:rPr>
          <w:sz w:val="20"/>
          <w:szCs w:val="20"/>
          <w:color w:val="auto"/>
        </w:rPr>
      </w:pPr>
      <w:r>
        <w:rPr>
          <w:rFonts w:ascii="Arial" w:cs="Arial" w:eastAsia="Arial" w:hAnsi="Arial"/>
          <w:sz w:val="18"/>
          <w:szCs w:val="18"/>
          <w:color w:val="auto"/>
        </w:rPr>
        <w:t>2.1</w:t>
        <w:tab/>
        <w:t>Asset Purchase Agreement dated September 15, 2011 by and among LendingTree, LLC, RealEstate.com, Inc. and Market Leader, Inc.*</w:t>
      </w:r>
    </w:p>
    <w:p>
      <w:pPr>
        <w:spacing w:after="0" w:line="226"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Bill of Sale</w:t>
      </w:r>
    </w:p>
    <w:p>
      <w:pPr>
        <w:spacing w:after="0" w:line="200" w:lineRule="exact"/>
        <w:rPr>
          <w:sz w:val="20"/>
          <w:szCs w:val="20"/>
          <w:color w:val="auto"/>
        </w:rPr>
      </w:pPr>
    </w:p>
    <w:p>
      <w:pPr>
        <w:spacing w:after="0" w:line="268"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Assignment and Assumption Agreement</w:t>
      </w:r>
    </w:p>
    <w:p>
      <w:pPr>
        <w:spacing w:after="0" w:line="200" w:lineRule="exact"/>
        <w:rPr>
          <w:sz w:val="20"/>
          <w:szCs w:val="20"/>
          <w:color w:val="auto"/>
        </w:rPr>
      </w:pPr>
    </w:p>
    <w:p>
      <w:pPr>
        <w:spacing w:after="0" w:line="268" w:lineRule="exact"/>
        <w:rPr>
          <w:sz w:val="20"/>
          <w:szCs w:val="20"/>
          <w:color w:val="auto"/>
        </w:rPr>
      </w:pPr>
    </w:p>
    <w:p>
      <w:pPr>
        <w:ind w:left="2260" w:hanging="495"/>
        <w:spacing w:after="0" w:line="255" w:lineRule="auto"/>
        <w:tabs>
          <w:tab w:leader="none" w:pos="2240" w:val="left"/>
        </w:tabs>
        <w:rPr>
          <w:sz w:val="20"/>
          <w:szCs w:val="20"/>
          <w:color w:val="auto"/>
        </w:rPr>
      </w:pPr>
      <w:r>
        <w:rPr>
          <w:rFonts w:ascii="Arial" w:cs="Arial" w:eastAsia="Arial" w:hAnsi="Arial"/>
          <w:sz w:val="18"/>
          <w:szCs w:val="18"/>
          <w:color w:val="auto"/>
        </w:rPr>
        <w:t>10.3</w:t>
        <w:tab/>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4872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right="459"/>
        <w:spacing w:after="0" w:line="321" w:lineRule="auto"/>
        <w:rPr>
          <w:sz w:val="20"/>
          <w:szCs w:val="20"/>
          <w:color w:val="auto"/>
        </w:rPr>
      </w:pPr>
      <w:r>
        <w:rPr>
          <w:rFonts w:ascii="Arial" w:cs="Arial" w:eastAsia="Arial" w:hAnsi="Arial"/>
          <w:sz w:val="16"/>
          <w:szCs w:val="16"/>
          <w:color w:val="auto"/>
        </w:rPr>
        <w:t>Exhibit 2.1 to the Registrant's Current Report on Form 8-K filed September 21, 2011</w:t>
      </w:r>
    </w:p>
    <w:p>
      <w:pPr>
        <w:spacing w:after="0" w:line="391"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2.2 to the Registrant's Current Report on Form 8-K filed September 21, 2011</w:t>
      </w:r>
    </w:p>
    <w:p>
      <w:pPr>
        <w:spacing w:after="0" w:line="166" w:lineRule="exact"/>
        <w:rPr>
          <w:sz w:val="20"/>
          <w:szCs w:val="20"/>
          <w:color w:val="auto"/>
        </w:rPr>
      </w:pPr>
    </w:p>
    <w:p>
      <w:pPr>
        <w:ind w:right="459"/>
        <w:spacing w:after="0" w:line="332" w:lineRule="auto"/>
        <w:rPr>
          <w:sz w:val="20"/>
          <w:szCs w:val="20"/>
          <w:color w:val="auto"/>
        </w:rPr>
      </w:pPr>
      <w:r>
        <w:rPr>
          <w:rFonts w:ascii="Arial" w:cs="Arial" w:eastAsia="Arial" w:hAnsi="Arial"/>
          <w:sz w:val="16"/>
          <w:szCs w:val="16"/>
          <w:color w:val="auto"/>
        </w:rPr>
        <w:t>Exhibit 2.3 to the Registrant's Current Report on Form 8-K filed September 21, 2011</w:t>
      </w:r>
    </w:p>
    <w:p>
      <w:pPr>
        <w:spacing w:after="0" w:line="166"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July 15, 2011</w:t>
      </w:r>
    </w:p>
    <w:p>
      <w:pPr>
        <w:spacing w:after="0" w:line="837" w:lineRule="exact"/>
        <w:rPr>
          <w:sz w:val="20"/>
          <w:szCs w:val="20"/>
          <w:color w:val="auto"/>
        </w:rPr>
      </w:pPr>
    </w:p>
    <w:p>
      <w:pPr>
        <w:sectPr>
          <w:pgSz w:w="11900" w:h="16838" w:orient="portrait"/>
          <w:cols w:equalWidth="0" w:num="2">
            <w:col w:w="6180" w:space="180"/>
            <w:col w:w="3859"/>
          </w:cols>
          <w:pgMar w:left="240" w:top="131" w:right="1440" w:bottom="1440" w:gutter="0" w:footer="0" w:header="0"/>
          <w:type w:val="continuous"/>
        </w:sectPr>
      </w:pPr>
    </w:p>
    <w:p>
      <w:pPr>
        <w:spacing w:after="0" w:line="24" w:lineRule="exact"/>
        <w:rPr>
          <w:sz w:val="20"/>
          <w:szCs w:val="20"/>
          <w:color w:val="auto"/>
        </w:rPr>
      </w:pPr>
    </w:p>
    <w:p>
      <w:pPr>
        <w:ind w:left="2260" w:hanging="495"/>
        <w:spacing w:after="0" w:line="254" w:lineRule="auto"/>
        <w:tabs>
          <w:tab w:leader="none" w:pos="2240" w:val="left"/>
        </w:tabs>
        <w:rPr>
          <w:sz w:val="20"/>
          <w:szCs w:val="20"/>
          <w:color w:val="auto"/>
        </w:rPr>
      </w:pPr>
      <w:r>
        <w:rPr>
          <w:rFonts w:ascii="Arial" w:cs="Arial" w:eastAsia="Arial" w:hAnsi="Arial"/>
          <w:sz w:val="18"/>
          <w:szCs w:val="18"/>
          <w:color w:val="auto"/>
        </w:rPr>
        <w:t>10.4</w:t>
        <w:tab/>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1052" w:lineRule="exact"/>
        <w:rPr>
          <w:sz w:val="20"/>
          <w:szCs w:val="20"/>
          <w:color w:val="auto"/>
        </w:rPr>
      </w:pPr>
    </w:p>
    <w:p>
      <w:pPr>
        <w:sectPr>
          <w:pgSz w:w="11900" w:h="16838" w:orient="portrait"/>
          <w:cols w:equalWidth="0" w:num="2">
            <w:col w:w="6160" w:space="200"/>
            <w:col w:w="3859"/>
          </w:cols>
          <w:pgMar w:left="240" w:top="131" w:right="1440" w:bottom="1440" w:gutter="0" w:footer="0" w:header="0"/>
          <w:type w:val="continuous"/>
        </w:sectPr>
      </w:pPr>
    </w:p>
    <w:p>
      <w:pPr>
        <w:spacing w:after="0" w:line="25" w:lineRule="exact"/>
        <w:rPr>
          <w:sz w:val="20"/>
          <w:szCs w:val="20"/>
          <w:color w:val="auto"/>
        </w:rPr>
      </w:pPr>
    </w:p>
    <w:p>
      <w:pPr>
        <w:ind w:left="2260" w:hanging="495"/>
        <w:spacing w:after="0" w:line="298" w:lineRule="auto"/>
        <w:tabs>
          <w:tab w:leader="none" w:pos="2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Extension Letter Agreement dated as of August 11, 2011, regarding the Master Repurchase Agreement by and between Bank of America, N.A. and Home Loan Center, Inc. dated May 1, 2009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39"/>
        <w:spacing w:after="0" w:line="268" w:lineRule="auto"/>
        <w:rPr>
          <w:sz w:val="20"/>
          <w:szCs w:val="20"/>
          <w:color w:val="auto"/>
        </w:rPr>
      </w:pPr>
      <w:r>
        <w:rPr>
          <w:rFonts w:ascii="Arial" w:cs="Arial" w:eastAsia="Arial" w:hAnsi="Arial"/>
          <w:sz w:val="18"/>
          <w:szCs w:val="18"/>
          <w:color w:val="auto"/>
        </w:rPr>
        <w:t>Exhibit 10.12 to the Registrant's Quarterly Report on Form 10-Q filed August 15, 2011</w:t>
      </w:r>
    </w:p>
    <w:p>
      <w:pPr>
        <w:spacing w:after="0" w:line="645" w:lineRule="exact"/>
        <w:rPr>
          <w:sz w:val="20"/>
          <w:szCs w:val="20"/>
          <w:color w:val="auto"/>
        </w:rPr>
      </w:pPr>
    </w:p>
    <w:p>
      <w:pPr>
        <w:sectPr>
          <w:pgSz w:w="11900" w:h="16838" w:orient="portrait"/>
          <w:cols w:equalWidth="0" w:num="2">
            <w:col w:w="6060" w:space="300"/>
            <w:col w:w="3859"/>
          </w:cols>
          <w:pgMar w:left="240" w:top="131" w:right="1440" w:bottom="1440" w:gutter="0" w:footer="0" w:header="0"/>
          <w:type w:val="continuous"/>
        </w:sectPr>
      </w:pPr>
    </w:p>
    <w:p>
      <w:pPr>
        <w:ind w:left="2260" w:hanging="495"/>
        <w:spacing w:after="0" w:line="259" w:lineRule="auto"/>
        <w:tabs>
          <w:tab w:leader="none" w:pos="2240" w:val="left"/>
        </w:tabs>
        <w:rPr>
          <w:sz w:val="20"/>
          <w:szCs w:val="20"/>
          <w:color w:val="auto"/>
        </w:rPr>
      </w:pPr>
      <w:r>
        <w:rPr>
          <w:rFonts w:ascii="Arial" w:cs="Arial" w:eastAsia="Arial" w:hAnsi="Arial"/>
          <w:sz w:val="18"/>
          <w:szCs w:val="18"/>
          <w:color w:val="auto"/>
        </w:rPr>
        <w:t>10.6</w:t>
        <w:tab/>
        <w:t>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19, 2011</w:t>
      </w:r>
    </w:p>
    <w:p>
      <w:pPr>
        <w:spacing w:after="0" w:line="407" w:lineRule="exact"/>
        <w:rPr>
          <w:sz w:val="20"/>
          <w:szCs w:val="20"/>
          <w:color w:val="auto"/>
        </w:rPr>
      </w:pPr>
    </w:p>
    <w:p>
      <w:pPr>
        <w:sectPr>
          <w:pgSz w:w="11900" w:h="16838" w:orient="portrait"/>
          <w:cols w:equalWidth="0" w:num="2">
            <w:col w:w="6160" w:space="200"/>
            <w:col w:w="3859"/>
          </w:cols>
          <w:pgMar w:left="240" w:top="131" w:right="1440" w:bottom="1440" w:gutter="0" w:footer="0" w:header="0"/>
          <w:type w:val="continuous"/>
        </w:sectPr>
      </w:pPr>
    </w:p>
    <w:p>
      <w:pPr>
        <w:spacing w:after="0" w:line="21" w:lineRule="exact"/>
        <w:rPr>
          <w:sz w:val="20"/>
          <w:szCs w:val="20"/>
          <w:color w:val="auto"/>
        </w:rPr>
      </w:pPr>
    </w:p>
    <w:p>
      <w:pPr>
        <w:jc w:val="both"/>
        <w:ind w:left="2260" w:hanging="495"/>
        <w:spacing w:after="0" w:line="259" w:lineRule="auto"/>
        <w:tabs>
          <w:tab w:leader="none" w:pos="2240" w:val="left"/>
        </w:tabs>
        <w:rPr>
          <w:sz w:val="20"/>
          <w:szCs w:val="20"/>
          <w:color w:val="auto"/>
        </w:rPr>
      </w:pPr>
      <w:r>
        <w:rPr>
          <w:rFonts w:ascii="Arial" w:cs="Arial" w:eastAsia="Arial" w:hAnsi="Arial"/>
          <w:sz w:val="18"/>
          <w:szCs w:val="18"/>
          <w:color w:val="auto"/>
        </w:rPr>
        <w:t>10.7</w:t>
        <w:tab/>
        <w:t>Pricing Side Letter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19, 2011</w:t>
      </w:r>
    </w:p>
    <w:p>
      <w:pPr>
        <w:spacing w:after="0" w:line="407" w:lineRule="exact"/>
        <w:rPr>
          <w:sz w:val="20"/>
          <w:szCs w:val="20"/>
          <w:color w:val="auto"/>
        </w:rPr>
      </w:pPr>
    </w:p>
    <w:p>
      <w:pPr>
        <w:sectPr>
          <w:pgSz w:w="11900" w:h="16838" w:orient="portrait"/>
          <w:cols w:equalWidth="0" w:num="2">
            <w:col w:w="5920" w:space="440"/>
            <w:col w:w="3859"/>
          </w:cols>
          <w:pgMar w:left="240" w:top="131" w:right="1440" w:bottom="1440" w:gutter="0" w:footer="0" w:header="0"/>
          <w:type w:val="continuous"/>
        </w:sectPr>
      </w:pPr>
    </w:p>
    <w:p>
      <w:pPr>
        <w:spacing w:after="0" w:line="21" w:lineRule="exact"/>
        <w:rPr>
          <w:sz w:val="20"/>
          <w:szCs w:val="20"/>
          <w:color w:val="auto"/>
        </w:rPr>
      </w:pPr>
    </w:p>
    <w:p>
      <w:pPr>
        <w:ind w:left="2260" w:hanging="495"/>
        <w:spacing w:after="0" w:line="294" w:lineRule="auto"/>
        <w:tabs>
          <w:tab w:leader="none" w:pos="2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Amendment No. 3 to Transaction Terms Letter dated as of September 30, 2011, which supplements that certain Master Repurchase Agreement dated as of May 1, 2009 by and between Home Loan Center, Inc. and Bank of America, N.A</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5, 2011</w:t>
      </w:r>
    </w:p>
    <w:p>
      <w:pPr>
        <w:sectPr>
          <w:pgSz w:w="11900" w:h="16838" w:orient="portrait"/>
          <w:cols w:equalWidth="0" w:num="2">
            <w:col w:w="6180" w:space="180"/>
            <w:col w:w="3859"/>
          </w:cols>
          <w:pgMar w:left="240" w:top="131" w:right="1440"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92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5060" w:type="dxa"/>
            <w:vAlign w:val="bottom"/>
            <w:gridSpan w:val="2"/>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1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Amendment No. 7 to Master Repurchase Agreement</w:t>
            </w:r>
          </w:p>
        </w:tc>
        <w:tc>
          <w:tcPr>
            <w:tcW w:w="1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dated as of October 28, 2011, by and between Home</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5"/>
              </w:rPr>
              <w:t>Loan Center, Inc. and JPMorgan Chase Bank,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Amendment No. 5 to Side Letter dated as of</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October 28, 2011, which supplements that certain</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Master Repurchase Agreement dated as of October 30,</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2009 by and between Home Loan Center, Inc. and</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JPMorgan Chase Bank,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Amendment No. 2 to Master Repurchase Agreement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8"/>
              </w:rPr>
              <w:t>dated as of November 1, 2011, which supplements that</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certain Master Repurchase Agreement dated as of</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May 1, 2009 by and between Home Loan Center, Inc.</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and Bank of America,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Amendment No. 4 to Transaction Terms Letter dated as</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of November 1, 2011, which supplements that certain</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87"/>
              </w:rPr>
              <w:t>Master Repurchase Agreement dated as of May 1, 2009</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by and between Home Loan Center, Inc. and Bank of</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America, N.A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Certification of the principal executive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to Rule 13a-14(a) or Rule 15d-14(a) of the Securities</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Exchange Act of 1934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302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the principal financial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2"/>
              </w:rPr>
              <w:t>to Rule 13a-14(a) or Rule 15d-14(a) of the Securities</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Exchange Act of 1934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302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1"/>
              </w:rPr>
              <w:t>Certification of the principal executive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to 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the principal financial officer pursuant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8"/>
              </w:rPr>
              <w:t>to 18 U.S.C. Section 1350 as adopted pursuant to</w:t>
            </w: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101.INS</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459"/>
        </w:trPr>
        <w:tc>
          <w:tcPr>
            <w:tcW w:w="1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101.SCH</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432"/>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gridSpan w:val="2"/>
          </w:tcPr>
          <w:p>
            <w:pPr>
              <w:ind w:left="354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w w:val="99"/>
              </w:rPr>
              <w:t>XBRL Taxonomy Extension Calculation Linkbase</w:t>
            </w:r>
          </w:p>
        </w:tc>
        <w:tc>
          <w:tcPr>
            <w:tcW w:w="18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101.DEF</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101.LAB</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0"/>
              </w:rPr>
              <w:t>XBRL Taxonomy Extension Label Linkbase Document</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101.PRE</w:t>
            </w: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w w:val="96"/>
              </w:rPr>
              <w:t>XBRL Taxonomy Extension Presentation Linkbase</w:t>
            </w: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10"/>
        </w:trPr>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240" w:hanging="531"/>
        <w:spacing w:after="0" w:line="306"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256"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11" w:lineRule="exact"/>
        <w:rPr>
          <w:sz w:val="20"/>
          <w:szCs w:val="20"/>
          <w:color w:val="auto"/>
        </w:rPr>
      </w:pPr>
    </w:p>
    <w:p>
      <w:pPr>
        <w:ind w:left="1680" w:right="8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line="18"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 TO MASTER REPURCHASE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as of October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as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 as Buyer</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This Amendment</w:t>
      </w:r>
    </w:p>
    <w:p>
      <w:pPr>
        <w:spacing w:after="0" w:line="225"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The Parties agree hereby to amend the Master Repurchase Agreement dated October 30, 2009 between them (the “</w:t>
      </w:r>
      <w:r>
        <w:rPr>
          <w:rFonts w:ascii="Arial" w:cs="Arial" w:eastAsia="Arial" w:hAnsi="Arial"/>
          <w:sz w:val="17"/>
          <w:szCs w:val="17"/>
          <w:b w:val="1"/>
          <w:bCs w:val="1"/>
          <w:color w:val="auto"/>
        </w:rPr>
        <w:t>Original MRA</w:t>
      </w:r>
      <w:r>
        <w:rPr>
          <w:rFonts w:ascii="Arial" w:cs="Arial" w:eastAsia="Arial" w:hAnsi="Arial"/>
          <w:sz w:val="17"/>
          <w:szCs w:val="17"/>
          <w:color w:val="auto"/>
        </w:rPr>
        <w:t>”, as amended by Letter Agreement dated November 27, 2009, Amendment No. 1 to Master Repurchase Agreement dated March 11, 2010, Amendment No. 2 to Master Repurchase Agreement dated March 11, 2010, Amendment No. 3 to Master Repurchase Agreement dated July 22, 2010, Amendment No. 4 to Master Repurchase Agreement dated October 29, 2010, Amendment No. 5 to Master Repurchase Agreement dated March 31, 2011, Amendment No. 6 to Master Repurchase Agreement dated June 29, 2011, and as further supplemented, amended or restated from time to time, the “</w:t>
      </w:r>
      <w:r>
        <w:rPr>
          <w:rFonts w:ascii="Arial" w:cs="Arial" w:eastAsia="Arial" w:hAnsi="Arial"/>
          <w:sz w:val="17"/>
          <w:szCs w:val="17"/>
          <w:b w:val="1"/>
          <w:bCs w:val="1"/>
          <w:color w:val="auto"/>
        </w:rPr>
        <w:t>MRA</w:t>
      </w:r>
      <w:r>
        <w:rPr>
          <w:rFonts w:ascii="Arial" w:cs="Arial" w:eastAsia="Arial" w:hAnsi="Arial"/>
          <w:sz w:val="17"/>
          <w:szCs w:val="17"/>
          <w:color w:val="auto"/>
        </w:rPr>
        <w:t>”) to provide for certain changes to the MRA on the terms and conditions set forth herein, and they hereby amend the MRA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capitalized terms used in the MRA and used, but not defined differently, in this amendment (this “</w:t>
      </w:r>
      <w:r>
        <w:rPr>
          <w:rFonts w:ascii="Arial" w:cs="Arial" w:eastAsia="Arial" w:hAnsi="Arial"/>
          <w:sz w:val="16"/>
          <w:szCs w:val="16"/>
          <w:b w:val="1"/>
          <w:bCs w:val="1"/>
          <w:color w:val="auto"/>
        </w:rPr>
        <w:t>Amendment</w:t>
      </w:r>
      <w:r>
        <w:rPr>
          <w:rFonts w:ascii="Arial" w:cs="Arial" w:eastAsia="Arial" w:hAnsi="Arial"/>
          <w:sz w:val="16"/>
          <w:szCs w:val="16"/>
          <w:color w:val="auto"/>
        </w:rPr>
        <w:t>”) have the same meanings here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there.</w:t>
      </w:r>
    </w:p>
    <w:p>
      <w:pPr>
        <w:spacing w:after="0" w:line="21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Paragraphs of this Amendment are numbered to correspond with the numbers of the Paragraphs in the MRA amended hereby and are accordingly often nonsequential.</w:t>
      </w:r>
    </w:p>
    <w:p>
      <w:pPr>
        <w:spacing w:after="0" w:line="16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The definition of “</w:t>
      </w: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Paragraph 2(a)</w:t>
      </w:r>
      <w:r>
        <w:rPr>
          <w:rFonts w:ascii="Arial" w:cs="Arial" w:eastAsia="Arial" w:hAnsi="Arial"/>
          <w:sz w:val="16"/>
          <w:szCs w:val="16"/>
          <w:color w:val="auto"/>
        </w:rPr>
        <w:t xml:space="preserve"> of the MRA is hereby amended in its entirety to read as follows:</w:t>
      </w:r>
    </w:p>
    <w:p>
      <w:pPr>
        <w:spacing w:after="0" w:line="225" w:lineRule="exact"/>
        <w:rPr>
          <w:sz w:val="20"/>
          <w:szCs w:val="20"/>
          <w:color w:val="auto"/>
        </w:rPr>
      </w:pPr>
    </w:p>
    <w:p>
      <w:pPr>
        <w:ind w:left="6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means the earliest of (i) the Business Day, if any, that Seller designates as the Termination Date by written notice to Buyer given at least thirty (30) days prior to such date, (ii) the date of declaration of the Termination Date pursuant to </w:t>
      </w:r>
      <w:r>
        <w:rPr>
          <w:rFonts w:ascii="Arial" w:cs="Arial" w:eastAsia="Arial" w:hAnsi="Arial"/>
          <w:sz w:val="16"/>
          <w:szCs w:val="16"/>
          <w:u w:val="single" w:color="auto"/>
          <w:color w:val="auto"/>
        </w:rPr>
        <w:t>Paragraph 12(b)</w:t>
      </w:r>
      <w:r>
        <w:rPr>
          <w:rFonts w:ascii="Arial" w:cs="Arial" w:eastAsia="Arial" w:hAnsi="Arial"/>
          <w:sz w:val="16"/>
          <w:szCs w:val="16"/>
          <w:color w:val="auto"/>
        </w:rPr>
        <w:t xml:space="preserve">, (iii) the Business Day that Buyer designates as the Termination Date pursuant to </w:t>
      </w:r>
      <w:r>
        <w:rPr>
          <w:rFonts w:ascii="Arial" w:cs="Arial" w:eastAsia="Arial" w:hAnsi="Arial"/>
          <w:sz w:val="16"/>
          <w:szCs w:val="16"/>
          <w:u w:val="single" w:color="auto"/>
          <w:color w:val="auto"/>
        </w:rPr>
        <w:t>Paragraph 11(aa)</w:t>
      </w:r>
      <w:r>
        <w:rPr>
          <w:rFonts w:ascii="Arial" w:cs="Arial" w:eastAsia="Arial" w:hAnsi="Arial"/>
          <w:sz w:val="16"/>
          <w:szCs w:val="16"/>
          <w:color w:val="auto"/>
        </w:rPr>
        <w:t>, (iv) the first Business Day that is forty-five (45) days after the closing of the Discover Financial Transaction and (v) April 25, 2012, as that date may be extended by written agreement of Buyer and Seller.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Income Payments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 xml:space="preserve">The first grammatical sentence of </w:t>
      </w:r>
      <w:r>
        <w:rPr>
          <w:rFonts w:ascii="Arial" w:cs="Arial" w:eastAsia="Arial" w:hAnsi="Arial"/>
          <w:sz w:val="16"/>
          <w:szCs w:val="16"/>
          <w:u w:val="single" w:color="auto"/>
          <w:color w:val="auto"/>
        </w:rPr>
        <w:t>Paragraph 5(b)</w:t>
      </w:r>
      <w:r>
        <w:rPr>
          <w:rFonts w:ascii="Arial" w:cs="Arial" w:eastAsia="Arial" w:hAnsi="Arial"/>
          <w:sz w:val="16"/>
          <w:szCs w:val="16"/>
          <w:color w:val="auto"/>
        </w:rPr>
        <w:t xml:space="preserve"> of the MRA is hereby amended in its entirety to read as follows:</w:t>
      </w:r>
    </w:p>
    <w:p>
      <w:pPr>
        <w:spacing w:after="0" w:line="225" w:lineRule="exact"/>
        <w:rPr>
          <w:sz w:val="20"/>
          <w:szCs w:val="20"/>
          <w:color w:val="auto"/>
        </w:rPr>
      </w:pPr>
    </w:p>
    <w:p>
      <w:pPr>
        <w:ind w:left="660" w:right="40" w:firstLine="648"/>
        <w:spacing w:after="0" w:line="286" w:lineRule="auto"/>
        <w:rPr>
          <w:sz w:val="20"/>
          <w:szCs w:val="20"/>
          <w:color w:val="auto"/>
        </w:rPr>
      </w:pPr>
      <w:r>
        <w:rPr>
          <w:rFonts w:ascii="Arial" w:cs="Arial" w:eastAsia="Arial" w:hAnsi="Arial"/>
          <w:sz w:val="17"/>
          <w:szCs w:val="17"/>
          <w:color w:val="auto"/>
        </w:rPr>
        <w:t>Seller shall deposit into the Cash Pledge Account sums sufficient to cause the amount on deposit therein to be at all times an amount equal to (i) $2,000,000 on and after the effective date of Amendment No. 7 to this Master Repurchase Agreement, and (ii) $4,000,000 on and after the date of the closing of the Discover Financial Transaction (each such sum, herein the “</w:t>
      </w:r>
      <w:r>
        <w:rPr>
          <w:rFonts w:ascii="Arial" w:cs="Arial" w:eastAsia="Arial" w:hAnsi="Arial"/>
          <w:sz w:val="17"/>
          <w:szCs w:val="17"/>
          <w:b w:val="1"/>
          <w:bCs w:val="1"/>
          <w:color w:val="auto"/>
        </w:rPr>
        <w:t>Required Amount</w:t>
      </w:r>
      <w:r>
        <w:rPr>
          <w:rFonts w:ascii="Arial" w:cs="Arial" w:eastAsia="Arial" w:hAnsi="Arial"/>
          <w:sz w:val="17"/>
          <w:szCs w:val="17"/>
          <w:color w:val="auto"/>
        </w:rPr>
        <w:t>”).</w:t>
      </w:r>
    </w:p>
    <w:p>
      <w:pPr>
        <w:spacing w:after="0" w:line="162"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Seller’s Covenants.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Paragraph 11(x)(ii)</w:t>
      </w:r>
      <w:r>
        <w:rPr>
          <w:rFonts w:ascii="Arial" w:cs="Arial" w:eastAsia="Arial" w:hAnsi="Arial"/>
          <w:sz w:val="18"/>
          <w:szCs w:val="18"/>
          <w:color w:val="auto"/>
        </w:rPr>
        <w:t xml:space="preserve"> of the MRA is hereby amended in its entirety to read as follows:</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Minimum Adjusted Tangible Net Worth</w:t>
      </w:r>
      <w:r>
        <w:rPr>
          <w:rFonts w:ascii="Arial" w:cs="Arial" w:eastAsia="Arial" w:hAnsi="Arial"/>
          <w:sz w:val="18"/>
          <w:szCs w:val="18"/>
          <w:color w:val="auto"/>
        </w:rPr>
        <w:t>. Seller shall not permit the Adjusted Tangible Net Worth of Seller (and, if applicable, its Subsidiaries, on a consolidated basis), computed as of the end of each calendar month, to be less than $25,000,000.</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Paragraph 11(x)(viii)</w:t>
      </w:r>
      <w:r>
        <w:rPr>
          <w:rFonts w:ascii="Arial" w:cs="Arial" w:eastAsia="Arial" w:hAnsi="Arial"/>
          <w:sz w:val="18"/>
          <w:szCs w:val="18"/>
          <w:color w:val="auto"/>
        </w:rPr>
        <w:t xml:space="preserve"> of the MRA is hereby amended in its entirety to read as follows: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9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Commencing with the calendar quarter ending December 31, 2011, as of the end of each calendar quarter, Seller’s cumulative quarterly net income before taxes shall not be less than $1.00 for two consecutive calendar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amended to (i) replace “$20,000,000” with “$25,000,000” in Item II (the “Required Minimum Adjusted Tangible Net Worth”), and (ii) replace Item IX (Net Losses) with Item IX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IX.</w:t>
            </w:r>
          </w:p>
        </w:tc>
        <w:tc>
          <w:tcPr>
            <w:tcW w:w="698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(tested each calendar quarter commencing December 31, 2011)</w:t>
            </w: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Cumulative net income for calendar quarter</w:t>
            </w:r>
          </w:p>
        </w:tc>
        <w:tc>
          <w:tcPr>
            <w:tcW w:w="23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Cumulative net income for immediately preceding calendar</w:t>
            </w:r>
          </w:p>
        </w:tc>
        <w:tc>
          <w:tcPr>
            <w:tcW w:w="23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quarter</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Minimum required</w:t>
            </w:r>
          </w:p>
        </w:tc>
        <w:tc>
          <w:tcPr>
            <w:tcW w:w="2320" w:type="dxa"/>
            <w:vAlign w:val="bottom"/>
          </w:tcPr>
          <w:p>
            <w:pPr>
              <w:ind w:left="160"/>
              <w:spacing w:after="0"/>
              <w:rPr>
                <w:sz w:val="20"/>
                <w:szCs w:val="20"/>
                <w:color w:val="auto"/>
              </w:rPr>
            </w:pPr>
            <w:r>
              <w:rPr>
                <w:rFonts w:ascii="Arial" w:cs="Arial" w:eastAsia="Arial" w:hAnsi="Arial"/>
                <w:sz w:val="18"/>
                <w:szCs w:val="18"/>
                <w:color w:val="auto"/>
                <w:w w:val="89"/>
              </w:rPr>
              <w:t>Must be at least $1.00 for one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In compliance?</w:t>
            </w:r>
          </w:p>
        </w:tc>
        <w:tc>
          <w:tcPr>
            <w:tcW w:w="2320" w:type="dxa"/>
            <w:vAlign w:val="bottom"/>
          </w:tcPr>
          <w:p>
            <w:pPr>
              <w:ind w:left="160"/>
              <w:spacing w:after="0"/>
              <w:rPr>
                <w:sz w:val="20"/>
                <w:szCs w:val="20"/>
                <w:color w:val="auto"/>
              </w:rPr>
            </w:pPr>
            <w:r>
              <w:rPr>
                <w:rFonts w:ascii="Arial" w:cs="Arial" w:eastAsia="Arial" w:hAnsi="Arial"/>
                <w:sz w:val="18"/>
                <w:szCs w:val="18"/>
                <w:color w:val="auto"/>
              </w:rPr>
              <w:t>of the two quarters tested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o Yes o No</w:t>
            </w:r>
          </w:p>
        </w:tc>
        <w:tc>
          <w:tcPr>
            <w:tcW w:w="0" w:type="dxa"/>
            <w:vAlign w:val="bottom"/>
          </w:tcPr>
          <w:p>
            <w:pPr>
              <w:spacing w:after="0"/>
              <w:rPr>
                <w:sz w:val="1"/>
                <w:szCs w:val="1"/>
                <w:color w:val="auto"/>
              </w:rPr>
            </w:pPr>
          </w:p>
        </w:tc>
      </w:tr>
    </w:tbl>
    <w:p>
      <w:pPr>
        <w:sectPr>
          <w:pgSz w:w="11900" w:h="16857" w:orient="portrait"/>
          <w:cols w:equalWidth="0" w:num="1">
            <w:col w:w="11420"/>
          </w:cols>
          <w:pgMar w:left="240" w:top="364" w:right="239" w:bottom="0" w:gutter="0" w:footer="0" w:header="0"/>
        </w:sectPr>
      </w:pPr>
    </w:p>
    <w:bookmarkStart w:id="66" w:name="page67"/>
    <w:bookmarkEnd w:id="66"/>
    <w:p>
      <w:pPr>
        <w:jc w:val="center"/>
        <w:ind w:right="-122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amended hereby, the MRA remains in full force and effect, and the Parties hereby ratify and confirm it.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John Greene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430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Underwriter and Assistant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Rian Furey</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Rian Furey</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&amp; COO</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[Signature Page to Amendment No. 7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154940</wp:posOffset>
            </wp:positionV>
            <wp:extent cx="2975610"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756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 92618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Mr. Rian Furey</w:t>
      </w:r>
    </w:p>
    <w:p>
      <w:pPr>
        <w:sectPr>
          <w:pgSz w:w="11900" w:h="16838" w:orient="portrait"/>
          <w:cols w:equalWidth="0" w:num="1">
            <w:col w:w="11420"/>
          </w:cols>
          <w:pgMar w:left="240" w:top="364" w:right="239" w:bottom="680" w:gutter="0" w:footer="0" w:header="0"/>
        </w:sectPr>
      </w:pPr>
    </w:p>
    <w:p>
      <w:pPr>
        <w:spacing w:after="0" w:line="22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Master Repurchase Agreement, dated as of October 30, 2009, between JPMorgan Chase Bank, N.A., as Buyer, and Home Loan Center, Inc., as Seller and the related Side Letter of even date therewith</w:t>
      </w:r>
    </w:p>
    <w:p>
      <w:pPr>
        <w:spacing w:after="0" w:line="170" w:lineRule="exact"/>
        <w:rPr>
          <w:sz w:val="20"/>
          <w:szCs w:val="20"/>
          <w:color w:val="auto"/>
        </w:rPr>
      </w:pPr>
    </w:p>
    <w:p>
      <w:pPr>
        <w:sectPr>
          <w:pgSz w:w="11900" w:h="16838" w:orient="portrait"/>
          <w:cols w:equalWidth="0" w:num="2">
            <w:col w:w="800" w:space="420"/>
            <w:col w:w="10200"/>
          </w:cols>
          <w:pgMar w:left="240" w:top="364" w:right="239" w:bottom="68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letter (this “</w:t>
      </w:r>
      <w:r>
        <w:rPr>
          <w:rFonts w:ascii="Arial" w:cs="Arial" w:eastAsia="Arial" w:hAnsi="Arial"/>
          <w:sz w:val="17"/>
          <w:szCs w:val="17"/>
          <w:u w:val="single" w:color="auto"/>
          <w:color w:val="auto"/>
        </w:rPr>
        <w:t>Fifth Amendment to Side Letter</w:t>
      </w:r>
      <w:r>
        <w:rPr>
          <w:rFonts w:ascii="Arial" w:cs="Arial" w:eastAsia="Arial" w:hAnsi="Arial"/>
          <w:sz w:val="17"/>
          <w:szCs w:val="17"/>
          <w:color w:val="auto"/>
        </w:rPr>
        <w:t>”) amends, for the fifth time, the Side Letter dated October 30, 2009 (the “</w:t>
      </w:r>
      <w:r>
        <w:rPr>
          <w:rFonts w:ascii="Arial" w:cs="Arial" w:eastAsia="Arial" w:hAnsi="Arial"/>
          <w:sz w:val="17"/>
          <w:szCs w:val="17"/>
          <w:u w:val="single" w:color="auto"/>
          <w:color w:val="auto"/>
        </w:rPr>
        <w:t>Original Side Letter</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that was executed concurrently with the captioned Master Repurchase Agreement (as amended by Letter Agreement dated November 27, 2009,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 to Master Repurchase Agreement dated March 11, 2010, Amendment No. 2 to Master Repurchase Agreement dated March 11, 2010, Amendment No.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Master Repurchase Agreement dated July 22, 2010, Amendment No. 4 to Master Repurchase Agreement dated October 29, 2010, Amendment No. 5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Master Repurchase Agreement dated March 31, 2011, and Amendment No. 6 to Master Repurchase Agreement dated June 29, 2011,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Reference is here made to the Original Side Letter (as previously amended by Amendment No. 1 to Side Letter dated March 11,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to Side Letter dated October 29, 2010, the Third Amendment to Side Letter dated March 31, 2011, and the Fourth Amendment to 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 dated June 29, 2011, the “</w:t>
      </w:r>
      <w:r>
        <w:rPr>
          <w:rFonts w:ascii="Arial" w:cs="Arial" w:eastAsia="Arial" w:hAnsi="Arial"/>
          <w:sz w:val="16"/>
          <w:szCs w:val="16"/>
          <w:u w:val="single" w:color="auto"/>
          <w:color w:val="auto"/>
        </w:rPr>
        <w:t>Amended Side Letter</w:t>
      </w:r>
      <w:r>
        <w:rPr>
          <w:rFonts w:ascii="Arial" w:cs="Arial" w:eastAsia="Arial" w:hAnsi="Arial"/>
          <w:sz w:val="16"/>
          <w:szCs w:val="16"/>
          <w:color w:val="auto"/>
        </w:rPr>
        <w:t>” and as amended hereby, the “</w:t>
      </w:r>
      <w:r>
        <w:rPr>
          <w:rFonts w:ascii="Arial" w:cs="Arial" w:eastAsia="Arial" w:hAnsi="Arial"/>
          <w:sz w:val="16"/>
          <w:szCs w:val="16"/>
          <w:u w:val="single" w:color="auto"/>
          <w:color w:val="auto"/>
        </w:rPr>
        <w:t>Side Letter</w:t>
      </w:r>
      <w:r>
        <w:rPr>
          <w:rFonts w:ascii="Arial" w:cs="Arial" w:eastAsia="Arial" w:hAnsi="Arial"/>
          <w:sz w:val="16"/>
          <w:szCs w:val="16"/>
          <w:color w:val="auto"/>
        </w:rPr>
        <w:t>”) and the Agreement for all purposes.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Amended Side Letter or the Agreement and used but not defined differently in this Fifth Amendment to Side Letter have the same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 as in the Amended Side Letter and the Agreement.</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Seller has requested, and the Buyer has agreed to increase the Facility Amount. For good and valuable consideration received by each Party from the other Party, the receipt and sufficiency of which are hereby acknowledged, effective as of the date of this Fifth Amendment to Side Letter, Buyer and Seller hereby amend the Side Letter as follows:</w:t>
      </w:r>
    </w:p>
    <w:p>
      <w:pPr>
        <w:spacing w:after="0" w:line="181"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The text of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of the Amended Side Letter is amended to read as follows:</w:t>
      </w:r>
    </w:p>
    <w:p>
      <w:pPr>
        <w:spacing w:after="0" w:line="225" w:lineRule="exact"/>
        <w:rPr>
          <w:sz w:val="20"/>
          <w:szCs w:val="20"/>
          <w:color w:val="auto"/>
        </w:rPr>
      </w:pPr>
    </w:p>
    <w:p>
      <w:pPr>
        <w:ind w:left="660" w:right="700" w:firstLine="648"/>
        <w:spacing w:after="0" w:line="277" w:lineRule="auto"/>
        <w:rPr>
          <w:sz w:val="20"/>
          <w:szCs w:val="20"/>
          <w:color w:val="auto"/>
        </w:rPr>
      </w:pPr>
      <w:r>
        <w:rPr>
          <w:rFonts w:ascii="Arial" w:cs="Arial" w:eastAsia="Arial" w:hAnsi="Arial"/>
          <w:sz w:val="18"/>
          <w:szCs w:val="18"/>
          <w:color w:val="auto"/>
        </w:rPr>
        <w:t>Subject to the terms and conditions set forth in the Agreement, Buyer agrees to enter into Transactions from time to time under the Agreement, as supplemented by this Side Letter, with respect to Eligible Mortgage Loans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a maximum aggregate Purchase Price outstanding at any one time of One Hundred Twenty-Five Million Dollars ($125,000,000) during the period from the date hereof until the Termination Date (such maximum amount applicable from time to time as aforesaid, the “</w:t>
      </w:r>
      <w:r>
        <w:rPr>
          <w:rFonts w:ascii="Arial" w:cs="Arial" w:eastAsia="Arial" w:hAnsi="Arial"/>
          <w:sz w:val="16"/>
          <w:szCs w:val="16"/>
          <w:u w:val="single" w:color="auto"/>
          <w:color w:val="auto"/>
        </w:rPr>
        <w:t>Facility Amount</w:t>
      </w:r>
      <w:r>
        <w:rPr>
          <w:rFonts w:ascii="Arial" w:cs="Arial" w:eastAsia="Arial" w:hAnsi="Arial"/>
          <w:sz w:val="16"/>
          <w:szCs w:val="16"/>
          <w:color w:val="auto"/>
        </w:rPr>
        <w:t>”).</w:t>
      </w:r>
    </w:p>
    <w:p>
      <w:pPr>
        <w:spacing w:after="0" w:line="124" w:lineRule="exact"/>
        <w:rPr>
          <w:sz w:val="20"/>
          <w:szCs w:val="20"/>
          <w:color w:val="auto"/>
        </w:rPr>
      </w:pPr>
    </w:p>
    <w:p>
      <w:pPr>
        <w:ind w:left="660" w:right="40" w:firstLine="648"/>
        <w:spacing w:after="0" w:line="302" w:lineRule="auto"/>
        <w:rPr>
          <w:sz w:val="20"/>
          <w:szCs w:val="20"/>
          <w:color w:val="auto"/>
        </w:rPr>
      </w:pPr>
      <w:r>
        <w:rPr>
          <w:rFonts w:ascii="Arial" w:cs="Arial" w:eastAsia="Arial" w:hAnsi="Arial"/>
          <w:sz w:val="16"/>
          <w:szCs w:val="16"/>
          <w:color w:val="auto"/>
        </w:rPr>
        <w:t>The Parties further agree that they may increase or decrease the Facility Amount to any amount from time to time in the future by executing a letter agreement stating the new Facility Amount and the period of time that it will be in effect. If the Facility Amount is so increased at any time or times, it shall be a condition precedent to each such increase’s becoming effective that the Seller first increase the deposit balance in the Cash Pledge Account to the Required Amount (determined in accordance with Paragraph 5(b) of the Agreement) for such increased Facility Amount.</w:t>
      </w:r>
    </w:p>
    <w:p>
      <w:pPr>
        <w:spacing w:after="0" w:line="154" w:lineRule="exact"/>
        <w:rPr>
          <w:sz w:val="20"/>
          <w:szCs w:val="20"/>
          <w:color w:val="auto"/>
        </w:rPr>
      </w:pPr>
    </w:p>
    <w:p>
      <w:pPr>
        <w:ind w:left="660" w:right="20" w:firstLine="648"/>
        <w:spacing w:after="0" w:line="255" w:lineRule="auto"/>
        <w:rPr>
          <w:sz w:val="20"/>
          <w:szCs w:val="20"/>
          <w:color w:val="auto"/>
        </w:rPr>
      </w:pPr>
      <w:r>
        <w:rPr>
          <w:rFonts w:ascii="Arial" w:cs="Arial" w:eastAsia="Arial" w:hAnsi="Arial"/>
          <w:sz w:val="18"/>
          <w:szCs w:val="18"/>
          <w:color w:val="auto"/>
        </w:rPr>
        <w:t>At the time of any reduction in the Facility Amount, whether pursuant to a letter agreement decreasing the Facility Amount or because the time limit for any increase in the Facility Amount shall have expired, Seller shall be obligated, without notice or demand, to make a cash payment to Buyer in an amount equal to the excess of the Aggregate Purchase Price over the reduced Facility Amount, to be applied by Buyer to reduce the Repurchase Prices of Purchased Mortgage Loans that are then subject to outstanding Transactions. The Guaranties shall not be reduced, limited, canceled, terminated or impaired in any way by any such future change in the Facility Amount, whether or not the Guarantors concurrently execute a confirmation of the Guaranties.</w:t>
      </w:r>
    </w:p>
    <w:p>
      <w:pPr>
        <w:spacing w:after="0" w:line="193"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Pricing Rate</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the Side letter is amended to read as follows:</w:t>
      </w:r>
    </w:p>
    <w:p>
      <w:pPr>
        <w:spacing w:after="0" w:line="225" w:lineRule="exact"/>
        <w:rPr>
          <w:sz w:val="20"/>
          <w:szCs w:val="20"/>
          <w:color w:val="auto"/>
        </w:rPr>
      </w:pPr>
    </w:p>
    <w:p>
      <w:pPr>
        <w:ind w:left="660" w:right="100" w:firstLine="648"/>
        <w:spacing w:after="0" w:line="259" w:lineRule="auto"/>
        <w:rPr>
          <w:sz w:val="20"/>
          <w:szCs w:val="20"/>
          <w:color w:val="auto"/>
        </w:rPr>
      </w:pPr>
      <w:r>
        <w:rPr>
          <w:rFonts w:ascii="Arial" w:cs="Arial" w:eastAsia="Arial" w:hAnsi="Arial"/>
          <w:sz w:val="18"/>
          <w:szCs w:val="18"/>
          <w:color w:val="auto"/>
        </w:rPr>
        <w:t>For purposes of the Agreement and all other Transaction Documents, “Pricing Rate” means for any Purchased Mortgage Loan as of any date of determination, the following respective rates or if Buyer shall in Buyer’s sole discretion elect from time to time to give Seller a notice specifying lower Pricing Rate(s) for a specified time period, such lower Pricing Rate(s) specified in such notice for the time period specified in such notice:</w:t>
      </w:r>
    </w:p>
    <w:p>
      <w:pPr>
        <w:spacing w:after="0" w:line="187" w:lineRule="exact"/>
        <w:rPr>
          <w:sz w:val="20"/>
          <w:szCs w:val="20"/>
          <w:color w:val="auto"/>
        </w:rPr>
      </w:pPr>
    </w:p>
    <w:p>
      <w:pPr>
        <w:ind w:left="660" w:right="180" w:firstLine="645"/>
        <w:spacing w:after="0" w:line="277"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any CL Loan, the per annum percentage rate equal to the sum of (i) the greater of the Adjusted LIBOR Rate for such day and two percent (2.00%) and (ii) one and one-half percent (1.50%);</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any CL Jumbo Loan, the per annum percentage rate equal to the sum of (i) the greater of the Adjusted LIBOR Rate for such day and two percent (2.00%) and (ii) one and three-fourths percent (1.75%);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680" w:gutter="0" w:footer="0" w:header="0"/>
          <w:type w:val="continuous"/>
        </w:sectPr>
      </w:pPr>
    </w:p>
    <w:bookmarkStart w:id="68" w:name="page69"/>
    <w:bookmarkEnd w:id="68"/>
    <w:p>
      <w:pPr>
        <w:ind w:left="660" w:right="160" w:firstLine="645"/>
        <w:spacing w:after="0" w:line="277" w:lineRule="auto"/>
        <w:tabs>
          <w:tab w:leader="none" w:pos="19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any other Eligible Mortgage Loan, the per annum percentage rate equal to the sum of (i) the greater of the Adjusted LIBOR Rate for such day and two percent (2.00%) and (ii) one and one-half percent (1.50%).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definitions of “Adjusted LIBOR Rate”, “LIBOR Rate” and “Statutory Reserve Rate” set forth in Paragraph 3 of the Side Letter are not hereby amended and continue to be defined as set forth in Paragraph 3 of the Side Letter.</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any other provision of this Fifth Amendment to Side Letter, the amendment of the Amended Side Letter provided for above shall not become effective until (i) the Parties have executed and delivered this Fifth Amendment to Side Letter, and (ii) the Guarantors have executed a confirmation of the Guaranties in form and substance acceptable to Buyer. Such amendment shall become effective automatically upon the last to occur of the two events described in clauses (i) and (ii) of the immediately preceding sentence.</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Parties hereby ratify and confirm the Agreement and, as further amended hereby, the Amended Side Letter, to be in full force and effect.</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Please confirm our mutual agreement as set forth herein and acknowledge receipt of this Fifth Amendment to Side Letter by executing the enclosed copy of this letter and returning it to JPMorgan Chase Bank, N.A., 712 Main Street,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Houston, Texas 77002, Attention: John Greene (email john.r.greene@jpmchase.com or fax (713) 216-2818). If you have any questions concerning this matter, please contact me by email, or by phone at (713) 216-0255.</w:t>
      </w:r>
    </w:p>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Buyer</w:t>
      </w:r>
    </w:p>
    <w:p>
      <w:pPr>
        <w:spacing w:after="0" w:line="211"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Greene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Underwriter and Assistant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ACKNOWLEDGED: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Seller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Rian Furey</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Rian Furey</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and COO</w:t>
            </w: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154940</wp:posOffset>
            </wp:positionV>
            <wp:extent cx="2624455" cy="574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24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MASTER REPURCHASE AGREEMENT</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AMENDMENT NO. 2 (the “Amendment”) is made and entered into as of November 1, 2011 by and between Bank of America, N.A. (“Buyer”) and Home Loan Center, Inc. (“Seller”). This Amendment amends and clarifies that certain Master Repurchase Agreement between Buyer and Seller dated May 1, 2009 (as may be amended from time to time, the “Repurchase Agreement”). Capitalized terms used and not otherwise defined herein shall have the meanings ascribed to such terms in the Repurchase Agreement.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Pursuant to the Repurchase Agreement, Buyer and Seller have agreed to engage in Transactions whereby Seller may, from time to time, sell to Buyer certain residential Mortgage Loans (including the servicing rights related thereto) and/or other mortgage related assets and interests, against the transfer of funds by Buyer, with a simultaneous agreement by Buyer to sell to Seller such Purchased Assets at a date certain or on demand, against the transfer of funds by Seller. Buyer and Seller hereby agree that the Repurchase Agreement shall be amended as provided herein.</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consideration of the mutual promises contained herein, and for other good and valuable consideration, the receipt and sufficiency of which are hereby acknowledged, Buyer and Seller hereby agree as follows:</w:t>
      </w:r>
    </w:p>
    <w:p>
      <w:pPr>
        <w:spacing w:after="0" w:line="166" w:lineRule="exact"/>
        <w:rPr>
          <w:sz w:val="20"/>
          <w:szCs w:val="20"/>
          <w:color w:val="auto"/>
        </w:rPr>
      </w:pPr>
    </w:p>
    <w:p>
      <w:pPr>
        <w:ind w:left="660" w:right="1180" w:hanging="652"/>
        <w:spacing w:after="0" w:line="503" w:lineRule="auto"/>
        <w:tabs>
          <w:tab w:leader="none" w:pos="67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13.2 - Termination</w:t>
      </w:r>
      <w:r>
        <w:rPr>
          <w:rFonts w:ascii="Arial" w:cs="Arial" w:eastAsia="Arial" w:hAnsi="Arial"/>
          <w:sz w:val="18"/>
          <w:szCs w:val="18"/>
          <w:color w:val="auto"/>
        </w:rPr>
        <w:t>. Buyer and Seller agree that Section 13.2 shall be deleted in its entirety and replaced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“13.2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ind w:left="1960" w:right="60" w:hanging="655"/>
        <w:spacing w:after="0" w:line="287" w:lineRule="auto"/>
        <w:tabs>
          <w:tab w:leader="none" w:pos="19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Buyer may, with or without cause, terminate this Agreement at any time by providing notice to Seller. Seller acknowledges and understands that Buyer is under no obligation whatsoever to continue the term of this Agreement for any period of time and may terminate this Agreement at any time for any reason. By way of example but not limitation, Buyer may immediately terminate this Agreement by providing notice to Seller if (i) this Agreement or any Transaction is deemed by a court or by statute to not constitute a “repurchase agreement,” a “securities contract,” or a “master netting agreement,” as each such term is defined in the Bankruptcy Code, (ii) payments or security offered hereunder are deemed by a court or by statute not to constitute “settlement payments” or “margin payments” as each such term is defined in the Bankruptcy Code, (iii) this Agreement or any Transaction is deemed by a court or by statute not to constitute an agreement to provide financial accommodations as described in Bankruptcy Code Section 365(c)(1) or (iv) Buyer determines that there has been fraud, misrepresentation or any similar intentional conduct on behalf of Seller, its officers, directors, employees, agents and/or its representatives with respect to any of Seller’s obligations, responsibilities or actions undertaken in connection with this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1960" w:right="100" w:hanging="655"/>
        <w:spacing w:after="0" w:line="254" w:lineRule="auto"/>
        <w:tabs>
          <w:tab w:leader="none" w:pos="1967"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for any reason, all outstanding amounts due to Buyer under the Principal Agreements shall be immediately due and payable without notice to Seller and without presentment, demand, protest, notice of protest or dishonor, or other notice of default, and without formally placing Seller in default, all of which are hereby expressly waived by Seller. Further, any termination of this Agreement shall not affect the outstanding obligations of Seller under this Agreement and all such outstanding obligations and the rights and remedies afforded Buyer in connection therewith, including, without limitation, those rights and remedies afforded Buyer under this Agreement, shall survive any termination of this Agreement. Buyer shall not be liable to Seller for any costs, loss or damages arising from or relating to a termination by Buyer in accordance with any subsection of this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40" w:hanging="652"/>
        <w:spacing w:after="0" w:line="347" w:lineRule="auto"/>
        <w:tabs>
          <w:tab w:leader="none" w:pos="673"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No Other Amendments</w:t>
      </w:r>
      <w:r>
        <w:rPr>
          <w:rFonts w:ascii="Arial" w:cs="Arial" w:eastAsia="Arial" w:hAnsi="Arial"/>
          <w:sz w:val="16"/>
          <w:szCs w:val="16"/>
          <w:color w:val="auto"/>
        </w:rPr>
        <w:t>. Other than as expressly clarified, modified and amended herein, the Repurchase Agreement shall remain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and nothing herein shall affect the rights, remedies and obligations of the parties as provided under the Repurchase Agreement.</w:t>
      </w:r>
    </w:p>
    <w:p>
      <w:pPr>
        <w:spacing w:after="0" w:line="116" w:lineRule="exact"/>
        <w:rPr>
          <w:rFonts w:ascii="Arial" w:cs="Arial" w:eastAsia="Arial" w:hAnsi="Arial"/>
          <w:sz w:val="16"/>
          <w:szCs w:val="16"/>
          <w:color w:val="auto"/>
        </w:rPr>
      </w:pPr>
    </w:p>
    <w:p>
      <w:pPr>
        <w:ind w:left="660" w:right="740" w:hanging="652"/>
        <w:spacing w:after="0" w:line="282" w:lineRule="auto"/>
        <w:tabs>
          <w:tab w:leader="none" w:pos="67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Any capitalized term used herein and not otherwise defined herein shall have the meaning ascribed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Facsimiles</w:t>
      </w:r>
      <w:r>
        <w:rPr>
          <w:rFonts w:ascii="Arial" w:cs="Arial" w:eastAsia="Arial" w:hAnsi="Arial"/>
          <w:sz w:val="18"/>
          <w:szCs w:val="18"/>
          <w:color w:val="auto"/>
        </w:rPr>
        <w:t>. Facsimile signatures shall be deemed valid and binding to the same extent as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Buyer and Seller have caused their names to be signed hereto by their respective officers thereunto duly authorized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w:t>
            </w: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HOME LOAN CENTER, INC.</w:t>
            </w:r>
          </w:p>
        </w:tc>
        <w:tc>
          <w:tcPr>
            <w:tcW w:w="40" w:type="dxa"/>
            <w:vAlign w:val="bottom"/>
          </w:tcPr>
          <w:p>
            <w:pPr>
              <w:spacing w:after="0"/>
              <w:rPr>
                <w:sz w:val="20"/>
                <w:szCs w:val="20"/>
                <w:color w:val="auto"/>
              </w:rPr>
            </w:pP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780" w:type="dxa"/>
            <w:vAlign w:val="bottom"/>
            <w:gridSpan w:val="2"/>
          </w:tcPr>
          <w:p>
            <w:pPr>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4"/>
                <w:szCs w:val="24"/>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4"/>
                <w:szCs w:val="24"/>
                <w:color w:val="auto"/>
              </w:rPr>
            </w:pPr>
          </w:p>
        </w:tc>
      </w:tr>
      <w:tr>
        <w:trPr>
          <w:trHeight w:val="348"/>
        </w:trPr>
        <w:tc>
          <w:tcPr>
            <w:tcW w:w="68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154940</wp:posOffset>
            </wp:positionV>
            <wp:extent cx="2830195" cy="6172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01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4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TRANSACTIONS TERMS LETTER</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AMENDMENT NO. 4 TO TRANSACTIONS TERMS LETTER (the “Amendment”) is made and entered into as of November 1, 2011 by and between Bank of America, N.A. (“Buyer”) and Home Loan Center, Inc. (“Seller”). This Amendment amends that certain Transactions Terms Letter by and between Buyer and Seller dated as of June 30, 2010 (the “Transactions Terms Letter”), which supplements that certain Master Repurchase Agreement by and between Buyer and Seller dated as of May 1, 2009 (as may be amended from time to time, the “Agreement”).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Buyer and Seller have previously entered into the Transactions Terms Letter and Agreement pursuant to which Buyer may, from time to time, purchase certain mortgage loans from Seller and Seller agrees to sell certain mortgage loans to Buyer under a master repurchase facility. Buyer and Seller hereby agree that the Transactions Terms Letter shall be amended as provided herein.</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consideration of the mutual promises contained herein, and for other good and valuable consideration, the receipt and sufficiency of which are hereby acknowledged, Buyer and Seller hereby agree as follows:</w:t>
      </w:r>
    </w:p>
    <w:p>
      <w:pPr>
        <w:spacing w:after="0" w:line="166" w:lineRule="exact"/>
        <w:rPr>
          <w:sz w:val="20"/>
          <w:szCs w:val="20"/>
          <w:color w:val="auto"/>
        </w:rPr>
      </w:pPr>
    </w:p>
    <w:p>
      <w:pPr>
        <w:ind w:left="660" w:right="200" w:hanging="652"/>
        <w:spacing w:after="0" w:line="282" w:lineRule="auto"/>
        <w:tabs>
          <w:tab w:leader="none" w:pos="673"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Buyer and Seller agree that the Expiration Date set forth within the Transactions Terms Letter shall be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ectPr>
          <w:pgSz w:w="11900" w:h="16838" w:orient="portrait"/>
          <w:cols w:equalWidth="0" w:num="1">
            <w:col w:w="11460"/>
          </w:cols>
          <w:pgMar w:left="240" w:top="364" w:right="199" w:bottom="0" w:gutter="0" w:footer="0" w:header="0"/>
        </w:sectPr>
      </w:pP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earlier of (i) the Closing Date, as defined in Section 4.1 of that certain Asset Purchase Agreement by and among Tree.com, Inc, Home Loan Center, Inc., LendingTree, LLC and HLC Escrow, Inc. and Discover Bank, dated May 12, 2011, or (ii) January 30, 2012 (the “Extension”), at which time the Agreement will expire. Notwithstanding anything to the contrary in the Agreement, following the expiration date of such Extension, all indebtedness due Buyer under the Principal Agreements shall be immediately due and payable without notice to Seller and without presentment, demand, protest, notice of protest or dishonor, all of which are hereby expressly waived by Seller.”</w:t>
      </w:r>
    </w:p>
    <w:p>
      <w:pPr>
        <w:spacing w:after="0" w:line="174" w:lineRule="exact"/>
        <w:rPr>
          <w:sz w:val="20"/>
          <w:szCs w:val="20"/>
          <w:color w:val="auto"/>
        </w:rPr>
      </w:pPr>
    </w:p>
    <w:p>
      <w:pPr>
        <w:sectPr>
          <w:pgSz w:w="11900" w:h="16838" w:orient="portrait"/>
          <w:cols w:equalWidth="0" w:num="2">
            <w:col w:w="2960" w:space="720"/>
            <w:col w:w="7780"/>
          </w:cols>
          <w:pgMar w:left="240" w:top="364" w:right="199" w:bottom="0" w:gutter="0" w:footer="0" w:header="0"/>
          <w:type w:val="continuous"/>
        </w:sectPr>
      </w:pPr>
    </w:p>
    <w:p>
      <w:pPr>
        <w:ind w:left="660" w:right="980" w:hanging="652"/>
        <w:spacing w:after="0" w:line="282" w:lineRule="auto"/>
        <w:tabs>
          <w:tab w:leader="none" w:pos="673"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Over/Under Account Balance</w:t>
      </w:r>
      <w:r>
        <w:rPr>
          <w:rFonts w:ascii="Arial" w:cs="Arial" w:eastAsia="Arial" w:hAnsi="Arial"/>
          <w:sz w:val="18"/>
          <w:szCs w:val="18"/>
          <w:color w:val="auto"/>
        </w:rPr>
        <w:t>. Buyer and Seller agree that the Minimum Over/Under Account Balance set forth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Terms Letter shall be deleted in its entirety and replaced with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ind w:left="640"/>
              <w:spacing w:after="0"/>
              <w:rPr>
                <w:sz w:val="20"/>
                <w:szCs w:val="20"/>
                <w:color w:val="auto"/>
              </w:rPr>
            </w:pPr>
            <w:r>
              <w:rPr>
                <w:rFonts w:ascii="Arial" w:cs="Arial" w:eastAsia="Arial" w:hAnsi="Arial"/>
                <w:sz w:val="18"/>
                <w:szCs w:val="18"/>
                <w:color w:val="auto"/>
              </w:rPr>
              <w:t>“Minimum Over/Under</w:t>
            </w:r>
          </w:p>
        </w:tc>
        <w:tc>
          <w:tcPr>
            <w:tcW w:w="8440" w:type="dxa"/>
            <w:vAlign w:val="bottom"/>
          </w:tcPr>
          <w:p>
            <w:pPr>
              <w:spacing w:after="0"/>
              <w:rPr>
                <w:sz w:val="18"/>
                <w:szCs w:val="18"/>
                <w:color w:val="auto"/>
              </w:rPr>
            </w:pPr>
          </w:p>
        </w:tc>
      </w:tr>
      <w:tr>
        <w:trPr>
          <w:trHeight w:val="230"/>
        </w:trPr>
        <w:tc>
          <w:tcPr>
            <w:tcW w:w="3020" w:type="dxa"/>
            <w:vAlign w:val="bottom"/>
          </w:tcPr>
          <w:p>
            <w:pPr>
              <w:ind w:left="640"/>
              <w:spacing w:after="0"/>
              <w:rPr>
                <w:sz w:val="20"/>
                <w:szCs w:val="20"/>
                <w:color w:val="auto"/>
              </w:rPr>
            </w:pPr>
            <w:r>
              <w:rPr>
                <w:rFonts w:ascii="Arial" w:cs="Arial" w:eastAsia="Arial" w:hAnsi="Arial"/>
                <w:sz w:val="18"/>
                <w:szCs w:val="18"/>
                <w:color w:val="auto"/>
              </w:rPr>
              <w:t>Account Balance:</w:t>
            </w:r>
          </w:p>
        </w:tc>
        <w:tc>
          <w:tcPr>
            <w:tcW w:w="8440" w:type="dxa"/>
            <w:vAlign w:val="bottom"/>
          </w:tcPr>
          <w:p>
            <w:pPr>
              <w:ind w:left="700"/>
              <w:spacing w:after="0"/>
              <w:rPr>
                <w:sz w:val="20"/>
                <w:szCs w:val="20"/>
                <w:color w:val="auto"/>
              </w:rPr>
            </w:pPr>
            <w:r>
              <w:rPr>
                <w:rFonts w:ascii="Arial" w:cs="Arial" w:eastAsia="Arial" w:hAnsi="Arial"/>
                <w:sz w:val="18"/>
                <w:szCs w:val="18"/>
                <w:color w:val="auto"/>
              </w:rPr>
              <w:t>$2,250,000.</w:t>
            </w:r>
          </w:p>
        </w:tc>
      </w:tr>
      <w:tr>
        <w:trPr>
          <w:trHeight w:val="418"/>
        </w:trPr>
        <w:tc>
          <w:tcPr>
            <w:tcW w:w="3020" w:type="dxa"/>
            <w:vAlign w:val="bottom"/>
          </w:tcPr>
          <w:p>
            <w:pPr>
              <w:spacing w:after="0"/>
              <w:rPr>
                <w:sz w:val="24"/>
                <w:szCs w:val="24"/>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5"/>
              </w:rPr>
              <w:t>Seller to be entitled to interest on a monthly basis thereon at an annual rate of LIBOR plus the Type A</w:t>
            </w:r>
          </w:p>
        </w:tc>
      </w:tr>
      <w:tr>
        <w:trPr>
          <w:trHeight w:val="216"/>
        </w:trPr>
        <w:tc>
          <w:tcPr>
            <w:tcW w:w="30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4"/>
              </w:rPr>
              <w:t>Margin over 30 day LIBOR spread on the positive monthly average Over/Under Balance for the portion</w:t>
            </w:r>
          </w:p>
        </w:tc>
      </w:tr>
      <w:tr>
        <w:trPr>
          <w:trHeight w:val="216"/>
        </w:trPr>
        <w:tc>
          <w:tcPr>
            <w:tcW w:w="30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4"/>
              </w:rPr>
              <w:t>that is equal to or less than 20% of the average monthly outstanding Transactions for such month and;</w:t>
            </w:r>
          </w:p>
        </w:tc>
      </w:tr>
      <w:tr>
        <w:trPr>
          <w:trHeight w:val="216"/>
        </w:trPr>
        <w:tc>
          <w:tcPr>
            <w:tcW w:w="30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7"/>
              </w:rPr>
              <w:t>Seller to be entitled to interest on a monthly basis at an annual rate of LIBOR minus twenty-five (25)</w:t>
            </w:r>
          </w:p>
        </w:tc>
      </w:tr>
      <w:tr>
        <w:trPr>
          <w:trHeight w:val="216"/>
        </w:trPr>
        <w:tc>
          <w:tcPr>
            <w:tcW w:w="30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4"/>
              </w:rPr>
              <w:t>basis points (0.25%) on the remaining portion of the positive monthly average Over/Under Balance that</w:t>
            </w:r>
          </w:p>
        </w:tc>
      </w:tr>
      <w:tr>
        <w:trPr>
          <w:trHeight w:val="216"/>
        </w:trPr>
        <w:tc>
          <w:tcPr>
            <w:tcW w:w="30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w w:val="94"/>
              </w:rPr>
              <w:t>is greater than 20% but less than or equal to 75% of the average monthly outstanding Transactions for</w:t>
            </w:r>
          </w:p>
        </w:tc>
      </w:tr>
      <w:tr>
        <w:trPr>
          <w:trHeight w:val="230"/>
        </w:trPr>
        <w:tc>
          <w:tcPr>
            <w:tcW w:w="3020" w:type="dxa"/>
            <w:vAlign w:val="bottom"/>
          </w:tcPr>
          <w:p>
            <w:pPr>
              <w:spacing w:after="0"/>
              <w:rPr>
                <w:sz w:val="20"/>
                <w:szCs w:val="20"/>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such month. For the purpose of this calculation, average outstanding</w:t>
            </w:r>
          </w:p>
        </w:tc>
      </w:tr>
      <w:tr>
        <w:trPr>
          <w:trHeight w:val="348"/>
        </w:trPr>
        <w:tc>
          <w:tcPr>
            <w:tcW w:w="3020" w:type="dxa"/>
            <w:vAlign w:val="bottom"/>
            <w:tcBorders>
              <w:bottom w:val="single" w:sz="8" w:color="010101"/>
            </w:tcBorders>
          </w:tcPr>
          <w:p>
            <w:pPr>
              <w:spacing w:after="0"/>
              <w:rPr>
                <w:sz w:val="24"/>
                <w:szCs w:val="24"/>
                <w:color w:val="auto"/>
              </w:rPr>
            </w:pPr>
          </w:p>
        </w:tc>
        <w:tc>
          <w:tcPr>
            <w:tcW w:w="84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3720" w:right="300"/>
        <w:spacing w:after="0" w:line="264" w:lineRule="auto"/>
        <w:rPr>
          <w:sz w:val="20"/>
          <w:szCs w:val="20"/>
          <w:color w:val="auto"/>
        </w:rPr>
      </w:pPr>
      <w:r>
        <w:rPr>
          <w:rFonts w:ascii="Arial" w:cs="Arial" w:eastAsia="Arial" w:hAnsi="Arial"/>
          <w:sz w:val="18"/>
          <w:szCs w:val="18"/>
          <w:color w:val="auto"/>
        </w:rPr>
        <w:t>Transactions shall include EPP Loans under Seller’s EPP Addendum with Buyer. “LIBOR” shall mean the greater of (i) the daily rate per annum for one-month U.S. dollar denominated deposits as offered to prime banks in the London interbank market or (ii) 2%, as applicable.”</w:t>
      </w:r>
    </w:p>
    <w:p>
      <w:pPr>
        <w:spacing w:after="0" w:line="177" w:lineRule="exact"/>
        <w:rPr>
          <w:sz w:val="20"/>
          <w:szCs w:val="20"/>
          <w:color w:val="auto"/>
        </w:rPr>
      </w:pPr>
    </w:p>
    <w:p>
      <w:pPr>
        <w:ind w:left="660" w:right="440" w:hanging="652"/>
        <w:spacing w:after="0" w:line="282" w:lineRule="auto"/>
        <w:tabs>
          <w:tab w:leader="none" w:pos="673"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Covenants</w:t>
      </w:r>
      <w:r>
        <w:rPr>
          <w:rFonts w:ascii="Arial" w:cs="Arial" w:eastAsia="Arial" w:hAnsi="Arial"/>
          <w:sz w:val="18"/>
          <w:szCs w:val="18"/>
          <w:color w:val="auto"/>
        </w:rPr>
        <w:t>. Buyer and Seller agree that the Financial Covenants set forth within the Transactions Terms Letter shall be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replaced with the following:</w:t>
      </w:r>
    </w:p>
    <w:p>
      <w:pPr>
        <w:spacing w:after="0" w:line="1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25" w:lineRule="exact"/>
        <w:rPr>
          <w:rFonts w:ascii="Arial" w:cs="Arial" w:eastAsia="Arial" w:hAnsi="Arial"/>
          <w:sz w:val="18"/>
          <w:szCs w:val="18"/>
          <w:color w:val="auto"/>
        </w:rPr>
      </w:pPr>
    </w:p>
    <w:p>
      <w:pPr>
        <w:ind w:left="4360" w:hanging="649"/>
        <w:spacing w:after="0"/>
        <w:tabs>
          <w:tab w:leader="none" w:pos="4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Minimum Tangible Net Worth (calculated per HUD guidelines): $25,000,000.</w:t>
      </w:r>
    </w:p>
    <w:p>
      <w:pPr>
        <w:spacing w:after="0" w:line="225" w:lineRule="exact"/>
        <w:rPr>
          <w:rFonts w:ascii="Arial" w:cs="Arial" w:eastAsia="Arial" w:hAnsi="Arial"/>
          <w:sz w:val="18"/>
          <w:szCs w:val="18"/>
          <w:color w:val="auto"/>
        </w:rPr>
      </w:pPr>
    </w:p>
    <w:p>
      <w:pPr>
        <w:ind w:left="4360" w:right="260" w:hanging="649"/>
        <w:spacing w:after="0" w:line="289" w:lineRule="auto"/>
        <w:tabs>
          <w:tab w:leader="none" w:pos="43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Minimum Liquidity: Seller to maintain unrestricted cash or unrestricted Cash Equivalents in a minimum amount equal to 40% of Seller’s Tangible Net Worth, inclusive of the Over/Under Account Balance and Available Warehouse Capacity. By way of example but not limitation, cash in escrow and/or impound accounts shall not be included in this calculation. “Available Warehouse Capacity” shall mean, the sum of (i) unused capacity under existing warehouse and repurchase facilities between Seller and Buyer or any of its Affiliates and (ii) unused capacity under existing committed warehouse and repurchase facilities between Seller and any Person (other than Buyer or any of its Affiliates), where Seller has, in each case, unencumbered collateral that can be pledged in transactions thereunder.</w:t>
      </w:r>
    </w:p>
    <w:p>
      <w:pPr>
        <w:spacing w:after="0" w:line="166" w:lineRule="exact"/>
        <w:rPr>
          <w:rFonts w:ascii="Arial" w:cs="Arial" w:eastAsia="Arial" w:hAnsi="Arial"/>
          <w:sz w:val="16"/>
          <w:szCs w:val="16"/>
          <w:color w:val="auto"/>
        </w:rPr>
      </w:pPr>
    </w:p>
    <w:p>
      <w:pPr>
        <w:ind w:left="4360" w:hanging="649"/>
        <w:spacing w:after="0"/>
        <w:tabs>
          <w:tab w:leader="none" w:pos="43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Seller to maintain a minimum of $10,000,000 in unrestricted cash at all times, inclusive of the</w:t>
      </w:r>
    </w:p>
    <w:p>
      <w:pPr>
        <w:sectPr>
          <w:pgSz w:w="11900" w:h="16838" w:orient="portrait"/>
          <w:cols w:equalWidth="0" w:num="1">
            <w:col w:w="11460"/>
          </w:cols>
          <w:pgMar w:left="240" w:top="364" w:right="199" w:bottom="0" w:gutter="0" w:footer="0" w:header="0"/>
          <w:type w:val="continuous"/>
        </w:sectPr>
      </w:pPr>
    </w:p>
    <w:bookmarkStart w:id="72" w:name="page73"/>
    <w:bookmarkEnd w:id="72"/>
    <w:p>
      <w:pPr>
        <w:ind w:left="4360"/>
        <w:spacing w:after="0"/>
        <w:rPr>
          <w:sz w:val="20"/>
          <w:szCs w:val="20"/>
          <w:color w:val="auto"/>
        </w:rPr>
      </w:pPr>
      <w:r>
        <w:rPr>
          <w:rFonts w:ascii="Arial" w:cs="Arial" w:eastAsia="Arial" w:hAnsi="Arial"/>
          <w:sz w:val="18"/>
          <w:szCs w:val="18"/>
          <w:color w:val="auto"/>
        </w:rPr>
        <w:t>Over/Under Account Balance.</w:t>
      </w:r>
    </w:p>
    <w:p>
      <w:pPr>
        <w:spacing w:after="0" w:line="225" w:lineRule="exact"/>
        <w:rPr>
          <w:sz w:val="20"/>
          <w:szCs w:val="20"/>
          <w:color w:val="auto"/>
        </w:rPr>
      </w:pPr>
    </w:p>
    <w:p>
      <w:pPr>
        <w:ind w:left="4360" w:right="360" w:hanging="649"/>
        <w:spacing w:after="0" w:line="312" w:lineRule="auto"/>
        <w:tabs>
          <w:tab w:leader="none" w:pos="43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Maximum ratio of Total Liabilities and Warehouse Credit (Warehouse Credit is inclusive of outstandings on warehouse lines, repurchase facilities or other off balance sheet financing) to Tangible Net Worth: 8:1. (excluding the Early Purchase Program with Buyer)</w:t>
      </w:r>
    </w:p>
    <w:p>
      <w:pPr>
        <w:spacing w:after="0" w:line="146" w:lineRule="exact"/>
        <w:rPr>
          <w:rFonts w:ascii="Arial" w:cs="Arial" w:eastAsia="Arial" w:hAnsi="Arial"/>
          <w:sz w:val="16"/>
          <w:szCs w:val="16"/>
          <w:color w:val="auto"/>
        </w:rPr>
      </w:pPr>
    </w:p>
    <w:p>
      <w:pPr>
        <w:ind w:left="4360" w:hanging="649"/>
        <w:spacing w:after="0"/>
        <w:tabs>
          <w:tab w:leader="none" w:pos="4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Income: Seller shall show positive pre-tax net income, on a quarterly basis.</w:t>
      </w:r>
    </w:p>
    <w:p>
      <w:pPr>
        <w:spacing w:after="0" w:line="225" w:lineRule="exact"/>
        <w:rPr>
          <w:rFonts w:ascii="Arial" w:cs="Arial" w:eastAsia="Arial" w:hAnsi="Arial"/>
          <w:sz w:val="18"/>
          <w:szCs w:val="18"/>
          <w:color w:val="auto"/>
        </w:rPr>
      </w:pPr>
    </w:p>
    <w:p>
      <w:pPr>
        <w:ind w:left="4360" w:right="260" w:hanging="649"/>
        <w:spacing w:after="0" w:line="342" w:lineRule="auto"/>
        <w:tabs>
          <w:tab w:leader="none" w:pos="43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Seller shall not add additional mortgage financing facilities (including warehouse, repurchase, purchase or off-balance sheet facilities) without prior written notification to Buyer.</w:t>
      </w:r>
    </w:p>
    <w:p>
      <w:pPr>
        <w:spacing w:after="0" w:line="123" w:lineRule="exact"/>
        <w:rPr>
          <w:rFonts w:ascii="Arial" w:cs="Arial" w:eastAsia="Arial" w:hAnsi="Arial"/>
          <w:sz w:val="16"/>
          <w:szCs w:val="16"/>
          <w:color w:val="auto"/>
        </w:rPr>
      </w:pPr>
    </w:p>
    <w:p>
      <w:pPr>
        <w:ind w:left="4360" w:right="120" w:hanging="649"/>
        <w:spacing w:after="0" w:line="276" w:lineRule="auto"/>
        <w:tabs>
          <w:tab w:leader="none" w:pos="4367"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Payment of Dividends: Seller may not, without the prior written consent of Buyer, (a) declare or pay dividends upon its shares of stock now or hereafter outstanding, including dividends payable in the capital stock of Seller, or make any distribution of assets to its shareholders, whether in cash, property or securities, or (b) acquire, purchase, redeem or retire shares of its capital stock now or hereafter outstanding for value.</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right="580" w:hanging="652"/>
        <w:spacing w:after="0" w:line="282" w:lineRule="auto"/>
        <w:tabs>
          <w:tab w:leader="none" w:pos="673"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Buyer and Seller agree that SCHEDULE 1 of the Transactions Terms Letter shall be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Type</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Margin over 30</w:t>
            </w: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Type Purchase Price</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Sublimit</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day LIBOR (B)</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Percentage (A)</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Dwell Time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Type A:</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Conventional Conforming</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color w:val="auto"/>
                <w:w w:val="99"/>
              </w:rPr>
              <w:t>Mortgage Loans (Agency eligible</w:t>
            </w:r>
          </w:p>
        </w:tc>
        <w:tc>
          <w:tcPr>
            <w:tcW w:w="148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91"/>
              </w:rPr>
              <w:t>2.25</w:t>
            </w: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88"/>
              </w:rPr>
              <w:t>96.00</w:t>
            </w: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20"/>
              <w:spacing w:after="0" w:line="190" w:lineRule="exact"/>
              <w:rPr>
                <w:sz w:val="20"/>
                <w:szCs w:val="20"/>
                <w:color w:val="auto"/>
              </w:rPr>
            </w:pPr>
            <w:r>
              <w:rPr>
                <w:rFonts w:ascii="Arial" w:cs="Arial" w:eastAsia="Arial" w:hAnsi="Arial"/>
                <w:sz w:val="18"/>
                <w:szCs w:val="18"/>
                <w:color w:val="auto"/>
                <w:w w:val="88"/>
              </w:rPr>
              <w:t>30 days</w:t>
            </w:r>
          </w:p>
        </w:tc>
        <w:tc>
          <w:tcPr>
            <w:tcW w:w="1860" w:type="dxa"/>
            <w:vAlign w:val="bottom"/>
            <w:shd w:val="clear" w:color="auto" w:fill="CCEEFF"/>
          </w:tcPr>
          <w:p>
            <w:pPr>
              <w:jc w:val="center"/>
              <w:spacing w:after="0" w:line="190" w:lineRule="exact"/>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3"/>
            <w:shd w:val="clear" w:color="auto" w:fill="CCEEFF"/>
          </w:tcPr>
          <w:p>
            <w:pPr>
              <w:spacing w:after="0" w:line="222"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mortgages with Full/Alt doc</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types only)</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Type B:</w:t>
      </w:r>
    </w:p>
    <w:p>
      <w:pPr>
        <w:spacing w:after="0" w:line="23" w:lineRule="exact"/>
        <w:rPr>
          <w:sz w:val="20"/>
          <w:szCs w:val="20"/>
          <w:color w:val="auto"/>
        </w:rPr>
      </w:pPr>
    </w:p>
    <w:p>
      <w:pPr>
        <w:ind w:right="340"/>
        <w:spacing w:after="0" w:line="302" w:lineRule="auto"/>
        <w:rPr>
          <w:sz w:val="20"/>
          <w:szCs w:val="20"/>
          <w:color w:val="auto"/>
        </w:rPr>
      </w:pPr>
      <w:r>
        <w:rPr>
          <w:rFonts w:ascii="Arial" w:cs="Arial" w:eastAsia="Arial" w:hAnsi="Arial"/>
          <w:sz w:val="17"/>
          <w:szCs w:val="17"/>
          <w:color w:val="auto"/>
        </w:rPr>
        <w:t>Government Mortgage Loans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mortgages only)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Type B-1: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Bond Loans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mortgages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Type 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Jumbo Mortgage Loans</w:t>
      </w:r>
    </w:p>
    <w:p>
      <w:pPr>
        <w:spacing w:after="0" w:line="9"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mortgages only, maximum loan amounts to $1,000,000)</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Noncompliant Mortgage Loans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1"/>
              </w:rPr>
              <w:t>100%</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2.25</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96.00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30 days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756"/>
        </w:trPr>
        <w:tc>
          <w:tcPr>
            <w:tcW w:w="800" w:type="dxa"/>
            <w:vAlign w:val="bottom"/>
          </w:tcPr>
          <w:p>
            <w:pPr>
              <w:jc w:val="center"/>
              <w:ind w:right="310"/>
              <w:spacing w:after="0"/>
              <w:rPr>
                <w:sz w:val="20"/>
                <w:szCs w:val="20"/>
                <w:color w:val="auto"/>
              </w:rPr>
            </w:pPr>
            <w:r>
              <w:rPr>
                <w:rFonts w:ascii="Arial" w:cs="Arial" w:eastAsia="Arial" w:hAnsi="Arial"/>
                <w:sz w:val="18"/>
                <w:szCs w:val="18"/>
                <w:color w:val="auto"/>
                <w:w w:val="88"/>
              </w:rPr>
              <w:t>20%</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2.25</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96.00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45 days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742"/>
        </w:trPr>
        <w:tc>
          <w:tcPr>
            <w:tcW w:w="800" w:type="dxa"/>
            <w:vAlign w:val="bottom"/>
            <w:vMerge w:val="restart"/>
          </w:tcPr>
          <w:p>
            <w:pPr>
              <w:jc w:val="center"/>
              <w:ind w:right="310"/>
              <w:spacing w:after="0"/>
              <w:rPr>
                <w:sz w:val="20"/>
                <w:szCs w:val="20"/>
                <w:color w:val="auto"/>
              </w:rPr>
            </w:pPr>
            <w:r>
              <w:rPr>
                <w:rFonts w:ascii="Arial" w:cs="Arial" w:eastAsia="Arial" w:hAnsi="Arial"/>
                <w:sz w:val="18"/>
                <w:szCs w:val="18"/>
                <w:color w:val="auto"/>
                <w:w w:val="88"/>
              </w:rPr>
              <w:t>10%</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1"/>
              </w:rPr>
              <w:t>2.25</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88"/>
              </w:rPr>
              <w:t>95.00</w:t>
            </w:r>
          </w:p>
        </w:tc>
        <w:tc>
          <w:tcPr>
            <w:tcW w:w="1580" w:type="dxa"/>
            <w:vAlign w:val="bottom"/>
            <w:vMerge w:val="restart"/>
          </w:tcPr>
          <w:p>
            <w:pPr>
              <w:jc w:val="center"/>
              <w:ind w:left="50"/>
              <w:spacing w:after="0"/>
              <w:rPr>
                <w:sz w:val="20"/>
                <w:szCs w:val="20"/>
                <w:color w:val="auto"/>
              </w:rPr>
            </w:pPr>
            <w:r>
              <w:rPr>
                <w:rFonts w:ascii="Arial" w:cs="Arial" w:eastAsia="Arial" w:hAnsi="Arial"/>
                <w:sz w:val="18"/>
                <w:szCs w:val="18"/>
                <w:color w:val="auto"/>
                <w:w w:val="88"/>
              </w:rPr>
              <w:t>30 days</w:t>
            </w:r>
          </w:p>
        </w:tc>
        <w:tc>
          <w:tcPr>
            <w:tcW w:w="1880" w:type="dxa"/>
            <w:vAlign w:val="bottom"/>
          </w:tcPr>
          <w:p>
            <w:pPr>
              <w:jc w:val="center"/>
              <w:ind w:left="130"/>
              <w:spacing w:after="0"/>
              <w:rPr>
                <w:sz w:val="20"/>
                <w:szCs w:val="20"/>
                <w:color w:val="auto"/>
              </w:rPr>
            </w:pPr>
            <w:r>
              <w:rPr>
                <w:rFonts w:ascii="Arial" w:cs="Arial" w:eastAsia="Arial" w:hAnsi="Arial"/>
                <w:sz w:val="18"/>
                <w:szCs w:val="18"/>
                <w:color w:val="auto"/>
                <w:w w:val="91"/>
              </w:rPr>
              <w:t>Rate Lock and CLUES</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880" w:type="dxa"/>
            <w:vAlign w:val="bottom"/>
            <w:vMerge w:val="restart"/>
          </w:tcPr>
          <w:p>
            <w:pPr>
              <w:jc w:val="center"/>
              <w:ind w:left="150"/>
              <w:spacing w:after="0"/>
              <w:rPr>
                <w:sz w:val="20"/>
                <w:szCs w:val="20"/>
                <w:color w:val="auto"/>
              </w:rPr>
            </w:pPr>
            <w:r>
              <w:rPr>
                <w:rFonts w:ascii="Arial" w:cs="Arial" w:eastAsia="Arial" w:hAnsi="Arial"/>
                <w:sz w:val="18"/>
                <w:szCs w:val="18"/>
                <w:color w:val="auto"/>
                <w:w w:val="94"/>
              </w:rPr>
              <w:t>or Prior Approval</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80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7%</w:t>
            </w: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2.00 over the initial</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87"/>
              </w:rPr>
              <w:t>See schedule 2</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6"/>
              </w:rPr>
              <w:t>Additional 45</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0"/>
              </w:rPr>
              <w:t>margin</w:t>
            </w:r>
          </w:p>
        </w:tc>
        <w:tc>
          <w:tcPr>
            <w:tcW w:w="1740" w:type="dxa"/>
            <w:vAlign w:val="bottom"/>
            <w:vMerge w:val="continue"/>
          </w:tcPr>
          <w:p>
            <w:pPr>
              <w:spacing w:after="0"/>
              <w:rPr>
                <w:sz w:val="10"/>
                <w:szCs w:val="10"/>
                <w:color w:val="auto"/>
              </w:rPr>
            </w:pPr>
          </w:p>
        </w:tc>
        <w:tc>
          <w:tcPr>
            <w:tcW w:w="158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days</w:t>
            </w: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-1920240</wp:posOffset>
            </wp:positionV>
            <wp:extent cx="7246620"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-1371600</wp:posOffset>
            </wp:positionV>
            <wp:extent cx="72466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-960120</wp:posOffset>
            </wp:positionV>
            <wp:extent cx="7246620"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-273685</wp:posOffset>
            </wp:positionV>
            <wp:extent cx="72466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8220"/>
          </w:cols>
          <w:pgMar w:left="240" w:top="125" w:right="23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The initial Type</w:t>
            </w:r>
          </w:p>
        </w:tc>
        <w:tc>
          <w:tcPr>
            <w:tcW w:w="342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40%, increasing to</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Noncompliant or</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Purchase Price</w:t>
            </w:r>
          </w:p>
        </w:tc>
        <w:tc>
          <w:tcPr>
            <w:tcW w:w="342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60% for the first</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default spreads, if</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Percentage. If</w:t>
            </w:r>
          </w:p>
        </w:tc>
        <w:tc>
          <w:tcPr>
            <w:tcW w:w="342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Wet Mortgage Loans</w:t>
            </w:r>
          </w:p>
        </w:tc>
        <w:tc>
          <w:tcPr>
            <w:tcW w:w="2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and last five (5)</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applicable, over the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Transaction exceeds the</w:t>
            </w: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business days</w:t>
            </w:r>
          </w:p>
        </w:tc>
      </w:tr>
      <w:tr>
        <w:trPr>
          <w:trHeight w:val="216"/>
        </w:trPr>
        <w:tc>
          <w:tcPr>
            <w:tcW w:w="21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business days of</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initial Type Margin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Wet Mortgage Loans</w:t>
            </w:r>
          </w:p>
        </w:tc>
        <w:tc>
          <w:tcPr>
            <w:tcW w:w="342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9"/>
              </w:rPr>
              <w:t>each month</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over 30 day LIBOR</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Maximum Dwell Time,</w:t>
            </w:r>
          </w:p>
        </w:tc>
        <w:tc>
          <w:tcPr>
            <w:tcW w:w="3420" w:type="dxa"/>
            <w:vAlign w:val="bottom"/>
            <w:shd w:val="clear" w:color="auto" w:fill="CCEEFF"/>
          </w:tcPr>
          <w:p>
            <w:pPr>
              <w:spacing w:after="0"/>
              <w:rPr>
                <w:sz w:val="18"/>
                <w:szCs w:val="18"/>
                <w:color w:val="auto"/>
              </w:rPr>
            </w:pPr>
          </w:p>
        </w:tc>
      </w:tr>
      <w:tr>
        <w:trPr>
          <w:trHeight w:val="230"/>
        </w:trPr>
        <w:tc>
          <w:tcPr>
            <w:tcW w:w="2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Schedule 3</w:t>
            </w:r>
          </w:p>
        </w:tc>
        <w:tc>
          <w:tcPr>
            <w:tcW w:w="34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80" w:hanging="512"/>
        <w:spacing w:after="0" w:line="288"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Purchase Price shall be calculated and equal to multiplying the unpaid principal balance times the lesser of (i) the Type Purchase Price Percentage times the lesser of par, takeout price or current market price or; (ii) 98% of the takeout price or current market price or fair market value. Seller will have the ability to reduce the Type Purchase Price Percentage to no less than 10% once per month, not to be applied retroactively</w:t>
      </w:r>
    </w:p>
    <w:p>
      <w:pPr>
        <w:ind w:left="520" w:right="360" w:hanging="512"/>
        <w:spacing w:after="0" w:line="261"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purpose of calculating the Margin over 30 day LIBOR, “LIBOR” shall mean the greater of (i) the daily rate per annum for one-month U.S. dollar denominated deposits as offered to prime banks in the London interbank market or (ii) 2%, as applicable.</w:t>
      </w:r>
    </w:p>
    <w:p>
      <w:pPr>
        <w:spacing w:after="0" w:line="184"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All Transactions are to the closing table.</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Delegated underwriting status does not satisfy the Transaction Requirements contained herein.</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Transaction Requirement Definitions and Doc Type Definitions are set forth on Buyer’s website.</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All loan amounts, FICO scores, LTV/CLTV, and document types shall meet Correspondent Lending guidelines.</w:t>
      </w:r>
    </w:p>
    <w:p>
      <w:pPr>
        <w:spacing w:after="0" w:line="2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amounts greater than One Million Dollars ($1,000,000)</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0" w:gutter="0" w:footer="0" w:header="0"/>
          <w:type w:val="continuous"/>
        </w:sectPr>
      </w:pPr>
    </w:p>
    <w:bookmarkStart w:id="73" w:name="page74"/>
    <w:bookmarkEnd w:id="73"/>
    <w:p>
      <w:pPr>
        <w:ind w:left="820" w:right="160"/>
        <w:spacing w:after="0" w:line="258" w:lineRule="auto"/>
        <w:rPr>
          <w:sz w:val="20"/>
          <w:szCs w:val="20"/>
          <w:color w:val="auto"/>
        </w:rPr>
      </w:pPr>
      <w:r>
        <w:rPr>
          <w:rFonts w:ascii="Arial" w:cs="Arial" w:eastAsia="Arial" w:hAnsi="Arial"/>
          <w:sz w:val="18"/>
          <w:szCs w:val="18"/>
          <w:color w:val="auto"/>
        </w:rPr>
        <w:t>Loans with unpaid principal balances greater than One Million Dollars ($1,000,000) may be eligible subject to Buyer’s review and approval in its sole discretion.</w:t>
      </w:r>
    </w:p>
    <w:p>
      <w:pPr>
        <w:spacing w:after="0" w:line="1" w:lineRule="exact"/>
        <w:rPr>
          <w:sz w:val="20"/>
          <w:szCs w:val="20"/>
          <w:color w:val="auto"/>
        </w:rPr>
      </w:pPr>
    </w:p>
    <w:p>
      <w:pPr>
        <w:ind w:left="1260" w:hanging="280"/>
        <w:spacing w:after="0"/>
        <w:tabs>
          <w:tab w:leader="none" w:pos="12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following items must be received at least two (2) business days prior to the Transaction request date.</w:t>
      </w:r>
    </w:p>
    <w:p>
      <w:pPr>
        <w:spacing w:after="0" w:line="9" w:lineRule="exact"/>
        <w:rPr>
          <w:rFonts w:ascii="Arial" w:cs="Arial" w:eastAsia="Arial" w:hAnsi="Arial"/>
          <w:sz w:val="18"/>
          <w:szCs w:val="18"/>
          <w:b w:val="1"/>
          <w:bCs w:val="1"/>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copy of the 1003</w:t>
      </w:r>
    </w:p>
    <w:p>
      <w:pPr>
        <w:spacing w:after="0" w:line="9" w:lineRule="exact"/>
        <w:rPr>
          <w:rFonts w:ascii="Arial" w:cs="Arial" w:eastAsia="Arial" w:hAnsi="Arial"/>
          <w:sz w:val="18"/>
          <w:szCs w:val="18"/>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copy of the 1008</w:t>
      </w:r>
    </w:p>
    <w:p>
      <w:pPr>
        <w:spacing w:after="0" w:line="9" w:lineRule="exact"/>
        <w:rPr>
          <w:rFonts w:ascii="Arial" w:cs="Arial" w:eastAsia="Arial" w:hAnsi="Arial"/>
          <w:sz w:val="18"/>
          <w:szCs w:val="18"/>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copies of all appraisals</w:t>
      </w:r>
    </w:p>
    <w:p>
      <w:pPr>
        <w:spacing w:after="0" w:line="9" w:lineRule="exact"/>
        <w:rPr>
          <w:rFonts w:ascii="Arial" w:cs="Arial" w:eastAsia="Arial" w:hAnsi="Arial"/>
          <w:sz w:val="18"/>
          <w:szCs w:val="18"/>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investor prior approval with all prior to close conditions cleared</w:t>
      </w:r>
    </w:p>
    <w:p>
      <w:pPr>
        <w:spacing w:after="0" w:line="9" w:lineRule="exact"/>
        <w:rPr>
          <w:rFonts w:ascii="Arial" w:cs="Arial" w:eastAsia="Arial" w:hAnsi="Arial"/>
          <w:sz w:val="18"/>
          <w:szCs w:val="18"/>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copy of takeout commitment</w:t>
      </w:r>
    </w:p>
    <w:p>
      <w:pPr>
        <w:spacing w:after="0" w:line="9" w:lineRule="exact"/>
        <w:rPr>
          <w:rFonts w:ascii="Arial" w:cs="Arial" w:eastAsia="Arial" w:hAnsi="Arial"/>
          <w:sz w:val="18"/>
          <w:szCs w:val="18"/>
          <w:color w:val="auto"/>
        </w:rPr>
      </w:pPr>
    </w:p>
    <w:p>
      <w:pPr>
        <w:ind w:left="1640" w:hanging="335"/>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copy of the borrower’s credit report(s)</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right="120" w:hanging="652"/>
        <w:spacing w:after="0" w:line="281" w:lineRule="auto"/>
        <w:tabs>
          <w:tab w:leader="none" w:pos="673"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No Other Amendments; Conflicts with Previous Amendments</w:t>
      </w:r>
      <w:r>
        <w:rPr>
          <w:rFonts w:ascii="Arial" w:cs="Arial" w:eastAsia="Arial" w:hAnsi="Arial"/>
          <w:sz w:val="17"/>
          <w:szCs w:val="17"/>
          <w:color w:val="auto"/>
        </w:rPr>
        <w:t>. Other than as expressly modified and amended herein, the Transactions Terms</w:t>
      </w:r>
      <w:r>
        <w:rPr>
          <w:rFonts w:ascii="Arial" w:cs="Arial" w:eastAsia="Arial" w:hAnsi="Arial"/>
          <w:sz w:val="17"/>
          <w:szCs w:val="17"/>
          <w:b w:val="1"/>
          <w:bCs w:val="1"/>
          <w:color w:val="auto"/>
        </w:rPr>
        <w:t xml:space="preserve"> </w:t>
      </w:r>
      <w:r>
        <w:rPr>
          <w:rFonts w:ascii="Arial" w:cs="Arial" w:eastAsia="Arial" w:hAnsi="Arial"/>
          <w:sz w:val="17"/>
          <w:szCs w:val="17"/>
          <w:color w:val="auto"/>
        </w:rPr>
        <w:t>Letter shall remain in full force and effect and nothing herein shall affect the rights and remedies of Buyer as provided under the Transactions Terms Letter and Agreement. To the extent any amendments to the Transactions Terms Letter contained herein conflict with any previous amendments to the Transactions Terms Letter, the amendments contained herein shall control.</w:t>
      </w:r>
    </w:p>
    <w:p>
      <w:pPr>
        <w:spacing w:after="0" w:line="164" w:lineRule="exact"/>
        <w:rPr>
          <w:rFonts w:ascii="Arial" w:cs="Arial" w:eastAsia="Arial" w:hAnsi="Arial"/>
          <w:sz w:val="17"/>
          <w:szCs w:val="17"/>
          <w:color w:val="auto"/>
        </w:rPr>
      </w:pPr>
    </w:p>
    <w:p>
      <w:pPr>
        <w:ind w:left="660" w:right="740" w:hanging="652"/>
        <w:spacing w:after="0" w:line="282" w:lineRule="auto"/>
        <w:tabs>
          <w:tab w:leader="none" w:pos="673"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Any capitalized term used herein and not otherwise defined herein shall have the meaning ascribed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Facsimiles</w:t>
      </w:r>
      <w:r>
        <w:rPr>
          <w:rFonts w:ascii="Arial" w:cs="Arial" w:eastAsia="Arial" w:hAnsi="Arial"/>
          <w:sz w:val="18"/>
          <w:szCs w:val="18"/>
          <w:color w:val="auto"/>
        </w:rPr>
        <w:t>. Facsimile signatures shall be deemed valid and binding to the same extent as the original.</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WITNESS WHEREOF, Buyer and Seller have caused their names to be signed hereto by their respective officers thereunto duly authorized as of the date first written above. Buyer shall have no obligation to honor the terms and conditions of this Amendment if Seller fails to fully execute and return this document to Buyer within thirty (30) days after the date 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5640" w:type="dxa"/>
            <w:vAlign w:val="bottom"/>
            <w:gridSpan w:val="2"/>
          </w:tcPr>
          <w:p>
            <w:pPr>
              <w:spacing w:after="0"/>
              <w:rPr>
                <w:sz w:val="20"/>
                <w:szCs w:val="20"/>
                <w:color w:val="auto"/>
              </w:rPr>
            </w:pPr>
            <w:r>
              <w:rPr>
                <w:rFonts w:ascii="Arial" w:cs="Arial" w:eastAsia="Arial" w:hAnsi="Arial"/>
                <w:sz w:val="18"/>
                <w:szCs w:val="18"/>
                <w:color w:val="auto"/>
              </w:rPr>
              <w:t>HOME LOAN CENTER, INC.</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780" w:type="dxa"/>
            <w:vAlign w:val="bottom"/>
            <w:gridSpan w:val="2"/>
          </w:tcPr>
          <w:p>
            <w:pPr>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4"/>
                <w:szCs w:val="24"/>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4"/>
                <w:szCs w:val="24"/>
                <w:color w:val="auto"/>
              </w:rPr>
            </w:pPr>
          </w:p>
        </w:tc>
      </w:tr>
      <w:tr>
        <w:trPr>
          <w:trHeight w:val="348"/>
        </w:trPr>
        <w:tc>
          <w:tcPr>
            <w:tcW w:w="66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4" w:name="page75"/>
    <w:bookmarkEnd w:id="74"/>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704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76" w:name="page77"/>
    <w:bookmarkEnd w:id="76"/>
    <w:p>
      <w:pPr>
        <w:spacing w:after="0"/>
        <w:rPr>
          <w:rFonts w:ascii="Arial" w:cs="Arial" w:eastAsia="Arial" w:hAnsi="Arial"/>
          <w:sz w:val="22"/>
          <w:szCs w:val="22"/>
          <w:color w:val="0000EE"/>
        </w:rPr>
      </w:pPr>
      <w:hyperlink w:anchor="page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686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78" w:name="page79"/>
    <w:bookmarkEnd w:id="78"/>
    <w:p>
      <w:pPr>
        <w:spacing w:after="0"/>
        <w:rPr>
          <w:rFonts w:ascii="Arial" w:cs="Arial" w:eastAsia="Arial" w:hAnsi="Arial"/>
          <w:sz w:val="22"/>
          <w:szCs w:val="22"/>
          <w:color w:val="0000EE"/>
        </w:rPr>
      </w:pPr>
      <w:hyperlink w:anchor="page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99" w:lineRule="exact"/>
        <w:rPr>
          <w:sz w:val="20"/>
          <w:szCs w:val="20"/>
          <w:color w:val="auto"/>
        </w:rPr>
      </w:pPr>
    </w:p>
    <w:p>
      <w:pPr>
        <w:ind w:left="1080" w:right="20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2011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704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80" w:name="page81"/>
    <w:bookmarkEnd w:id="80"/>
    <w:p>
      <w:pPr>
        <w:spacing w:after="0"/>
        <w:rPr>
          <w:rFonts w:ascii="Arial" w:cs="Arial" w:eastAsia="Arial" w:hAnsi="Arial"/>
          <w:sz w:val="22"/>
          <w:szCs w:val="22"/>
          <w:color w:val="0000EE"/>
        </w:rPr>
      </w:pPr>
      <w:hyperlink w:anchor="page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 Christopher R. Hayek, certify, pursuant to 18 U.S.C. Section 1350, as adopted pursuant to Section 906 of the Sarbanes-Oxley Act of 2002, that to my knowledge:</w:t>
      </w:r>
    </w:p>
    <w:p>
      <w:pPr>
        <w:spacing w:after="0" w:line="199" w:lineRule="exact"/>
        <w:rPr>
          <w:sz w:val="20"/>
          <w:szCs w:val="20"/>
          <w:color w:val="auto"/>
        </w:rPr>
      </w:pPr>
    </w:p>
    <w:p>
      <w:pPr>
        <w:ind w:left="1080" w:right="20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2011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6860" w:val="left"/>
        </w:tabs>
        <w:rPr>
          <w:sz w:val="20"/>
          <w:szCs w:val="20"/>
          <w:color w:val="auto"/>
        </w:rPr>
      </w:pPr>
      <w:r>
        <w:rPr>
          <w:rFonts w:ascii="Arial" w:cs="Arial" w:eastAsia="Arial" w:hAnsi="Arial"/>
          <w:sz w:val="18"/>
          <w:szCs w:val="18"/>
          <w:color w:val="auto"/>
        </w:rPr>
        <w:t>Dated: November 14,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Roman"/>
      <w:start w:val="2"/>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1)"/>
      <w:numFmt w:val="lowerRoman"/>
      <w:start w:val="5"/>
    </w:lvl>
  </w:abstractNum>
  <w:abstractNum w:abstractNumId="9">
    <w:nsid w:val="54E49EB4"/>
    <w:multiLevelType w:val="hybridMultilevel"/>
    <w:lvl w:ilvl="0">
      <w:lvlJc w:val="left"/>
      <w:lvlText w:val="(%1)"/>
      <w:numFmt w:val="lowerRoman"/>
      <w:start w:val="2"/>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1)"/>
      <w:numFmt w:val="decimal"/>
      <w:start w:val="3"/>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decimal"/>
      <w:start w:val="11"/>
    </w:lvl>
    <w:lvl w:ilvl="1">
      <w:lvlJc w:val="left"/>
      <w:lvlText w:val="%2."/>
      <w:numFmt w:val="upperLetter"/>
      <w:start w:val="1"/>
    </w:lvl>
    <w:lvl w:ilvl="2">
      <w:lvlJc w:val="left"/>
      <w:lvlText w:val="(%3)"/>
      <w:numFmt w:val="lowerRoman"/>
      <w:start w:val="2"/>
    </w:lvl>
  </w:abstractNum>
  <w:abstractNum w:abstractNumId="25">
    <w:nsid w:val="5577F8E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8"/>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3"/>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3"/>
    </w:lvl>
  </w:abstractNum>
  <w:abstractNum w:abstractNumId="30">
    <w:nsid w:val="7724C67E"/>
    <w:multiLevelType w:val="hybridMultilevel"/>
    <w:lvl w:ilvl="0">
      <w:lvlJc w:val="left"/>
      <w:lvlText w:val="%1."/>
      <w:numFmt w:val="decimal"/>
      <w:start w:val="1"/>
    </w:lvl>
    <w:lvl w:ilvl="1">
      <w:lvlJc w:val="left"/>
      <w:lvlText w:val="(%2)"/>
      <w:numFmt w:val="lowerLetter"/>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lvl w:ilvl="1">
      <w:lvlJc w:val="left"/>
      <w:lvlText w:val="(%2)"/>
      <w:numFmt w:val="lowerLetter"/>
      <w:start w:val="1"/>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decimal"/>
      <w:start w:val="4"/>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lvl w:ilvl="1">
      <w:lvlJc w:val="left"/>
      <w:lvlText w:val="(%2)"/>
      <w:numFmt w:val="lowerLetter"/>
      <w:start w:val="1"/>
    </w:lvl>
  </w:abstractNum>
  <w:abstractNum w:abstractNumId="39">
    <w:nsid w:val="70A64E2A"/>
    <w:multiLevelType w:val="hybridMultilevel"/>
    <w:lvl w:ilvl="0">
      <w:lvlJc w:val="left"/>
      <w:lvlText w:val="%1."/>
      <w:numFmt w:val="decimal"/>
      <w:start w:val="5"/>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2019-12-11T06:00:24Z</dcterms:created>
  <dcterms:modified xsi:type="dcterms:W3CDTF">2019-12-11T06:00:24Z</dcterms:modified>
</cp:coreProperties>
</file>