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7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6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TREE.COM,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26-2414818</w:t>
            </w:r>
          </w:p>
        </w:tc>
      </w:t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0" w:gutter="0" w:footer="0" w:header="0"/>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20"/>
          </w:cols>
          <w:pgMar w:left="240" w:top="233" w:right="27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2">
            <w:col w:w="6860" w:space="720"/>
            <w:col w:w="3800"/>
          </w:cols>
          <w:pgMar w:left="240" w:top="233" w:right="27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November 7, 2012 there were 11,366,504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type w:val="continuous"/>
        </w:sectPr>
      </w:pPr>
    </w:p>
    <w:bookmarkStart w:id="1" w:name="page2"/>
    <w:bookmarkEnd w:id="1"/>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40" w:type="dxa"/>
            <w:vAlign w:val="bottom"/>
            <w:gridSpan w:val="12"/>
            <w:vMerge w:val="restart"/>
          </w:tcPr>
          <w:p>
            <w:pPr>
              <w:jc w:val="center"/>
              <w:ind w:right="98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gridSpan w:val="3"/>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3000" w:type="dxa"/>
            <w:vAlign w:val="bottom"/>
            <w:gridSpan w:val="8"/>
            <w:vMerge w:val="restart"/>
          </w:tcPr>
          <w:p>
            <w:pPr>
              <w:ind w:left="40"/>
              <w:spacing w:after="0"/>
              <w:rPr>
                <w:rFonts w:ascii="Arial" w:cs="Arial" w:eastAsia="Arial" w:hAnsi="Arial"/>
                <w:sz w:val="18"/>
                <w:szCs w:val="18"/>
                <w:b w:val="1"/>
                <w:bCs w:val="1"/>
                <w:i w:val="1"/>
                <w:iCs w:val="1"/>
                <w:color w:val="0000EE"/>
              </w:rPr>
            </w:pPr>
            <w:hyperlink w:anchor="page2">
              <w:r>
                <w:rPr>
                  <w:rFonts w:ascii="Arial" w:cs="Arial" w:eastAsia="Arial" w:hAnsi="Arial"/>
                  <w:sz w:val="18"/>
                  <w:szCs w:val="18"/>
                  <w:b w:val="1"/>
                  <w:bCs w:val="1"/>
                  <w:i w:val="1"/>
                  <w:iCs w:val="1"/>
                  <w:color w:val="0000EE"/>
                </w:rPr>
                <w:t>Financial Statements</w:t>
              </w:r>
            </w:hyperlink>
          </w:p>
        </w:tc>
        <w:tc>
          <w:tcPr>
            <w:tcW w:w="4140" w:type="dxa"/>
            <w:vAlign w:val="bottom"/>
            <w:gridSpan w:val="12"/>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4"/>
            <w:vMerge w:val="restart"/>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80" w:type="dxa"/>
            <w:vAlign w:val="bottom"/>
            <w:gridSpan w:val="3"/>
            <w:vMerge w:val="continue"/>
          </w:tcPr>
          <w:p>
            <w:pPr>
              <w:spacing w:after="0"/>
              <w:rPr>
                <w:sz w:val="17"/>
                <w:szCs w:val="17"/>
                <w:color w:val="auto"/>
              </w:rPr>
            </w:pPr>
          </w:p>
        </w:tc>
        <w:tc>
          <w:tcPr>
            <w:tcW w:w="3000" w:type="dxa"/>
            <w:vAlign w:val="bottom"/>
            <w:gridSpan w:val="8"/>
            <w:vMerge w:val="continue"/>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3"/>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w:t>
              </w:r>
            </w:hyperlink>
          </w:p>
        </w:tc>
        <w:tc>
          <w:tcPr>
            <w:tcW w:w="7140" w:type="dxa"/>
            <w:vAlign w:val="bottom"/>
            <w:gridSpan w:val="20"/>
          </w:tcPr>
          <w:p>
            <w:pPr>
              <w:ind w:left="40"/>
              <w:spacing w:after="0" w:line="196" w:lineRule="exact"/>
              <w:rPr>
                <w:rFonts w:ascii="Arial" w:cs="Arial" w:eastAsia="Arial" w:hAnsi="Arial"/>
                <w:sz w:val="18"/>
                <w:szCs w:val="18"/>
                <w:b w:val="1"/>
                <w:bCs w:val="1"/>
                <w:i w:val="1"/>
                <w:iCs w:val="1"/>
                <w:color w:val="0000EE"/>
                <w:w w:val="92"/>
              </w:rPr>
            </w:pPr>
            <w:hyperlink w:anchor="page19">
              <w:r>
                <w:rPr>
                  <w:rFonts w:ascii="Arial" w:cs="Arial" w:eastAsia="Arial" w:hAnsi="Arial"/>
                  <w:sz w:val="18"/>
                  <w:szCs w:val="18"/>
                  <w:b w:val="1"/>
                  <w:bCs w:val="1"/>
                  <w:i w:val="1"/>
                  <w:iCs w:val="1"/>
                  <w:color w:val="0000EE"/>
                  <w:w w:val="92"/>
                </w:rPr>
                <w:t>Management’s Discussion and Analysis of Financial Condition and Results of Operations</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3"/>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3.</w:t>
              </w:r>
            </w:hyperlink>
          </w:p>
        </w:tc>
        <w:tc>
          <w:tcPr>
            <w:tcW w:w="4760" w:type="dxa"/>
            <w:vAlign w:val="bottom"/>
            <w:gridSpan w:val="12"/>
          </w:tcPr>
          <w:p>
            <w:pPr>
              <w:ind w:left="40"/>
              <w:spacing w:after="0" w:line="196" w:lineRule="exact"/>
              <w:rPr>
                <w:rFonts w:ascii="Arial" w:cs="Arial" w:eastAsia="Arial" w:hAnsi="Arial"/>
                <w:sz w:val="18"/>
                <w:szCs w:val="18"/>
                <w:b w:val="1"/>
                <w:bCs w:val="1"/>
                <w:i w:val="1"/>
                <w:iCs w:val="1"/>
                <w:color w:val="0000EE"/>
                <w:w w:val="92"/>
              </w:rPr>
            </w:pPr>
            <w:hyperlink w:anchor="page27">
              <w:r>
                <w:rPr>
                  <w:rFonts w:ascii="Arial" w:cs="Arial" w:eastAsia="Arial" w:hAnsi="Arial"/>
                  <w:sz w:val="18"/>
                  <w:szCs w:val="18"/>
                  <w:b w:val="1"/>
                  <w:bCs w:val="1"/>
                  <w:i w:val="1"/>
                  <w:iCs w:val="1"/>
                  <w:color w:val="0000EE"/>
                  <w:w w:val="92"/>
                </w:rPr>
                <w:t>Quantitative and Qualitative Disclosures About Market Risk</w:t>
              </w:r>
            </w:hyperlink>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3"/>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4.</w:t>
              </w:r>
            </w:hyperlink>
          </w:p>
        </w:tc>
        <w:tc>
          <w:tcPr>
            <w:tcW w:w="3000" w:type="dxa"/>
            <w:vAlign w:val="bottom"/>
            <w:gridSpan w:val="8"/>
          </w:tcPr>
          <w:p>
            <w:pPr>
              <w:ind w:left="40"/>
              <w:spacing w:after="0" w:line="196" w:lineRule="exact"/>
              <w:rPr>
                <w:rFonts w:ascii="Arial" w:cs="Arial" w:eastAsia="Arial" w:hAnsi="Arial"/>
                <w:sz w:val="18"/>
                <w:szCs w:val="18"/>
                <w:b w:val="1"/>
                <w:bCs w:val="1"/>
                <w:i w:val="1"/>
                <w:iCs w:val="1"/>
                <w:color w:val="0000EE"/>
              </w:rPr>
            </w:pPr>
            <w:hyperlink w:anchor="page27">
              <w:r>
                <w:rPr>
                  <w:rFonts w:ascii="Arial" w:cs="Arial" w:eastAsia="Arial" w:hAnsi="Arial"/>
                  <w:sz w:val="18"/>
                  <w:szCs w:val="18"/>
                  <w:b w:val="1"/>
                  <w:bCs w:val="1"/>
                  <w:i w:val="1"/>
                  <w:iCs w:val="1"/>
                  <w:color w:val="0000EE"/>
                </w:rPr>
                <w:t>Controls and Procedures</w:t>
              </w:r>
            </w:hyperlink>
          </w:p>
        </w:tc>
        <w:tc>
          <w:tcPr>
            <w:tcW w:w="160" w:type="dxa"/>
            <w:vAlign w:val="bottom"/>
          </w:tcPr>
          <w:p>
            <w:pPr>
              <w:spacing w:after="0"/>
              <w:rPr>
                <w:sz w:val="17"/>
                <w:szCs w:val="17"/>
                <w:color w:val="auto"/>
              </w:rPr>
            </w:pPr>
          </w:p>
        </w:tc>
        <w:tc>
          <w:tcPr>
            <w:tcW w:w="2960" w:type="dxa"/>
            <w:vAlign w:val="bottom"/>
            <w:gridSpan w:val="7"/>
            <w:vMerge w:val="restart"/>
          </w:tcPr>
          <w:p>
            <w:pPr>
              <w:jc w:val="center"/>
              <w:ind w:right="12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II—OTHER INFORMATION</w:t>
              </w:r>
            </w:hyperlink>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gridSpan w:val="7"/>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3"/>
            <w:vMerge w:val="restart"/>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1.</w:t>
              </w:r>
            </w:hyperlink>
          </w:p>
        </w:tc>
        <w:tc>
          <w:tcPr>
            <w:tcW w:w="3000" w:type="dxa"/>
            <w:vAlign w:val="bottom"/>
            <w:gridSpan w:val="8"/>
            <w:vMerge w:val="restart"/>
          </w:tcPr>
          <w:p>
            <w:pPr>
              <w:ind w:left="40"/>
              <w:spacing w:after="0"/>
              <w:rPr>
                <w:rFonts w:ascii="Arial" w:cs="Arial" w:eastAsia="Arial" w:hAnsi="Arial"/>
                <w:sz w:val="18"/>
                <w:szCs w:val="18"/>
                <w:b w:val="1"/>
                <w:bCs w:val="1"/>
                <w:i w:val="1"/>
                <w:iCs w:val="1"/>
                <w:color w:val="0000EE"/>
              </w:rPr>
            </w:pPr>
            <w:hyperlink w:anchor="page28">
              <w:r>
                <w:rPr>
                  <w:rFonts w:ascii="Arial" w:cs="Arial" w:eastAsia="Arial" w:hAnsi="Arial"/>
                  <w:sz w:val="18"/>
                  <w:szCs w:val="18"/>
                  <w:b w:val="1"/>
                  <w:bCs w:val="1"/>
                  <w:i w:val="1"/>
                  <w:iCs w:val="1"/>
                  <w:color w:val="0000EE"/>
                </w:rPr>
                <w:t>Legal Proceedings</w:t>
              </w:r>
            </w:hyperlink>
          </w:p>
        </w:tc>
        <w:tc>
          <w:tcPr>
            <w:tcW w:w="160" w:type="dxa"/>
            <w:vAlign w:val="bottom"/>
          </w:tcPr>
          <w:p>
            <w:pPr>
              <w:spacing w:after="0"/>
              <w:rPr>
                <w:sz w:val="17"/>
                <w:szCs w:val="17"/>
                <w:color w:val="auto"/>
              </w:rPr>
            </w:pPr>
          </w:p>
        </w:tc>
        <w:tc>
          <w:tcPr>
            <w:tcW w:w="2960" w:type="dxa"/>
            <w:vAlign w:val="bottom"/>
            <w:gridSpan w:val="7"/>
            <w:vMerge w:val="continue"/>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4"/>
            <w:vMerge w:val="restart"/>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80" w:type="dxa"/>
            <w:vAlign w:val="bottom"/>
            <w:gridSpan w:val="3"/>
            <w:vMerge w:val="continue"/>
          </w:tcPr>
          <w:p>
            <w:pPr>
              <w:spacing w:after="0"/>
              <w:rPr>
                <w:sz w:val="17"/>
                <w:szCs w:val="17"/>
                <w:color w:val="auto"/>
              </w:rPr>
            </w:pPr>
          </w:p>
        </w:tc>
        <w:tc>
          <w:tcPr>
            <w:tcW w:w="3000" w:type="dxa"/>
            <w:vAlign w:val="bottom"/>
            <w:gridSpan w:val="8"/>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spacing w:after="0" w:line="196" w:lineRule="exact"/>
              <w:rPr>
                <w:rFonts w:ascii="Arial" w:cs="Arial" w:eastAsia="Arial" w:hAnsi="Arial"/>
                <w:sz w:val="18"/>
                <w:szCs w:val="18"/>
                <w:b w:val="1"/>
                <w:bCs w:val="1"/>
                <w:color w:val="0000EE"/>
                <w:w w:val="94"/>
              </w:rPr>
            </w:pPr>
            <w:hyperlink w:anchor="page29">
              <w:r>
                <w:rPr>
                  <w:rFonts w:ascii="Arial" w:cs="Arial" w:eastAsia="Arial" w:hAnsi="Arial"/>
                  <w:sz w:val="18"/>
                  <w:szCs w:val="18"/>
                  <w:b w:val="1"/>
                  <w:bCs w:val="1"/>
                  <w:color w:val="0000EE"/>
                  <w:w w:val="94"/>
                </w:rPr>
                <w:t>Item 1A.</w:t>
              </w:r>
            </w:hyperlink>
          </w:p>
        </w:tc>
        <w:tc>
          <w:tcPr>
            <w:tcW w:w="400" w:type="dxa"/>
            <w:vAlign w:val="bottom"/>
          </w:tcPr>
          <w:p>
            <w:pPr>
              <w:spacing w:after="0"/>
              <w:rPr>
                <w:sz w:val="17"/>
                <w:szCs w:val="17"/>
                <w:color w:val="auto"/>
              </w:rPr>
            </w:pPr>
          </w:p>
        </w:tc>
        <w:tc>
          <w:tcPr>
            <w:tcW w:w="3000" w:type="dxa"/>
            <w:vAlign w:val="bottom"/>
            <w:gridSpan w:val="8"/>
          </w:tcPr>
          <w:p>
            <w:pPr>
              <w:ind w:left="40"/>
              <w:spacing w:after="0" w:line="19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Risk Factors</w:t>
              </w:r>
            </w:hyperlink>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2.</w:t>
              </w:r>
            </w:hyperlink>
          </w:p>
        </w:tc>
        <w:tc>
          <w:tcPr>
            <w:tcW w:w="400" w:type="dxa"/>
            <w:vAlign w:val="bottom"/>
          </w:tcPr>
          <w:p>
            <w:pPr>
              <w:spacing w:after="0"/>
              <w:rPr>
                <w:sz w:val="17"/>
                <w:szCs w:val="17"/>
                <w:color w:val="auto"/>
              </w:rPr>
            </w:pPr>
          </w:p>
        </w:tc>
        <w:tc>
          <w:tcPr>
            <w:tcW w:w="4760" w:type="dxa"/>
            <w:vAlign w:val="bottom"/>
            <w:gridSpan w:val="12"/>
          </w:tcPr>
          <w:p>
            <w:pPr>
              <w:ind w:left="40"/>
              <w:spacing w:after="0" w:line="196" w:lineRule="exact"/>
              <w:rPr>
                <w:rFonts w:ascii="Arial" w:cs="Arial" w:eastAsia="Arial" w:hAnsi="Arial"/>
                <w:sz w:val="18"/>
                <w:szCs w:val="18"/>
                <w:b w:val="1"/>
                <w:bCs w:val="1"/>
                <w:i w:val="1"/>
                <w:iCs w:val="1"/>
                <w:color w:val="0000EE"/>
                <w:w w:val="90"/>
              </w:rPr>
            </w:pPr>
            <w:hyperlink w:anchor="page29">
              <w:r>
                <w:rPr>
                  <w:rFonts w:ascii="Arial" w:cs="Arial" w:eastAsia="Arial" w:hAnsi="Arial"/>
                  <w:sz w:val="18"/>
                  <w:szCs w:val="18"/>
                  <w:b w:val="1"/>
                  <w:bCs w:val="1"/>
                  <w:i w:val="1"/>
                  <w:iCs w:val="1"/>
                  <w:color w:val="0000EE"/>
                  <w:w w:val="90"/>
                </w:rPr>
                <w:t>Unregistered Sales of Equity Securities and Use of Proceeds</w:t>
              </w:r>
            </w:hyperlink>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3"/>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5.</w:t>
              </w:r>
            </w:hyperlink>
          </w:p>
        </w:tc>
        <w:tc>
          <w:tcPr>
            <w:tcW w:w="3000" w:type="dxa"/>
            <w:vAlign w:val="bottom"/>
            <w:gridSpan w:val="8"/>
          </w:tcPr>
          <w:p>
            <w:pPr>
              <w:ind w:left="40"/>
              <w:spacing w:after="0" w:line="19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Other Information</w:t>
              </w:r>
            </w:hyperlink>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3"/>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6.</w:t>
              </w:r>
            </w:hyperlink>
          </w:p>
        </w:tc>
        <w:tc>
          <w:tcPr>
            <w:tcW w:w="3000" w:type="dxa"/>
            <w:vAlign w:val="bottom"/>
            <w:gridSpan w:val="8"/>
          </w:tcPr>
          <w:p>
            <w:pPr>
              <w:ind w:left="40"/>
              <w:spacing w:after="0" w:line="196" w:lineRule="exact"/>
              <w:rPr>
                <w:rFonts w:ascii="Arial" w:cs="Arial" w:eastAsia="Arial" w:hAnsi="Arial"/>
                <w:sz w:val="18"/>
                <w:szCs w:val="18"/>
                <w:b w:val="1"/>
                <w:bCs w:val="1"/>
                <w:i w:val="1"/>
                <w:iCs w:val="1"/>
                <w:color w:val="0000EE"/>
              </w:rPr>
            </w:pPr>
            <w:hyperlink w:anchor="page30">
              <w:r>
                <w:rPr>
                  <w:rFonts w:ascii="Arial" w:cs="Arial" w:eastAsia="Arial" w:hAnsi="Arial"/>
                  <w:sz w:val="18"/>
                  <w:szCs w:val="18"/>
                  <w:b w:val="1"/>
                  <w:bCs w:val="1"/>
                  <w:i w:val="1"/>
                  <w:iCs w:val="1"/>
                  <w:color w:val="0000EE"/>
                </w:rPr>
                <w:t>Exhibits</w:t>
              </w:r>
            </w:hyperlink>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gridSpan w:val="4"/>
          </w:tcPr>
          <w:p>
            <w:pPr>
              <w:jc w:val="center"/>
              <w:ind w:left="1410"/>
              <w:spacing w:after="0"/>
              <w:rPr>
                <w:sz w:val="20"/>
                <w:szCs w:val="20"/>
                <w:color w:val="auto"/>
              </w:rPr>
            </w:pPr>
            <w:r>
              <w:rPr>
                <w:rFonts w:ascii="Arial" w:cs="Arial" w:eastAsia="Arial" w:hAnsi="Arial"/>
                <w:sz w:val="18"/>
                <w:szCs w:val="18"/>
                <w:color w:val="auto"/>
                <w:w w:val="99"/>
              </w:rPr>
              <w:t>2</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080" w:type="dxa"/>
            <w:vAlign w:val="bottom"/>
            <w:gridSpan w:val="11"/>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40" w:type="dxa"/>
            <w:vAlign w:val="bottom"/>
            <w:gridSpan w:val="12"/>
          </w:tcPr>
          <w:p>
            <w:pPr>
              <w:jc w:val="center"/>
              <w:ind w:right="880"/>
              <w:spacing w:after="0"/>
              <w:rPr>
                <w:sz w:val="20"/>
                <w:szCs w:val="20"/>
                <w:color w:val="auto"/>
              </w:rPr>
            </w:pPr>
            <w:r>
              <w:rPr>
                <w:rFonts w:ascii="Arial" w:cs="Arial" w:eastAsia="Arial" w:hAnsi="Arial"/>
                <w:sz w:val="18"/>
                <w:szCs w:val="18"/>
                <w:b w:val="1"/>
                <w:bCs w:val="1"/>
                <w:color w:val="auto"/>
              </w:rPr>
              <w:t>PART 1—FINANCIAL INFORMATION</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80" w:type="dxa"/>
            <w:vAlign w:val="bottom"/>
            <w:gridSpan w:val="11"/>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40" w:type="dxa"/>
            <w:vAlign w:val="bottom"/>
            <w:gridSpan w:val="12"/>
          </w:tcPr>
          <w:p>
            <w:pPr>
              <w:jc w:val="center"/>
              <w:ind w:right="880"/>
              <w:spacing w:after="0"/>
              <w:rPr>
                <w:sz w:val="20"/>
                <w:szCs w:val="20"/>
                <w:color w:val="auto"/>
              </w:rPr>
            </w:pPr>
            <w:r>
              <w:rPr>
                <w:rFonts w:ascii="Arial" w:cs="Arial" w:eastAsia="Arial" w:hAnsi="Arial"/>
                <w:sz w:val="18"/>
                <w:szCs w:val="18"/>
                <w:b w:val="1"/>
                <w:bCs w:val="1"/>
                <w:color w:val="auto"/>
                <w:w w:val="99"/>
              </w:rPr>
              <w:t>TREE.COM, INC. AND SUBSIDIARIES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60" w:type="dxa"/>
            <w:vAlign w:val="bottom"/>
            <w:gridSpan w:val="13"/>
          </w:tcPr>
          <w:p>
            <w:pPr>
              <w:jc w:val="center"/>
              <w:ind w:left="1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3"/>
              </w:rPr>
              <w:t>(Unaudited)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4"/>
          </w:tcPr>
          <w:p>
            <w:pPr>
              <w:jc w:val="center"/>
              <w:ind w:left="452"/>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452"/>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Borders>
              <w:bottom w:val="single" w:sz="8" w:color="auto"/>
            </w:tcBorders>
            <w:gridSpan w:val="2"/>
          </w:tcPr>
          <w:p>
            <w:pPr>
              <w:jc w:val="center"/>
              <w:ind w:left="443"/>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2011</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gridSpan w:val="10"/>
          </w:tcPr>
          <w:p>
            <w:pPr>
              <w:jc w:val="right"/>
              <w:ind w:right="540"/>
              <w:spacing w:after="0" w:line="142" w:lineRule="exact"/>
              <w:rPr>
                <w:sz w:val="20"/>
                <w:szCs w:val="20"/>
                <w:color w:val="auto"/>
              </w:rPr>
            </w:pPr>
            <w:r>
              <w:rPr>
                <w:rFonts w:ascii="Arial" w:cs="Arial" w:eastAsia="Arial" w:hAnsi="Arial"/>
                <w:sz w:val="14"/>
                <w:szCs w:val="14"/>
                <w:b w:val="1"/>
                <w:bCs w:val="1"/>
                <w:color w:val="auto"/>
                <w:w w:val="98"/>
              </w:rPr>
              <w:t>(In thousands, except per share amounts)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23,296</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13,101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43,951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11"/>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11"/>
          </w:tcPr>
          <w:p>
            <w:pPr>
              <w:ind w:left="180"/>
              <w:spacing w:after="0"/>
              <w:rPr>
                <w:sz w:val="20"/>
                <w:szCs w:val="20"/>
                <w:color w:val="auto"/>
              </w:rPr>
            </w:pPr>
            <w:r>
              <w:rPr>
                <w:rFonts w:ascii="Arial" w:cs="Arial" w:eastAsia="Arial" w:hAnsi="Arial"/>
                <w:sz w:val="18"/>
                <w:szCs w:val="18"/>
                <w:color w:val="auto"/>
              </w:rPr>
              <w:t>Selling and marketing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13,376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8,475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34,997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39,246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16,166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11"/>
          </w:tcPr>
          <w:p>
            <w:pPr>
              <w:ind w:left="180"/>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853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2,383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2,677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11"/>
          </w:tcPr>
          <w:p>
            <w:pPr>
              <w:ind w:left="180"/>
              <w:spacing w:after="0"/>
              <w:rPr>
                <w:sz w:val="20"/>
                <w:szCs w:val="20"/>
                <w:color w:val="auto"/>
              </w:rPr>
            </w:pPr>
            <w:r>
              <w:rPr>
                <w:rFonts w:ascii="Arial" w:cs="Arial" w:eastAsia="Arial" w:hAnsi="Arial"/>
                <w:sz w:val="18"/>
                <w:szCs w:val="18"/>
                <w:color w:val="auto"/>
              </w:rPr>
              <w:t>Restructuring expense (gain)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11"/>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934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3,677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gridSpan w:val="11"/>
          </w:tcPr>
          <w:p>
            <w:pPr>
              <w:ind w:left="36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22,489</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16,861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60,733</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11"/>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(56,470)</w:t>
            </w:r>
          </w:p>
        </w:tc>
        <w:tc>
          <w:tcPr>
            <w:tcW w:w="1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w w:val="89"/>
              </w:rPr>
              <w:t>Other expense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gridSpan w:val="11"/>
          </w:tcPr>
          <w:p>
            <w:pPr>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(56,736)</w:t>
            </w:r>
          </w:p>
        </w:tc>
        <w:tc>
          <w:tcPr>
            <w:tcW w:w="1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11"/>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12,128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11"/>
          </w:tcPr>
          <w:p>
            <w:pPr>
              <w:spacing w:after="0"/>
              <w:rPr>
                <w:sz w:val="20"/>
                <w:szCs w:val="20"/>
                <w:color w:val="auto"/>
              </w:rPr>
            </w:pPr>
            <w:r>
              <w:rPr>
                <w:rFonts w:ascii="Arial" w:cs="Arial" w:eastAsia="Arial" w:hAnsi="Arial"/>
                <w:sz w:val="18"/>
                <w:szCs w:val="18"/>
                <w:color w:val="auto"/>
                <w:w w:val="97"/>
              </w:rPr>
              <w:t>Gain from sale of discontinued operations, net of tax</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7,752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gridSpan w:val="15"/>
            <w:shd w:val="clear" w:color="auto" w:fill="CCEEFF"/>
          </w:tcPr>
          <w:p>
            <w:pPr>
              <w:spacing w:after="0" w:line="201" w:lineRule="exact"/>
              <w:rPr>
                <w:sz w:val="20"/>
                <w:szCs w:val="20"/>
                <w:color w:val="auto"/>
              </w:rPr>
            </w:pPr>
            <w:r>
              <w:rPr>
                <w:rFonts w:ascii="Arial" w:cs="Arial" w:eastAsia="Arial" w:hAnsi="Arial"/>
                <w:sz w:val="18"/>
                <w:szCs w:val="18"/>
                <w:color w:val="auto"/>
              </w:rPr>
              <w:t>Income (loss) from operations of discontinued operations, net of</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4,112</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8,969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24,745</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gridSpan w:val="11"/>
          </w:tcPr>
          <w:p>
            <w:pPr>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16,721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49,058</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(16,077)</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w w:val="92"/>
              </w:rPr>
              <w:t>Net income (loss) attributable to common shareholders</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13,315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44,306</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(60,685)</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11"/>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tcBorders>
              <w:bottom w:val="single" w:sz="8" w:color="CCEEFF"/>
            </w:tcBorders>
            <w:gridSpan w:val="11"/>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11,389</w:t>
            </w: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11,037</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11,293</w:t>
            </w:r>
          </w:p>
        </w:tc>
        <w:tc>
          <w:tcPr>
            <w:tcW w:w="2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10,978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80" w:type="dxa"/>
            <w:vAlign w:val="bottom"/>
            <w:tcBorders>
              <w:bottom w:val="single" w:sz="8" w:color="CCEEFF"/>
            </w:tcBorders>
            <w:gridSpan w:val="11"/>
            <w:shd w:val="clear" w:color="auto" w:fill="CCEEFF"/>
          </w:tcPr>
          <w:p>
            <w:pPr>
              <w:spacing w:after="0" w:line="190" w:lineRule="exact"/>
              <w:rPr>
                <w:sz w:val="20"/>
                <w:szCs w:val="20"/>
                <w:color w:val="auto"/>
              </w:rPr>
            </w:pPr>
            <w:r>
              <w:rPr>
                <w:rFonts w:ascii="Arial" w:cs="Arial" w:eastAsia="Arial" w:hAnsi="Arial"/>
                <w:sz w:val="18"/>
                <w:szCs w:val="18"/>
                <w:color w:val="auto"/>
              </w:rPr>
              <w:t>Weighted average diluted shares outstanding</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12,003</w:t>
            </w: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11,037</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11,293</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10,978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gridSpan w:val="11"/>
            <w:vMerge w:val="restart"/>
          </w:tcPr>
          <w:p>
            <w:pPr>
              <w:spacing w:after="0"/>
              <w:rPr>
                <w:sz w:val="20"/>
                <w:szCs w:val="20"/>
                <w:color w:val="auto"/>
              </w:rPr>
            </w:pPr>
            <w:r>
              <w:rPr>
                <w:rFonts w:ascii="Arial" w:cs="Arial" w:eastAsia="Arial" w:hAnsi="Arial"/>
                <w:sz w:val="18"/>
                <w:szCs w:val="18"/>
                <w:color w:val="auto"/>
                <w:w w:val="92"/>
              </w:rPr>
              <w:t>Net income (loss) per share from continuing operations</w:t>
            </w: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80" w:type="dxa"/>
            <w:vAlign w:val="bottom"/>
            <w:gridSpan w:val="11"/>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Arial" w:cs="Arial" w:eastAsia="Arial" w:hAnsi="Arial"/>
                <w:sz w:val="18"/>
                <w:szCs w:val="18"/>
                <w:color w:val="auto"/>
              </w:rPr>
              <w:t>Diluted</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Borders>
              <w:bottom w:val="single" w:sz="8" w:color="CCEEFF"/>
            </w:tcBorders>
            <w:gridSpan w:val="3"/>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30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(0.31)</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2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000" w:type="dxa"/>
            <w:vAlign w:val="bottom"/>
            <w:gridSpan w:val="13"/>
            <w:shd w:val="clear" w:color="auto" w:fill="CCEEFF"/>
          </w:tcPr>
          <w:p>
            <w:pPr>
              <w:spacing w:after="0" w:line="170" w:lineRule="exact"/>
              <w:rPr>
                <w:sz w:val="20"/>
                <w:szCs w:val="20"/>
                <w:color w:val="auto"/>
              </w:rPr>
            </w:pPr>
            <w:r>
              <w:rPr>
                <w:rFonts w:ascii="Arial" w:cs="Arial" w:eastAsia="Arial" w:hAnsi="Arial"/>
                <w:sz w:val="18"/>
                <w:szCs w:val="18"/>
                <w:color w:val="auto"/>
              </w:rPr>
              <w:t>Net income (loss) per share from discontinued operations</w:t>
            </w: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080" w:type="dxa"/>
            <w:vAlign w:val="bottom"/>
            <w:gridSpan w:val="3"/>
          </w:tcPr>
          <w:p>
            <w:pPr>
              <w:ind w:left="180"/>
              <w:spacing w:after="0"/>
              <w:rPr>
                <w:sz w:val="20"/>
                <w:szCs w:val="20"/>
                <w:color w:val="auto"/>
              </w:rPr>
            </w:pPr>
            <w:r>
              <w:rPr>
                <w:rFonts w:ascii="Arial" w:cs="Arial" w:eastAsia="Arial" w:hAnsi="Arial"/>
                <w:sz w:val="18"/>
                <w:szCs w:val="18"/>
                <w:color w:val="auto"/>
              </w:rPr>
              <w:t>Basic</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gridSpan w:val="3"/>
          </w:tcPr>
          <w:p>
            <w:pPr>
              <w:jc w:val="right"/>
              <w:ind w:right="42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0.36</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2"/>
                <w:szCs w:val="22"/>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1.52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2"/>
                <w:szCs w:val="22"/>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080" w:type="dxa"/>
            <w:vAlign w:val="bottom"/>
            <w:tcBorders>
              <w:top w:val="single" w:sz="8" w:color="CCEEFF"/>
              <w:bottom w:val="single" w:sz="8" w:color="CCEEFF"/>
            </w:tcBorders>
            <w:gridSpan w:val="3"/>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gridSpan w:val="13"/>
            <w:vMerge w:val="restart"/>
          </w:tcPr>
          <w:p>
            <w:pPr>
              <w:spacing w:after="0"/>
              <w:rPr>
                <w:sz w:val="20"/>
                <w:szCs w:val="20"/>
                <w:color w:val="auto"/>
              </w:rPr>
            </w:pPr>
            <w:r>
              <w:rPr>
                <w:rFonts w:ascii="Arial" w:cs="Arial" w:eastAsia="Arial" w:hAnsi="Arial"/>
                <w:sz w:val="18"/>
                <w:szCs w:val="18"/>
                <w:color w:val="auto"/>
                <w:w w:val="96"/>
              </w:rPr>
              <w:t>Net income (loss) per share attributable to common shareholders</w:t>
            </w: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0" w:type="dxa"/>
            <w:vAlign w:val="bottom"/>
            <w:gridSpan w:val="13"/>
            <w:vMerge w:val="continue"/>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0.38</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Arial" w:cs="Arial" w:eastAsia="Arial" w:hAnsi="Arial"/>
                <w:sz w:val="18"/>
                <w:szCs w:val="18"/>
                <w:color w:val="auto"/>
              </w:rPr>
              <w:t>Diluted</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80" w:type="dxa"/>
            <w:vAlign w:val="bottom"/>
          </w:tcPr>
          <w:p>
            <w:pPr>
              <w:jc w:val="right"/>
              <w:ind w:right="423"/>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0.37</w:t>
            </w:r>
          </w:p>
        </w:tc>
        <w:tc>
          <w:tcPr>
            <w:tcW w:w="300" w:type="dxa"/>
            <w:vAlign w:val="bottom"/>
            <w:vMerge w:val="continue"/>
          </w:tcPr>
          <w:p>
            <w:pPr>
              <w:spacing w:after="0"/>
              <w:rPr>
                <w:sz w:val="17"/>
                <w:szCs w:val="17"/>
                <w:color w:val="auto"/>
              </w:rPr>
            </w:pPr>
          </w:p>
        </w:tc>
        <w:tc>
          <w:tcPr>
            <w:tcW w:w="420" w:type="dxa"/>
            <w:vAlign w:val="bottom"/>
          </w:tcPr>
          <w:p>
            <w:pPr>
              <w:jc w:val="right"/>
              <w:ind w:right="232"/>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1.21</w:t>
            </w: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3.92</w:t>
            </w:r>
          </w:p>
        </w:tc>
        <w:tc>
          <w:tcPr>
            <w:tcW w:w="28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(5.53</w:t>
            </w:r>
          </w:p>
        </w:tc>
        <w:tc>
          <w:tcPr>
            <w:tcW w:w="1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-7342505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-7342505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87" w:orient="portrait"/>
          <w:cols w:equalWidth="0" w:num="1">
            <w:col w:w="11460"/>
          </w:cols>
          <w:pgMar w:left="240" w:top="320" w:right="19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240" w:type="dxa"/>
            <w:vAlign w:val="bottom"/>
          </w:tcPr>
          <w:p>
            <w:pPr>
              <w:spacing w:after="0"/>
              <w:rPr>
                <w:sz w:val="14"/>
                <w:szCs w:val="14"/>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3"/>
          </w:tcPr>
          <w:p>
            <w:pPr>
              <w:jc w:val="center"/>
              <w:ind w:left="833"/>
              <w:spacing w:after="0" w:line="119" w:lineRule="exact"/>
              <w:rPr>
                <w:sz w:val="20"/>
                <w:szCs w:val="20"/>
                <w:color w:val="auto"/>
              </w:rPr>
            </w:pPr>
            <w:r>
              <w:rPr>
                <w:rFonts w:ascii="Arial" w:cs="Arial" w:eastAsia="Arial" w:hAnsi="Arial"/>
                <w:sz w:val="13"/>
                <w:szCs w:val="13"/>
                <w:b w:val="1"/>
                <w:bCs w:val="1"/>
                <w:color w:val="auto"/>
              </w:rPr>
              <w:t>(unaudited)</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4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 thousands, except</w:t>
            </w:r>
          </w:p>
        </w:tc>
        <w:tc>
          <w:tcPr>
            <w:tcW w:w="0" w:type="dxa"/>
            <w:vAlign w:val="bottom"/>
          </w:tcPr>
          <w:p>
            <w:pPr>
              <w:spacing w:after="0"/>
              <w:rPr>
                <w:sz w:val="1"/>
                <w:szCs w:val="1"/>
                <w:color w:val="auto"/>
              </w:rPr>
            </w:pPr>
          </w:p>
        </w:tc>
      </w:tr>
      <w:tr>
        <w:trPr>
          <w:trHeight w:val="149"/>
        </w:trPr>
        <w:tc>
          <w:tcPr>
            <w:tcW w:w="7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4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par value and share</w:t>
            </w:r>
          </w:p>
        </w:tc>
        <w:tc>
          <w:tcPr>
            <w:tcW w:w="0" w:type="dxa"/>
            <w:vAlign w:val="bottom"/>
          </w:tcPr>
          <w:p>
            <w:pPr>
              <w:spacing w:after="0"/>
              <w:rPr>
                <w:sz w:val="1"/>
                <w:szCs w:val="1"/>
                <w:color w:val="auto"/>
              </w:rPr>
            </w:pPr>
          </w:p>
        </w:tc>
      </w:tr>
      <w:tr>
        <w:trPr>
          <w:trHeight w:val="171"/>
        </w:trPr>
        <w:tc>
          <w:tcPr>
            <w:tcW w:w="7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w w:val="91"/>
              </w:rPr>
              <w:t>amounts)</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89,780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45,541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29,425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Accounts receivable, net of allowance of $94 and $86, respectively</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10,415</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232,425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131,623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6,924</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10,874</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1,162</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17,367</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31,784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58,611</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280,325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1,094</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Preferred stock $.01 par value; authorized 5,000,000 shares; none issued or outstanding</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$.01 par value; authorized 50,000,000 shares; issued 12,546,501 and 12,169,226 shares,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 and outstanding 11,393,804 and 11,045,965 shares, respectively</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915,417</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911,987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(813,799)</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(858,105)</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Treasury stock of 1,152,697 and 1,123,261 shares, respectively</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(8,892)</w:t>
            </w:r>
          </w:p>
        </w:tc>
        <w:tc>
          <w:tcPr>
            <w:tcW w:w="2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153,455</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Number</w:t>
            </w: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45,471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911,987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(858,105)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income for the nine months ended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2012</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44,306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44,306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3,735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3,735</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exercise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vesting of</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restricted stock units, net of withholding</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(360)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2012</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(813,799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337"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w:t>
      </w:r>
    </w:p>
    <w:p>
      <w:pPr>
        <w:jc w:val="center"/>
        <w:ind w:left="8200"/>
        <w:spacing w:after="0" w:line="236" w:lineRule="auto"/>
        <w:rPr>
          <w:sz w:val="20"/>
          <w:szCs w:val="20"/>
          <w:color w:val="auto"/>
        </w:rPr>
      </w:pPr>
      <w:r>
        <w:rPr>
          <w:rFonts w:ascii="Arial" w:cs="Arial" w:eastAsia="Arial" w:hAnsi="Arial"/>
          <w:sz w:val="14"/>
          <w:szCs w:val="14"/>
          <w:b w:val="1"/>
          <w:bCs w:val="1"/>
          <w:color w:val="auto"/>
        </w:rPr>
        <w:t>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7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 attributable to continuing operations: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44,306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(60,685)</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 (income) loss from discontinued operations, net of tax</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(49,058)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16,077</w:t>
            </w:r>
          </w:p>
        </w:tc>
      </w:tr>
      <w:tr>
        <w:trPr>
          <w:trHeight w:val="210"/>
        </w:trPr>
        <w:tc>
          <w:tcPr>
            <w:tcW w:w="7740" w:type="dxa"/>
            <w:vAlign w:val="bottom"/>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(44,608)</w:t>
            </w:r>
          </w:p>
        </w:tc>
        <w:tc>
          <w:tcPr>
            <w:tcW w:w="100" w:type="dxa"/>
            <w:vAlign w:val="bottom"/>
          </w:tcPr>
          <w:p>
            <w:pPr>
              <w:spacing w:after="0"/>
              <w:rPr>
                <w:sz w:val="18"/>
                <w:szCs w:val="18"/>
                <w:color w:val="auto"/>
              </w:rPr>
            </w:pPr>
          </w:p>
        </w:tc>
      </w:tr>
      <w:tr>
        <w:trPr>
          <w:trHeight w:val="202"/>
        </w:trPr>
        <w:tc>
          <w:tcPr>
            <w:tcW w:w="7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net loss from continuing operations to net cash used in operating activities</w:t>
            </w: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continuing operations:</w:t>
            </w:r>
          </w:p>
        </w:tc>
        <w:tc>
          <w:tcPr>
            <w:tcW w:w="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Loss on disposal of fixed assets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3,204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3,677</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impairment</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29,250</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3,565</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2,731</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(12,144)</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Bad debt expense (recovery)</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(4,938)</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(1,911)</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Accounts payable and other current liabilities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(2,492)</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986</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r>
      <w:tr>
        <w:trPr>
          <w:trHeight w:val="210"/>
        </w:trPr>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 attributable to continuing operations</w:t>
            </w:r>
          </w:p>
        </w:tc>
        <w:tc>
          <w:tcPr>
            <w:tcW w:w="5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(20,879)</w:t>
            </w:r>
          </w:p>
        </w:tc>
        <w:tc>
          <w:tcPr>
            <w:tcW w:w="100" w:type="dxa"/>
            <w:vAlign w:val="bottom"/>
            <w:tcBorders>
              <w:bottom w:val="single" w:sz="8" w:color="CCEEFF"/>
            </w:tcBorders>
          </w:tcPr>
          <w:p>
            <w:pPr>
              <w:spacing w:after="0"/>
              <w:rPr>
                <w:sz w:val="18"/>
                <w:szCs w:val="18"/>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 attributable to continuing operations:</w:t>
            </w: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(2,046)</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(5,480)</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restricted cash</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(1,488)</w:t>
            </w:r>
          </w:p>
        </w:tc>
      </w:tr>
      <w:tr>
        <w:trPr>
          <w:trHeight w:val="210"/>
        </w:trPr>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5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(6,093)</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Borders>
              <w:bottom w:val="single" w:sz="8" w:color="CCEEFF"/>
            </w:tcBorders>
          </w:tcPr>
          <w:p>
            <w:pPr>
              <w:spacing w:after="0"/>
              <w:rPr>
                <w:sz w:val="18"/>
                <w:szCs w:val="18"/>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 attributable to continuing operations:</w:t>
            </w: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Vesting and issuance of common stock, net of withholding taxes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(950)</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(Increase) decrease in restricted cash</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4,150</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(3,325)</w:t>
            </w:r>
          </w:p>
        </w:tc>
      </w:tr>
      <w:tr>
        <w:trPr>
          <w:trHeight w:val="210"/>
        </w:trPr>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 attributable to continuing operations</w:t>
            </w: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cash used in continuing operations</w:t>
            </w:r>
          </w:p>
        </w:tc>
        <w:tc>
          <w:tcPr>
            <w:tcW w:w="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(32,122)</w:t>
            </w:r>
          </w:p>
        </w:tc>
        <w:tc>
          <w:tcPr>
            <w:tcW w:w="100" w:type="dxa"/>
            <w:vAlign w:val="bottom"/>
            <w:tcBorders>
              <w:bottom w:val="single" w:sz="8" w:color="CCEEFF"/>
            </w:tcBorders>
          </w:tcPr>
          <w:p>
            <w:pPr>
              <w:spacing w:after="0"/>
              <w:rPr>
                <w:sz w:val="18"/>
                <w:szCs w:val="18"/>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 attributable to discontinued operations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222,885</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(58,317)</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cash provided by (used in) investing activities attributable to discontinued operations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25,923</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(9,310)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 attributable to discontinued operations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(197,659)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41,261</w:t>
            </w:r>
          </w:p>
        </w:tc>
      </w:tr>
      <w:tr>
        <w:trPr>
          <w:trHeight w:val="210"/>
        </w:trPr>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cash provided by (used in) discontinued operations</w:t>
            </w:r>
          </w:p>
        </w:tc>
        <w:tc>
          <w:tcPr>
            <w:tcW w:w="5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51,149</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(26,366)</w:t>
            </w:r>
          </w:p>
        </w:tc>
        <w:tc>
          <w:tcPr>
            <w:tcW w:w="100" w:type="dxa"/>
            <w:vAlign w:val="bottom"/>
            <w:tcBorders>
              <w:bottom w:val="single" w:sz="8" w:color="CCEEFF"/>
            </w:tcBorders>
          </w:tcPr>
          <w:p>
            <w:pPr>
              <w:spacing w:after="0"/>
              <w:rPr>
                <w:sz w:val="18"/>
                <w:szCs w:val="18"/>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(58,488)</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45,541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68,819</w:t>
            </w:r>
          </w:p>
        </w:tc>
      </w:tr>
      <w:tr>
        <w:trPr>
          <w:trHeight w:val="210"/>
        </w:trPr>
        <w:tc>
          <w:tcPr>
            <w:tcW w:w="7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6"/>
          <w:szCs w:val="16"/>
          <w:color w:val="auto"/>
        </w:rPr>
        <w:t>Tree.com, Inc. (“we”, “Tree.com” or the “Company”) is the parent of LendingTree, LLC, which owns several brands and businesses that provide information, tools, advice, products and services for critical transactions in consumers’ lives. Our family of brands includes: LendingTree.com</w:t>
      </w:r>
      <w:r>
        <w:rPr>
          <w:rFonts w:ascii="Arial" w:cs="Arial" w:eastAsia="Arial" w:hAnsi="Arial"/>
          <w:sz w:val="20"/>
          <w:szCs w:val="20"/>
          <w:color w:val="auto"/>
          <w:vertAlign w:val="superscript"/>
        </w:rPr>
        <w:t>®</w:t>
      </w:r>
      <w:r>
        <w:rPr>
          <w:rFonts w:ascii="Arial" w:cs="Arial" w:eastAsia="Arial" w:hAnsi="Arial"/>
          <w:sz w:val="16"/>
          <w:szCs w:val="16"/>
          <w:color w:val="auto"/>
        </w:rPr>
        <w:t>, GetSmart</w:t>
      </w:r>
      <w:r>
        <w:rPr>
          <w:rFonts w:ascii="Arial" w:cs="Arial" w:eastAsia="Arial" w:hAnsi="Arial"/>
          <w:sz w:val="20"/>
          <w:szCs w:val="20"/>
          <w:color w:val="auto"/>
          <w:vertAlign w:val="superscript"/>
        </w:rPr>
        <w:t>®</w:t>
      </w:r>
      <w:r>
        <w:rPr>
          <w:rFonts w:ascii="Arial" w:cs="Arial" w:eastAsia="Arial" w:hAnsi="Arial"/>
          <w:sz w:val="16"/>
          <w:szCs w:val="16"/>
          <w:color w:val="auto"/>
        </w:rPr>
        <w:t>, DegreeTree</w:t>
      </w:r>
      <w:r>
        <w:rPr>
          <w:rFonts w:ascii="Arial" w:cs="Arial" w:eastAsia="Arial" w:hAnsi="Arial"/>
          <w:sz w:val="20"/>
          <w:szCs w:val="20"/>
          <w:color w:val="auto"/>
          <w:vertAlign w:val="superscript"/>
        </w:rPr>
        <w:t>®</w:t>
      </w:r>
      <w:r>
        <w:rPr>
          <w:rFonts w:ascii="Arial" w:cs="Arial" w:eastAsia="Arial" w:hAnsi="Arial"/>
          <w:sz w:val="16"/>
          <w:szCs w:val="16"/>
          <w:color w:val="auto"/>
        </w:rPr>
        <w:t>, LendingTreeAutos, DoneRight</w:t>
      </w:r>
      <w:r>
        <w:rPr>
          <w:rFonts w:ascii="Arial" w:cs="Arial" w:eastAsia="Arial" w:hAnsi="Arial"/>
          <w:sz w:val="20"/>
          <w:szCs w:val="20"/>
          <w:color w:val="auto"/>
          <w:vertAlign w:val="superscript"/>
        </w:rPr>
        <w:t>®</w:t>
      </w:r>
      <w:r>
        <w:rPr>
          <w:rFonts w:ascii="Arial" w:cs="Arial" w:eastAsia="Arial" w:hAnsi="Arial"/>
          <w:sz w:val="16"/>
          <w:szCs w:val="16"/>
          <w:color w:val="auto"/>
        </w:rPr>
        <w:t>, ServiceTree</w:t>
      </w:r>
      <w:r>
        <w:rPr>
          <w:rFonts w:ascii="Arial" w:cs="Arial" w:eastAsia="Arial" w:hAnsi="Arial"/>
          <w:sz w:val="20"/>
          <w:szCs w:val="20"/>
          <w:color w:val="auto"/>
          <w:vertAlign w:val="superscript"/>
        </w:rPr>
        <w:t>SM</w:t>
      </w:r>
      <w:r>
        <w:rPr>
          <w:rFonts w:ascii="Arial" w:cs="Arial" w:eastAsia="Arial" w:hAnsi="Arial"/>
          <w:sz w:val="16"/>
          <w:szCs w:val="16"/>
          <w:color w:val="auto"/>
        </w:rPr>
        <w:t>, InsuranceTree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HealthTree. Together, these brands serve as an ally for consumers who are looking to comparison shop for loans and other services from multiple businesses and professionals who will compete for their business. We refer to the collection of these brands and businesses as our Exchanges business, which comprises our continuing operations, as detailed herein.</w:t>
      </w:r>
    </w:p>
    <w:p>
      <w:pPr>
        <w:sectPr>
          <w:pgSz w:w="11900" w:h="16838" w:orient="portrait"/>
          <w:cols w:equalWidth="0" w:num="1">
            <w:col w:w="11420"/>
          </w:cols>
          <w:pgMar w:left="240" w:top="341"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Through the quarter ended March 31, 2011, we operated in two reportable business segments: LendingTree Loans and Exchanges. Until the completion on June 6, 2012 of the sale of substantially all of the operating assets of our LendingTree Loans business to a wholly-owned subsidiary of Discover Financial Services, discussed below and in Note 6, the LendingTree Loans segment originated, processed, approved and funded various residential real estate loans through Home Loan Center, Inc. dba LendingTree Loans (“HLC”). The business operated by HLC under the HLC and LendingTree Loans brand names is referred to in this report as “LendingTree Loans.” Discover Financial Services and/or any of its affiliates are collectively referred to in this report as “Discover.”</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Exchanges segment consists of online lead generation networks and call centers that connect consumers and service providers principally in the lending, higher education, automobile, home services and insurance marketplaces.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entering into the agreement in the second quarter of 2011 that provided for the sale of substantially all of the operating assets of our LendingTree Loans business, management re-evaluated its reporting segments based on our continuing operations and determined that our continuing operations were one reportable segment, which represents the previous “Exchanges” segment. Prior period results have been reclassified to conform with discontinued operations presentation and the change in reportable segments.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maintain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businesses of RealEstate.com and RealEstate.com, REALTORS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together represent the former Real Estate segment) and LendingTree Loans are presented as discontinued operations in the accompanying consolidated balance sheets and consolidated statements of operations and cash flows for all periods presented. The notes accompanying these consolidated financial statements reflect our continuing operations and, unless otherwise noted, exclude information related to the discontinued operations.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w:t>
      </w:r>
      <w:r>
        <w:rPr>
          <w:rFonts w:ascii="Arial" w:cs="Arial" w:eastAsia="Arial" w:hAnsi="Arial"/>
          <w:sz w:val="23"/>
          <w:szCs w:val="23"/>
          <w:color w:val="auto"/>
          <w:vertAlign w:val="superscript"/>
        </w:rPr>
        <w:t>®</w:t>
      </w:r>
      <w:r>
        <w:rPr>
          <w:rFonts w:ascii="Arial" w:cs="Arial" w:eastAsia="Arial" w:hAnsi="Arial"/>
          <w:sz w:val="18"/>
          <w:szCs w:val="18"/>
          <w:color w:val="auto"/>
        </w:rPr>
        <w:t>. We exited all markets in which we previously operated by March 31, 2011. In September 2011, we sold the remaining assets of RealEstate.com, which consisted primarily of internet domain names and trademarks, for $8.3 million and recognized a gain on sale of $7.8 million.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720" w:firstLine="648"/>
        <w:spacing w:after="0" w:line="381" w:lineRule="auto"/>
        <w:rPr>
          <w:sz w:val="20"/>
          <w:szCs w:val="20"/>
          <w:color w:val="auto"/>
        </w:rPr>
      </w:pPr>
      <w:r>
        <w:rPr>
          <w:rFonts w:ascii="Arial" w:cs="Arial" w:eastAsia="Arial" w:hAnsi="Arial"/>
          <w:sz w:val="15"/>
          <w:szCs w:val="15"/>
          <w:color w:val="auto"/>
        </w:rPr>
        <w:t>On May 12, 2011, we entered into an asset purchase agreement, as amended by an amendment to the asset purchase agreement dated as of February 7, 2012, for the sale of substantially all of the operating assets of our LendingTree Loans business. We completed the sale on June 6, 2012.</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$10.0 million is due on the first anniversary of the closing, subject to us meeting certain conditions.</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Discover generally did not assume liabilities of the LendingTree Loans business that arose before the closing date, except for certain liabilities directly related to assets Discover acquired. Approximately $17.1 million of the initial purchase price payment is being held in escrow pending resolution of certain actual and/or contingent liabilities that remain with us following the sale. The escrowed amount is recorded as restricted cash at September 30, 2012.</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Separate from the asset purchase agreement, we agreed to provide certain marketing-related services to Discover in connection with its mortgage origination business for approximately seventeen months following the closing, or such earlier point as the agreed-upon services are satisfactorily completed. Discover is also now a participating lender on our lending network.</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unaudited pro forma financial information in the table below summarizes our results as if the sale of substantially all of the operating assets of LendingTree Loans had occurred as of January 1, 2011. The unaudited pro forma financial information is presented for informational purposes only and is not necessarily indicative of what the results would have been had the sale occurred as of January 1, 2011.</w:t>
      </w:r>
    </w:p>
    <w:p>
      <w:pPr>
        <w:spacing w:after="0" w:line="16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Nine Months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6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6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6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43,951</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(4,752)</w:t>
            </w: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(44,608)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(44,608)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Basic earnings per share attributable to common shareholders</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attributable to common shareholders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March 15, 2011, our wholly-owned subsidiary, HLC, completed its acquisition of certain assets of First Residential Mortgage Network, Inc. dba SurePoint Lending, pursuant to an asset purchase agreement dated November 15, 2010. SurePoint, a LendingTree network lender for eleven years, was a full-service residential mortgage provider licensed in 45 states and employed over 500 people, including more than 300 licensed loan officers. HLC purchased certain specified assets and assumed certain liabilities of SurePoint related to its business of originating, refinancing, processing, underwriting, funding and closing residential mortgage loans; providing title and escrow services; and providing other mortgage-related services. The acquired assets also included the equity interests of Real Estate Title Services, LLC. HLC paid $8.0 million in cash upon the closing of the transaction, subject to certain adjustments as</w:t>
      </w:r>
    </w:p>
    <w:p>
      <w:pPr>
        <w:sectPr>
          <w:pgSz w:w="11900" w:h="16838" w:orient="portrait"/>
          <w:cols w:equalWidth="0" w:num="1">
            <w:col w:w="11400"/>
          </w:cols>
          <w:pgMar w:left="240" w:top="121" w:right="259" w:bottom="0" w:gutter="0" w:footer="0" w:header="0"/>
        </w:sectPr>
      </w:pPr>
    </w:p>
    <w:bookmarkStart w:id="5" w:name="page6"/>
    <w:bookmarkEnd w:id="5"/>
    <w:p>
      <w:pPr>
        <w:ind w:right="40"/>
        <w:spacing w:after="0" w:line="277" w:lineRule="auto"/>
        <w:rPr>
          <w:sz w:val="20"/>
          <w:szCs w:val="20"/>
          <w:color w:val="auto"/>
        </w:rPr>
      </w:pPr>
      <w:r>
        <w:rPr>
          <w:rFonts w:ascii="Arial" w:cs="Arial" w:eastAsia="Arial" w:hAnsi="Arial"/>
          <w:sz w:val="18"/>
          <w:szCs w:val="18"/>
          <w:color w:val="auto"/>
        </w:rPr>
        <w:t>described in the asset purchase agreement, and $0.2 million in cash for contingent consideration subsequent to the close. HLC used available cash to fund the acquisition.</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asset purchase was accounted for under the acquisition method of accounting. Accordingly, the purchase price was allocated to the acquired assets and liabilities based on their estimated fair values at the acquisition date. The purchase price was allocated as $5.6 million to goodwill, $0.7 million to intangible assets with useful lives of three months to five years, and $1.7 million to equipment and other assets. The pro forma effect of this purchase was not material to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an Error</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disclosed in our Form 10-K for the year ended December 31, 2011, during the process of preparing our financial statements for the year ended December 31, 2011, we determined that a $29.0 million impairment charge related to trade names and trademarks that we determined to exist as of October 1, 2011, as determined in our annual impairment testing, should have been recorded in the second quarter of 2011 pursuant to the impairment test we performed as a result of our entry into the asset purchase agreement for the sale of substantially all of the assets of our LendingTree Loans business. As a result of this error, certain previously reported amounts in the condensed consolidated financial statements for the quarter ended September 30, 2011 were materially misstated; accordingly we have restated the prior period financial statements.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restated condensed consolidated statement of operations for the three months ended September 30, 2011 is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As Previously</w:t>
            </w:r>
          </w:p>
        </w:tc>
        <w:tc>
          <w:tcPr>
            <w:tcW w:w="18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4"/>
                <w:szCs w:val="14"/>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Presented</w:t>
            </w:r>
          </w:p>
        </w:tc>
        <w:tc>
          <w:tcPr>
            <w:tcW w:w="18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Correction</w:t>
            </w: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(3,685)</w:t>
            </w: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operations of discontinued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net of tax</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8,531</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16,283</w:t>
            </w: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16,721</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common</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12,598</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13,315</w:t>
            </w: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from</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income per share from</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Basic and diluted net income per share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attributable to common shareholders</w:t>
            </w:r>
          </w:p>
        </w:tc>
        <w:tc>
          <w:tcPr>
            <w:tcW w:w="16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restated condensed consolidated statement of operations for the nine months ended September 30, 2011 is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As Previously</w:t>
            </w:r>
          </w:p>
        </w:tc>
        <w:tc>
          <w:tcPr>
            <w:tcW w:w="20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4"/>
                <w:szCs w:val="14"/>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Presented</w:t>
            </w:r>
          </w:p>
        </w:tc>
        <w:tc>
          <w:tcPr>
            <w:tcW w:w="20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Correction</w:t>
            </w: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impairments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71,421</w:t>
            </w: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29,000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100,421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(27,470)</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(56,470)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(27,736)</w:t>
            </w:r>
          </w:p>
        </w:tc>
        <w:tc>
          <w:tcPr>
            <w:tcW w:w="2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(29,000)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(56,736)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12,245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(27,853)</w:t>
            </w:r>
          </w:p>
        </w:tc>
        <w:tc>
          <w:tcPr>
            <w:tcW w:w="2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(16,755)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(44,608)</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from operations of discontinued</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net of tax</w:t>
            </w: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(24,615)</w:t>
            </w: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(23,829)</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(16,863)</w:t>
            </w: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attributable to common shareholders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(44,716)</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(15,969)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(60,685)</w:t>
            </w:r>
          </w:p>
        </w:tc>
        <w:tc>
          <w:tcPr>
            <w:tcW w:w="0" w:type="dxa"/>
            <w:vAlign w:val="bottom"/>
          </w:tcPr>
          <w:p>
            <w:pPr>
              <w:spacing w:after="0"/>
              <w:rPr>
                <w:sz w:val="1"/>
                <w:szCs w:val="1"/>
                <w:color w:val="auto"/>
              </w:rPr>
            </w:pPr>
          </w:p>
        </w:tc>
      </w:tr>
      <w:tr>
        <w:trPr>
          <w:trHeight w:val="202"/>
        </w:trPr>
        <w:tc>
          <w:tcPr>
            <w:tcW w:w="360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from</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 from</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2"/>
        </w:trPr>
        <w:tc>
          <w:tcPr>
            <w:tcW w:w="360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from</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attributable to common shareholders</w:t>
            </w:r>
          </w:p>
        </w:tc>
        <w:tc>
          <w:tcPr>
            <w:tcW w:w="1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restated cash flows from operating activities section of the condensed consolidated statement of cash flows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is as follows:</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As Previously</w:t>
            </w:r>
          </w:p>
        </w:tc>
        <w:tc>
          <w:tcPr>
            <w:tcW w:w="20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Impairment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Presented</w:t>
            </w:r>
          </w:p>
        </w:tc>
        <w:tc>
          <w:tcPr>
            <w:tcW w:w="20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Correction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(44,716)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(15,969)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(60,685)</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loss from discontinued operations, net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tax</w:t>
            </w: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16,863</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(27,853)</w:t>
            </w: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(16,755)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(44,608)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Intangible impairment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29,250</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(12,245)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(12,144)</w:t>
            </w: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11380"/>
          </w:cols>
          <w:pgMar w:left="240" w:top="125" w:right="279" w:bottom="273" w:gutter="0" w:footer="0" w:header="0"/>
        </w:sect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273"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 of Period Adjustment</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results of operations for the three and nine months ended September 30, 2012 include a reduction to net income of approximately $0.3 million resulting from additional interest expense related to our shares of Series A Redeemable Preferred Stock of a wholly-owned subsidiary of Tree.com that should have been recorded as a reduction to net income or increase to net loss from the third quarter of 2008 through the third quarter of 2012. Because the amounts are not material to our consolidated financial statements in any prior period, and the cumulative amount is not expected to be material to the results of operations for the full year 2012, we recorded the cumulative effect of correcting these items during the three months ended September 30,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accompanying unaudited interim consolidated financial statements as of September 30, 2012 and 2011 and for the three and nine months then ended have been prepared in accordance with accounting principles generally accepted in the United States of America (“GAAP”) for interim financial information and the rules and regulations of the U.S. Securities and Exchange Commission (“SEC”). Accordingly, they do not include all of the information and footnotes required by generally accepted accounting principles for annual financial statements. In the opinion of management, the unaudited interim consolidated financial statements have been prepared on the same basis as the audited financial statements, and include all adjustments, consisting only of normal recurring adjustments, necessary for the fair presentation of our financial position for the periods presented. The results for the three and nine months ended September 30, 2012 are not necessarily indicative of the results to be expected for the year ending December 31, 2012, or any other period. These financial statements and notes should be read in conjunction with the audited financial statements and notes thereto included in our annual report on Form 10-K for the year ended December 31, 2011.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valuation allowance for impaired loans held for sale; loan loss obligations; the fair value of loans held for sale and related derivatives;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One customer on our networks accounted for revenue representing 22% and 11% for the three and nine months ended September 30, 2012, respectively. No customer accounted for more than 10% of revenue for the three or nine months ended September 30,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and short-term, highly liquid money market investments with original maturities of three months or less.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loan loss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Cash in escrow for surety bonds</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6,501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corporate purchasing card program</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Minimum required balances for warehouse lines of credit</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4,250</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r>
      <w:tr>
        <w:trPr>
          <w:trHeight w:val="210"/>
        </w:trPr>
        <w:tc>
          <w:tcPr>
            <w:tcW w:w="6480" w:type="dxa"/>
            <w:vAlign w:val="bottom"/>
          </w:tcPr>
          <w:p>
            <w:pPr>
              <w:ind w:left="180"/>
              <w:spacing w:after="0"/>
              <w:rPr>
                <w:sz w:val="20"/>
                <w:szCs w:val="20"/>
                <w:color w:val="auto"/>
              </w:rPr>
            </w:pPr>
            <w:r>
              <w:rPr>
                <w:rFonts w:ascii="Arial" w:cs="Arial" w:eastAsia="Arial" w:hAnsi="Arial"/>
                <w:sz w:val="18"/>
                <w:szCs w:val="18"/>
                <w:color w:val="auto"/>
              </w:rPr>
              <w:t>Total restricted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Cash in escrow for loan loss obligations includes $17.1 million held in escrow pursuant to the asset purchase agreement for the sale of substantially all of the operating assets of our LendingTree Loans business, pending the resolution of certain actual and/or contingent liabilities that remain with us following the closing of such sale, and $3.0 million is held by an investor that purchased loans from LendingTree Loans to secure potential loan loss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Revenue principally represents match fees and closed-loan fees paid by lenders that received a transmitted loan request and/or closed a loan for a consumer that originated through one of our websites or affiliates. Revenue also includes match fees paid by institutions of higher education and businesses and professionals in the automobile, home services and insurance industries for a transmitted lead or service request. Match fees are recognized at the time qualification forms are transmitted. Closed-loan fees are recognized at the time the lender reports the closed loan to us, which may be several months after the loan request is transmitted. Revenue also includes fees paid by advertisers on our websites. In addition, during the nine months ended September 30, 2012, we</w:t>
      </w:r>
    </w:p>
    <w:p>
      <w:pPr>
        <w:sectPr>
          <w:pgSz w:w="11900" w:h="16838" w:orient="portrait"/>
          <w:cols w:equalWidth="0" w:num="1">
            <w:col w:w="11420"/>
          </w:cols>
          <w:pgMar w:left="240" w:top="125" w:right="239" w:bottom="0" w:gutter="0" w:footer="0" w:header="0"/>
        </w:sectPr>
      </w:pPr>
    </w:p>
    <w:bookmarkStart w:id="7" w:name="page8"/>
    <w:bookmarkEnd w:id="7"/>
    <w:p>
      <w:pPr>
        <w:ind w:right="200"/>
        <w:spacing w:after="0" w:line="277" w:lineRule="auto"/>
        <w:rPr>
          <w:sz w:val="20"/>
          <w:szCs w:val="20"/>
          <w:color w:val="auto"/>
        </w:rPr>
      </w:pPr>
      <w:r>
        <w:rPr>
          <w:rFonts w:ascii="Arial" w:cs="Arial" w:eastAsia="Arial" w:hAnsi="Arial"/>
          <w:sz w:val="18"/>
          <w:szCs w:val="18"/>
          <w:color w:val="auto"/>
        </w:rPr>
        <w:t>recognized approximately $1.3 million of revenue from marketing-related services provided to Discover discussed above, which is recognized in the period the services are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May 2011, the FASB issued amendments to the fair value accounting guidance. The amendments clarify the application of the highest and best use, and valuation premise concepts, preclude the application of blockage factors in the valuation of all financial instruments and include criteria for applying the fair value measurement principles to portfolios of financial instruments. The amendments additionally prescribe enhanced financial statement disclosures for Level 3 fair value measurements. The new amendments were effective on January 1, 2012. The adoption of this guidance did not have a material impact on our consolidated financial statements. See Note 6 for further information.</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September 2011, the FASB issued the updated accounting standard on testing goodwill for impairment. The update simplifies how an entity tests goodwill for impairment. The amendments allow both public and nonpublic entities an option to first assess qualitative factors to determine whether it is necessary to perform the two-step quantitative goodwill impairment test. Under that option, an entity no longer would be required to calculate the fair value of a reporting unit unless the entity determines, based on that qualitative assessment, that it is more likely than not that its fair value is less than its carrying amount. The amendments were effective for annual and interim goodwill impairment tests performed for fiscal years beginning after December 15, 2011. The adoption of this guidance did not have a material impact on our consolidated financial statements.</w:t>
      </w:r>
    </w:p>
    <w:p>
      <w:pPr>
        <w:spacing w:after="0" w:line="17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In December 2011, the FASB issued new accounting guidance that requires additional disclosures on financial instruments and derivative instruments that are either offset in accordance with existing accounting guidance or are subject to an enforceable master netting arrangement or similar agreement. The new requirements do not change the accounting guidance on netting, but rather enhance the disclosures to more clearly show the impact of netting arrangements on a company’s financial position. This new accounting guidance will be effective, on a retrospective basis for all comparative periods presented, beginning on January 1, 2013. The adoption of this guidance is not expected to have a material impact on our consolidated financial statements.</w:t>
      </w:r>
    </w:p>
    <w:p>
      <w:pPr>
        <w:spacing w:after="0" w:line="15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July 2012, the FASB issued new guidance which allows an entity to first assess qualitative factors to determine whether the existence of events and circumstances indicates that it is more likely than not that the indefinite-lived intangible asset is impaired. This assessment should be used as a basis for determining whether it is necessary to perform the quantitative impairment test. An entity would not be required to calculate the fair value of the intangible asset and perform the quantitative test unless the entity determines, based upon its qualitative assessment, that it is more likely than not that its fair value is less than its carrying value. The update expands previous guidance by providing more examples of events and circumstances that an entity should consider in determining whether it is more likely than not that the fair value of an indefinite-lived intangible asset is less than its carrying amount. The update also allows an entity the option to bypass the qualitative assessment for any indefinite-lived intangible asset in any period and proceed directly to performing the quantitative impairment test. An entity will be able to resume performing the qualitative assessment in any subsequent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period. This update is effective for annual and interim periods beginning after September 15, 2012, with early adoption permitted. The adoption of this guidance is not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Intangible assets with indefinite lives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10,142</w:t>
            </w:r>
          </w:p>
        </w:tc>
        <w:tc>
          <w:tcPr>
            <w:tcW w:w="2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10,142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0"/>
        </w:trPr>
        <w:tc>
          <w:tcPr>
            <w:tcW w:w="5700" w:type="dxa"/>
            <w:vAlign w:val="bottom"/>
          </w:tcPr>
          <w:p>
            <w:pPr>
              <w:ind w:left="180"/>
              <w:spacing w:after="0"/>
              <w:rPr>
                <w:sz w:val="20"/>
                <w:szCs w:val="20"/>
                <w:color w:val="auto"/>
              </w:rPr>
            </w:pPr>
            <w:r>
              <w:rPr>
                <w:rFonts w:ascii="Arial" w:cs="Arial" w:eastAsia="Arial" w:hAnsi="Arial"/>
                <w:sz w:val="18"/>
                <w:szCs w:val="18"/>
                <w:color w:val="auto"/>
              </w:rPr>
              <w:t>Total intangible assets,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10,874</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with indefinite lives relate principally to the LendingTree trademark.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2012, intangible assets with definite lives relate to the following (in thousands):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9"/>
              </w:rPr>
              <w:t>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25,194</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(83,071</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2011, intangible assets with definite lives relate to the following (in thousands):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25,194</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(25,034)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8" w:name="page9"/>
    <w:bookmarkEnd w:id="8"/>
    <w:p>
      <w:pPr>
        <w:ind w:right="880" w:firstLine="648"/>
        <w:spacing w:after="0" w:line="277"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September 30, 2012 balances, such amortization for the next five years is estimated to be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ending December 31, 2012</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Year ending December 31, 2013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Year ending December 31, 2015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ind w:left="56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57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0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NOTE 4—PROPERTY AND EQUIPMENT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3"/>
          </w:tcPr>
          <w:p>
            <w:pPr>
              <w:ind w:left="660"/>
              <w:spacing w:after="0"/>
              <w:rPr>
                <w:sz w:val="20"/>
                <w:szCs w:val="20"/>
                <w:color w:val="auto"/>
              </w:rPr>
            </w:pPr>
            <w:r>
              <w:rPr>
                <w:rFonts w:ascii="Arial" w:cs="Arial" w:eastAsia="Arial" w:hAnsi="Arial"/>
                <w:sz w:val="18"/>
                <w:szCs w:val="18"/>
                <w:color w:val="auto"/>
              </w:rPr>
              <w:t>The balance of property and equipment, net is as follows (in thousands):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24,940</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2,042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Projects in progress</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29,258</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(23,802)</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(20,883)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5—ACCRUED EXPENSES AND OTHER CURRENT LIABILITIES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3"/>
          </w:tcPr>
          <w:p>
            <w:pPr>
              <w:ind w:left="660"/>
              <w:spacing w:after="0"/>
              <w:rPr>
                <w:sz w:val="20"/>
                <w:szCs w:val="20"/>
                <w:color w:val="auto"/>
              </w:rPr>
            </w:pPr>
            <w:r>
              <w:rPr>
                <w:rFonts w:ascii="Arial" w:cs="Arial" w:eastAsia="Arial" w:hAnsi="Arial"/>
                <w:sz w:val="18"/>
                <w:szCs w:val="18"/>
                <w:color w:val="auto"/>
                <w:w w:val="93"/>
              </w:rPr>
              <w:t>Accrued expenses and other current liabilities consist of the following (in thousands):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5,044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2,659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Customer deposits and escrows</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3,534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6,881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-4426585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-4426585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Accrued compensation and benefits at September 30, 2012 includes $3.1 million of compensation that was previously classified as a long-term liability, but became a current liability in the third quarter of 2012 as the amount is payable within twelve months of September 30, 2012. See Note 10— Subsequent Event for further information. The other category above reflects franchise taxes, self-insured health claims and other miscellaneous accrued expenses.</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An additional $0.6 million and $0.9 million of accrued restructuring liabilities are classified in other long term liabilities at September 30, 2012 and December 31,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w:t>
      </w:r>
    </w:p>
    <w:p>
      <w:pPr>
        <w:spacing w:after="0" w:line="22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w:t>
      </w:r>
      <w:r>
        <w:rPr>
          <w:rFonts w:ascii="Arial" w:cs="Arial" w:eastAsia="Arial" w:hAnsi="Arial"/>
          <w:sz w:val="23"/>
          <w:szCs w:val="23"/>
          <w:color w:val="auto"/>
          <w:vertAlign w:val="superscript"/>
        </w:rPr>
        <w:t>®</w:t>
      </w:r>
      <w:r>
        <w:rPr>
          <w:rFonts w:ascii="Arial" w:cs="Arial" w:eastAsia="Arial" w:hAnsi="Arial"/>
          <w:sz w:val="18"/>
          <w:szCs w:val="18"/>
          <w:color w:val="auto"/>
        </w:rPr>
        <w:t>. We exited all markets by March 31, 2011. In September 2011, we sold the remaining assets of RealEstate.com, which consisted primarily of internet domain names and trademarks. Accordingly, these Real Estate businesses are presented as discontinued operations in the accompanying consolidated balance sheets and consolidated statements of operations and cash flows for all periods presented. No significant future cash flows are anticipated from the disposition of this business.</w:t>
      </w:r>
    </w:p>
    <w:p>
      <w:pPr>
        <w:spacing w:after="0" w:line="204" w:lineRule="exact"/>
        <w:rPr>
          <w:sz w:val="20"/>
          <w:szCs w:val="20"/>
          <w:color w:val="auto"/>
        </w:rPr>
      </w:pPr>
    </w:p>
    <w:p>
      <w:pPr>
        <w:ind w:right="380" w:firstLine="648"/>
        <w:spacing w:after="0" w:line="293" w:lineRule="auto"/>
        <w:rPr>
          <w:sz w:val="20"/>
          <w:szCs w:val="20"/>
          <w:color w:val="auto"/>
        </w:rPr>
      </w:pPr>
      <w:r>
        <w:rPr>
          <w:rFonts w:ascii="Arial" w:cs="Arial" w:eastAsia="Arial" w:hAnsi="Arial"/>
          <w:sz w:val="16"/>
          <w:szCs w:val="16"/>
          <w:color w:val="auto"/>
        </w:rPr>
        <w:t>On May 12, 2011, we entered into an asset purchase agreement that provided for the sale of substantially all of the operating assets of our LendingTree Loans business to Discover. On February 7, 2012, we entered into an amendment to the asset purchase agreement. We completed the sale on June 6, 2012. Discover is now a participating lender on our lending network. We have evaluated the facts and circumstances of the transaction and the applicable accounting guidance for discontinued operations, and have concluded that the LendingTree Loans business should be reflected as discontinued operations in the accompanying consolidated balance sheets and consolidated statements of operations and cash flows for all periods presented. The continuing cash flows related to this transaction are not significant, and accordingly, are not deemed to be direct cash flows of the divested business.</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154" w:gutter="0" w:footer="0" w:header="0"/>
        </w:sectPr>
      </w:pPr>
    </w:p>
    <w:bookmarkStart w:id="9" w:name="page10"/>
    <w:bookmarkEnd w:id="9"/>
    <w:p>
      <w:pPr>
        <w:spacing w:after="0" w:line="6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agreed to indemnify Discover for a breach or inaccuracy of any representation, warranty or covenant made by us in the asset purchase agreement, for any liability of ours that was not assumed, for any claims by our stockholders against Discover and for our failure to comply with any applicable bulk sales law, subject to certain limitations. Discover has submitted a claim for indemnification relating to our sale prior to the closing of certain loans that were listed in the asset purchase agreement as to be conveyed to Discover at closing. We have evaluated this matter as a potential loss contingency, and have determined that it is probable that a loss could be incurred. We also evaluated a range of potential losses, and a reserve of $1.6 million has been established for this matter, which is reflected as a reduction in gain from sale of discontinued operations and in current liabilities of discontinued operations.</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revenue and net loss for the Real Estate businesses that are reported as discontinued operations for the applicable periods were as follows (in thousands):</w:t>
      </w:r>
    </w:p>
    <w:p>
      <w:pPr>
        <w:spacing w:after="0" w:line="162"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Three Months</w:t>
      </w:r>
    </w:p>
    <w:p>
      <w:pPr>
        <w:jc w:val="center"/>
        <w:ind w:left="5140"/>
        <w:spacing w:after="0" w:line="236" w:lineRule="auto"/>
        <w:rPr>
          <w:sz w:val="20"/>
          <w:szCs w:val="20"/>
          <w:color w:val="auto"/>
        </w:rPr>
      </w:pPr>
      <w:r>
        <w:rPr>
          <w:rFonts w:ascii="Arial" w:cs="Arial" w:eastAsia="Arial" w:hAnsi="Arial"/>
          <w:sz w:val="14"/>
          <w:szCs w:val="14"/>
          <w:b w:val="1"/>
          <w:bCs w:val="1"/>
          <w:color w:val="auto"/>
        </w:rPr>
        <w:t>Ended September 30,</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7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760" w:type="dxa"/>
            <w:vAlign w:val="bottom"/>
          </w:tcPr>
          <w:p>
            <w:pPr>
              <w:jc w:val="right"/>
              <w:ind w:right="57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85"/>
              </w:rPr>
              <w:t>(282)</w:t>
            </w:r>
          </w:p>
        </w:tc>
        <w:tc>
          <w:tcPr>
            <w:tcW w:w="280" w:type="dxa"/>
            <w:vAlign w:val="bottom"/>
            <w:vMerge w:val="continue"/>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(637)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Gain from sale of discontinued operations</w:t>
            </w:r>
          </w:p>
        </w:tc>
        <w:tc>
          <w:tcPr>
            <w:tcW w:w="7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700" w:type="dxa"/>
            <w:vAlign w:val="bottom"/>
          </w:tcPr>
          <w:p>
            <w:pPr>
              <w:spacing w:after="0"/>
              <w:rPr>
                <w:sz w:val="24"/>
                <w:szCs w:val="24"/>
                <w:color w:val="auto"/>
              </w:rPr>
            </w:pPr>
          </w:p>
        </w:tc>
        <w:tc>
          <w:tcPr>
            <w:tcW w:w="26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760" w:type="dxa"/>
            <w:vAlign w:val="bottom"/>
          </w:tcPr>
          <w:p>
            <w:pPr>
              <w:jc w:val="right"/>
              <w:ind w:right="57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85"/>
              </w:rPr>
              <w:t>(442)</w:t>
            </w:r>
          </w:p>
        </w:tc>
        <w:tc>
          <w:tcPr>
            <w:tcW w:w="280" w:type="dxa"/>
            <w:vAlign w:val="bottom"/>
            <w:vMerge w:val="continue"/>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(16,936)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Gain from sale of discontinued operations</w:t>
            </w:r>
          </w:p>
        </w:tc>
        <w:tc>
          <w:tcPr>
            <w:tcW w:w="7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loss for the nine months ended September 30, 2011 includes goodwill disposal charges of $8.0 million, intangible asset impairment charges of $4.1 million and restructuring charges of $2.5 million.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revenue and net income (loss) for LendingTree Loans that are reported as discontinued operations for the applicable periods were as follows (in thousands):</w:t>
      </w:r>
    </w:p>
    <w:p>
      <w:pPr>
        <w:spacing w:after="0" w:line="162"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Three Months Ended</w:t>
      </w:r>
    </w:p>
    <w:p>
      <w:pPr>
        <w:jc w:val="center"/>
        <w:ind w:left="51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7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4,470</w:t>
            </w:r>
          </w:p>
        </w:tc>
        <w:tc>
          <w:tcPr>
            <w:tcW w:w="280" w:type="dxa"/>
            <w:vAlign w:val="bottom"/>
            <w:vMerge w:val="continue"/>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9,606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87,338</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27,660</w:t>
            </w:r>
          </w:p>
        </w:tc>
        <w:tc>
          <w:tcPr>
            <w:tcW w:w="280" w:type="dxa"/>
            <w:vAlign w:val="bottom"/>
            <w:vMerge w:val="continue"/>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(6,893)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w w:val="99"/>
              </w:rPr>
              <w:t>Gain from sale of discontinued operations, net of tax of $1,267 and $-0-</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24,313</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Net income for the nine months ended September 30, 2012 includes intangible asset impairment charges of $1.4 million. Net loss for the nine months ended September 30, 2011 includes restructuring charges of $4.0 million.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assets and liabilities of Real Estate that are reported as discontinued operations as of September 30, 2012 and December 31, 2011 were as follows (in thousands):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34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Current liabilities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Net liabilities</w:t>
            </w:r>
          </w:p>
        </w:tc>
        <w:tc>
          <w:tcPr>
            <w:tcW w:w="184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3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assets and liabilities of LendingTree Loans that are reported as discontinued operations as of September 30, 2012 and December 31, 2011 were as follows (in thousands):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217,467</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14,925</w:t>
            </w:r>
          </w:p>
        </w:tc>
      </w:tr>
      <w:tr>
        <w:trPr>
          <w:trHeight w:val="210"/>
        </w:trPr>
        <w:tc>
          <w:tcPr>
            <w:tcW w:w="5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46"/>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tcPr>
          <w:p>
            <w:pPr>
              <w:spacing w:after="0"/>
              <w:rPr>
                <w:sz w:val="21"/>
                <w:szCs w:val="21"/>
                <w:color w:val="auto"/>
              </w:rPr>
            </w:pPr>
          </w:p>
        </w:tc>
      </w:tr>
    </w:tbl>
    <w:p>
      <w:pPr>
        <w:sectPr>
          <w:pgSz w:w="11900" w:h="16900" w:orient="portrait"/>
          <w:cols w:equalWidth="0" w:num="1">
            <w:col w:w="11340"/>
          </w:cols>
          <w:pgMar w:left="240" w:top="125" w:right="319" w:bottom="0" w:gutter="0" w:footer="0" w:header="0"/>
        </w:sectPr>
      </w:pPr>
    </w:p>
    <w:bookmarkStart w:id="10" w:name="page11"/>
    <w:bookmarkEnd w:id="10"/>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1,187</w:t>
            </w:r>
          </w:p>
        </w:tc>
      </w:tr>
      <w:tr>
        <w:trPr>
          <w:trHeight w:val="210"/>
        </w:trPr>
        <w:tc>
          <w:tcPr>
            <w:tcW w:w="5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assets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197,659</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31,394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56,383</w:t>
            </w:r>
          </w:p>
        </w:tc>
      </w:tr>
      <w:tr>
        <w:trPr>
          <w:trHeight w:val="210"/>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liabilities</w:t>
            </w: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31,394</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254,042</w:t>
            </w:r>
          </w:p>
        </w:tc>
        <w:tc>
          <w:tcPr>
            <w:tcW w:w="100" w:type="dxa"/>
            <w:vAlign w:val="bottom"/>
            <w:tcBorders>
              <w:bottom w:val="single" w:sz="8" w:color="CCEEFF"/>
            </w:tcBorders>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liabilities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(31,010</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Upon closing of the sale of substantially all of the operating assets of our LendingTree Loans business on June 6, 2012, LendingTree Loans ceased to originate consumer loans and no longer has additional borrowings available under warehouse lines of credit. The remaining operations are being wound down. These wind-down activities have included, among other things, selling the balance of loans held for sale to investors, which is substantially complete, and paying off and then terminating the warehouse lines of credit, which occurred on July 21, 2012. Additionally, liability for losses on previously sold loans will remain with LendingTree Loans. Below is a discussion of these significant items.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LendingTree Loans originated all of its residential real estate loans with the intent to sell them in the secondary market. Loans held for sale consisted primarily of residential first mortgage loans that were secured by residential real estate throughout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the loans held for sale by type of loan as of September 30, 2012 and December 31, 2011 ($ amounts in thousands):</w:t>
      </w: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8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September 30, 2012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 2011</w:t>
            </w:r>
          </w:p>
        </w:tc>
      </w:tr>
      <w:tr>
        <w:trPr>
          <w:trHeight w:val="142"/>
        </w:trPr>
        <w:tc>
          <w:tcPr>
            <w:tcW w:w="37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70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171,375</w:t>
            </w: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FHA</w:t>
            </w:r>
          </w:p>
        </w:tc>
        <w:tc>
          <w:tcPr>
            <w:tcW w:w="70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40,433</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5,659</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217,467</w:t>
            </w:r>
          </w:p>
        </w:tc>
        <w:tc>
          <w:tcPr>
            <w:tcW w:w="2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following presents the difference between the aggregate principal balance of loans on nonaccrual status for which the fair value option has been elected and for loans measured at lower of cost or market valuation as of September 30, 2012 and December 31, 2011 (in thousands):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21"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unpaid principal balance</w:t>
      </w:r>
    </w:p>
    <w:p>
      <w:pPr>
        <w:spacing w:after="0" w:line="23" w:lineRule="exact"/>
        <w:rPr>
          <w:sz w:val="20"/>
          <w:szCs w:val="20"/>
          <w:color w:val="auto"/>
        </w:rPr>
      </w:pPr>
    </w:p>
    <w:p>
      <w:pPr>
        <w:ind w:left="1480" w:hanging="179"/>
        <w:spacing w:after="0" w:line="258" w:lineRule="auto"/>
        <w:rPr>
          <w:sz w:val="20"/>
          <w:szCs w:val="20"/>
          <w:color w:val="auto"/>
        </w:rPr>
      </w:pPr>
      <w:r>
        <w:rPr>
          <w:rFonts w:ascii="Arial" w:cs="Arial" w:eastAsia="Arial" w:hAnsi="Arial"/>
          <w:sz w:val="18"/>
          <w:szCs w:val="18"/>
          <w:color w:val="auto"/>
        </w:rPr>
        <w:t>Difference between fair value and aggregate unpaid principal balance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Loans on nonaccrual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unpaid principal balance</w:t>
      </w:r>
    </w:p>
    <w:p>
      <w:pPr>
        <w:spacing w:after="0" w:line="23" w:lineRule="exact"/>
        <w:rPr>
          <w:sz w:val="20"/>
          <w:szCs w:val="20"/>
          <w:color w:val="auto"/>
        </w:rPr>
      </w:pPr>
    </w:p>
    <w:p>
      <w:pPr>
        <w:ind w:left="1480" w:hanging="179"/>
        <w:spacing w:after="0" w:line="258" w:lineRule="auto"/>
        <w:rPr>
          <w:sz w:val="20"/>
          <w:szCs w:val="20"/>
          <w:color w:val="auto"/>
        </w:rPr>
      </w:pPr>
      <w:r>
        <w:rPr>
          <w:rFonts w:ascii="Arial" w:cs="Arial" w:eastAsia="Arial" w:hAnsi="Arial"/>
          <w:sz w:val="18"/>
          <w:szCs w:val="18"/>
          <w:color w:val="auto"/>
        </w:rPr>
        <w:t>Difference between fair value and aggregate unpaid principal balance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Loans on nonaccrual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As of September 30, 2012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Loans on</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Loans on</w:t>
            </w: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center"/>
              <w:ind w:right="59"/>
              <w:spacing w:after="0"/>
              <w:rPr>
                <w:sz w:val="20"/>
                <w:szCs w:val="20"/>
                <w:color w:val="auto"/>
              </w:rPr>
            </w:pPr>
            <w:r>
              <w:rPr>
                <w:rFonts w:ascii="Arial" w:cs="Arial" w:eastAsia="Arial" w:hAnsi="Arial"/>
                <w:sz w:val="14"/>
                <w:szCs w:val="14"/>
                <w:b w:val="1"/>
                <w:bCs w:val="1"/>
                <w:color w:val="auto"/>
                <w:w w:val="94"/>
              </w:rPr>
              <w:t>Total Loans</w:t>
            </w:r>
          </w:p>
        </w:tc>
        <w:tc>
          <w:tcPr>
            <w:tcW w:w="6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Nonaccrual—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Nonaccrual—</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Measured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Measured at</w:t>
            </w:r>
          </w:p>
        </w:tc>
        <w:tc>
          <w:tcPr>
            <w:tcW w:w="14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LOCOM</w:t>
            </w:r>
          </w:p>
        </w:tc>
        <w:tc>
          <w:tcPr>
            <w:tcW w:w="14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Nonaccrual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0"/>
              </w:rPr>
              <w:t>As of December 31, 2011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Loans on</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Loans on</w:t>
            </w:r>
          </w:p>
        </w:tc>
        <w:tc>
          <w:tcPr>
            <w:tcW w:w="140" w:type="dxa"/>
            <w:vAlign w:val="bottom"/>
          </w:tcPr>
          <w:p>
            <w:pPr>
              <w:spacing w:after="0"/>
              <w:rPr>
                <w:sz w:val="10"/>
                <w:szCs w:val="10"/>
                <w:color w:val="auto"/>
              </w:rPr>
            </w:pPr>
          </w:p>
        </w:tc>
        <w:tc>
          <w:tcPr>
            <w:tcW w:w="10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Loans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Nonaccrual—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Nonaccrual—</w:t>
            </w:r>
          </w:p>
        </w:tc>
        <w:tc>
          <w:tcPr>
            <w:tcW w:w="1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Measured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Measured at</w:t>
            </w:r>
          </w:p>
        </w:tc>
        <w:tc>
          <w:tcPr>
            <w:tcW w:w="14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LOCOM</w:t>
            </w:r>
          </w:p>
        </w:tc>
        <w:tc>
          <w:tcPr>
            <w:tcW w:w="14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Nonaccrual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-1800225</wp:posOffset>
            </wp:positionV>
            <wp:extent cx="530860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08600" cy="1460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-1379855</wp:posOffset>
            </wp:positionV>
            <wp:extent cx="530860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08600" cy="15430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-591185</wp:posOffset>
            </wp:positionV>
            <wp:extent cx="530860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08600" cy="1460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-170815</wp:posOffset>
            </wp:positionV>
            <wp:extent cx="530860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0860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560"/>
            <w:col w:w="5840"/>
          </w:cols>
          <w:pgMar w:left="240" w:top="140" w:right="239" w:bottom="21" w:gutter="0" w:footer="0" w:header="0"/>
          <w:type w:val="continuous"/>
        </w:sectPr>
      </w:pPr>
    </w:p>
    <w:p>
      <w:pPr>
        <w:spacing w:after="0" w:line="2"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There is one repurchased loan included within the loans on nonaccrual status at September 30, 2012 and no repurchased loans included within the loans on nonaccrual status at December 31, 2011. During the nine months ended September 30, 2012, LendingTree Loans repurchased two loans with a total unpaid principal balance of $0.7 million. During the nine months ended September 30, 2011, LendingTree Loans did not repurchase any loans.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categorize our assets and liabilities measured at fair value into a fair value hierarchy that prioritizes the assumptions used in pricing the asset or liability into the following three levels:</w:t>
      </w:r>
    </w:p>
    <w:p>
      <w:pPr>
        <w:spacing w:after="0" w:line="170"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Observable inputs such as quoted prices for identical assets and liabilities in active markets obtained from independent sources.</w:t>
      </w:r>
    </w:p>
    <w:p>
      <w:pPr>
        <w:spacing w:after="0" w:line="236" w:lineRule="exact"/>
        <w:rPr>
          <w:rFonts w:ascii="Arial" w:cs="Arial" w:eastAsia="Arial" w:hAnsi="Arial"/>
          <w:sz w:val="17"/>
          <w:szCs w:val="17"/>
          <w:color w:val="auto"/>
        </w:rPr>
      </w:pPr>
    </w:p>
    <w:p>
      <w:pPr>
        <w:ind w:left="980" w:right="28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181" w:lineRule="exact"/>
        <w:rPr>
          <w:rFonts w:ascii="Arial" w:cs="Arial" w:eastAsia="Arial" w:hAnsi="Arial"/>
          <w:sz w:val="18"/>
          <w:szCs w:val="18"/>
          <w:color w:val="auto"/>
        </w:rPr>
      </w:pPr>
    </w:p>
    <w:p>
      <w:pPr>
        <w:ind w:left="980" w:right="100" w:hanging="324"/>
        <w:spacing w:after="0" w:line="308"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Unobservable inputs for which there is little or no market data and which require us to develop our own assumptions, based on the best information available in the circumstances, about the assumptions market participants would use in pricing the asset or liability.</w:t>
      </w:r>
    </w:p>
    <w:p>
      <w:pPr>
        <w:sectPr>
          <w:pgSz w:w="11900" w:h="16838" w:orient="portrait"/>
          <w:cols w:equalWidth="0" w:num="1">
            <w:col w:w="11420"/>
          </w:cols>
          <w:pgMar w:left="240" w:top="140" w:right="239" w:bottom="21" w:gutter="0" w:footer="0" w:header="0"/>
          <w:type w:val="continuous"/>
        </w:sectPr>
      </w:pPr>
    </w:p>
    <w:bookmarkStart w:id="11" w:name="page12"/>
    <w:bookmarkEnd w:id="11"/>
    <w:p>
      <w:pPr>
        <w:ind w:right="460" w:firstLine="648"/>
        <w:spacing w:after="0" w:line="277" w:lineRule="auto"/>
        <w:rPr>
          <w:sz w:val="20"/>
          <w:szCs w:val="20"/>
          <w:color w:val="auto"/>
        </w:rPr>
      </w:pPr>
      <w:r>
        <w:rPr>
          <w:rFonts w:ascii="Arial" w:cs="Arial" w:eastAsia="Arial" w:hAnsi="Arial"/>
          <w:sz w:val="18"/>
          <w:szCs w:val="18"/>
          <w:color w:val="auto"/>
        </w:rPr>
        <w:t>A financial instrument’s categorization within the fair value hierarchy is based upon the lowest level of input that is significant to the fair value measurement. Transfers in and out of Level 1, 2 or 3 are recorded at fair value at the beginning of the reporting period.</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Following is a description of valuation methodologies used for instruments measured at fair value as well as the general classification of such instruments pursuant to the fair value hierarchy.</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LendingTree Loans entered into commitments with consumers to originate loans at specified interest rates (interest rate lock commitments —“IRLCs”). We reported IRLCs as derivative instruments at fair value with changes in fair value being recorded in discontinued operations. IRLCs for loans to be sold to investors using a mandatory or assignment of trade (“AOT”) method were hedged using “to be announced mortgage-backed securities” (“TBA MBS”) and were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included, but were not limited to, loan type, underlying loan amount, note rate, loan program, and expected sale date of the loan. IRLCs for loans sold to investors on a best-efforts basis were hedged using best-efforts forward delivery commitments and were valued on an individual loan basis using a proprietary database program prior to January 1, 2012. These valuations were based on investor pricing tables stratified by product, note rate and term. The valuations were adjusted at the loan level to consider the servicing release premium and loan pricing adjustments specific to each loan. Effective January 1, 2012, LendingTree Loans began valuing IRLCs for loans sold to investors on a best-efforts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basis using quantitative risk models on a loan level basis. The decision to modify the valuation calculation for IRLCs for loans sold on a best-efforts basis evolved from a desire to achieve principally two goals: 1) to include this portion of the IRLCs into the main operating system we used for fair value (known as QRM), allowing us to improve our estimate of loan funding probability and 2) to include elements of the all-in fair value that we could not previously calculate in the previous models. The most significant data inputs used in the valuation of these IRLCs included, but were not limited to, investor pricing tables stratified by product, note rate and term, adjusted for current market conditions. These valuations were adjusted at the loan level to consider the servicing release premium and loan pricing adjustments specific to each loan. LendingTree Loans applied an anticipated loan funding probability based on its own experience to value IRLCs, which resulted in the classification of these derivatives as Level 3. The value of the underlying loans and the anticipated loan funding probability were the most significant assumptions affecting the valuation of IRLCs. A significant change in the unobservable inputs could have resulted in a significant change in the ending fair value measurement.</w:t>
      </w:r>
    </w:p>
    <w:p>
      <w:pPr>
        <w:spacing w:after="0" w:line="182"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Loans held for sale measured at fair value and sold to investors using a mandatory or AOT method were also hedged using TBA MBS and valued using quantitative risk models. The valuation was based on the loan amount, note rate, loan program and expected sale date of the loan. Loans held for sale measured at fair value and sold to investors on a best-efforts basis were hedged using best-efforts forward delivery commitments and were valued using a proprietary database program prior to January 1, 2012. The best-efforts valuations prior to that date were based on daily investor pricing tables stratified by product, note rate and term. These valuations were adjusted at the loan level to consider the servicing release premium and loan pricing adjustments specific to each loan. Effective January 1, 2012, LendingTree Loans began valuing the loans held for sale and sold to investors on a best-efforts basis using quantitative risk models. The most significant data inputs used in the valuation of these loans included investor pricing tables stratified by product, note rate and term, adjusted for current market conditions. Loans held for sale, excluding impaired loans, were classified as Level 2. Loans held for sale measured at fair value that become impaired were transferred from Level 2 to Level 3, as the estimate of fair value was based on LendingTree Loans’ experience considering lien position and current status of the loan. A significant change in the unobservable inputs could have resulted in a significant change in the ending fair value measurement. LendingTree Loans recognized interest income separately from other changes in fair value.</w:t>
      </w:r>
    </w:p>
    <w:p>
      <w:pPr>
        <w:spacing w:after="0" w:line="173"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Under LendingTree Loans’ risk management policy, LendingTree Loans economically hedged the changes in fair value of IRLCs and loans held for sale caused by changes in interest rates by using TBA MBS and entering into best-efforts forward delivery commitments. These hedging instruments were recorded at fair value with changes in fair value recorded in current earnings as a component of revenue from the origination and sale of loans. TBA MBS used to hedge both IRLCs and loans were valued using quantitative risk models based primarily on inputs related to characteristics of the MBS stratified by product, coupon and settlement date. These derivatives were classified as Level 2. Prior to January 1, 2012, best-efforts forward delivery commitments were valued using a proprietary database program using investor pricing tables considering the current base loan price. Effective January 1, 2012, best-efforts forward delivery commitments were valued using quantitative risk models based on investor pricing tables stratified by product, note rate and term, adjusted for current market conditions. An anticipated loan funding probability was applied to value best-efforts commitments hedging IRLCs, which resulted in the classification of these contracts as Level 3. The current base loan price and the anticipated loan funding probability were the most significant assumptions affecting the value of the best-efforts commitments. A significant change in the unobservable inputs could have resulted in a significant change in the ending fair value measurement. The best-efforts forward delivery commitments hedging loans held for sale were classified as Level 2, so such contracts were transferred from Level 3 to Level 2 at the time the underlying loan was originated. For the purposes of the tables below, we refer to TBA MBS and best-efforts forward delivery commitments collectively as “Forward Delivery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presents our assets and liabilities that are measured at fair value on a recurring basis at September 30, 2012 and December 31, 2011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4"/>
                <w:szCs w:val="14"/>
                <w:b w:val="1"/>
                <w:bCs w:val="1"/>
                <w:color w:val="auto"/>
                <w:w w:val="91"/>
              </w:rPr>
              <w:t>As of September 30, 2012</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gridSpan w:val="7"/>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Recurring Fair Value Measurements Using</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1180" w:type="dxa"/>
            <w:vAlign w:val="bottom"/>
          </w:tcPr>
          <w:p>
            <w:pPr>
              <w:jc w:val="center"/>
              <w:ind w:left="124"/>
              <w:spacing w:after="0" w:line="119" w:lineRule="exact"/>
              <w:rPr>
                <w:sz w:val="20"/>
                <w:szCs w:val="20"/>
                <w:color w:val="auto"/>
              </w:rPr>
            </w:pPr>
            <w:r>
              <w:rPr>
                <w:rFonts w:ascii="Arial" w:cs="Arial" w:eastAsia="Arial" w:hAnsi="Arial"/>
                <w:sz w:val="13"/>
                <w:szCs w:val="13"/>
                <w:b w:val="1"/>
                <w:bCs w:val="1"/>
                <w:color w:val="auto"/>
              </w:rPr>
              <w:t>Quoted Market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center"/>
              <w:ind w:left="127"/>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8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92"/>
              </w:rPr>
              <w:t>Prices in Active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8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8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4"/>
              </w:rPr>
              <w:t>Identical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8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180" w:type="dxa"/>
            <w:vAlign w:val="bottom"/>
          </w:tcPr>
          <w:p>
            <w:pPr>
              <w:jc w:val="center"/>
              <w:ind w:left="124"/>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left="127"/>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Measurements</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180" w:type="dxa"/>
            <w:vAlign w:val="bottom"/>
            <w:tcBorders>
              <w:top w:val="single" w:sz="8" w:color="auto"/>
            </w:tcBorders>
            <w:shd w:val="clear" w:color="auto" w:fill="CCEEFF"/>
          </w:tcPr>
          <w:p>
            <w:pPr>
              <w:jc w:val="right"/>
              <w:ind w:right="100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118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shd w:val="clear" w:color="auto" w:fill="CCEEFF"/>
          </w:tcPr>
          <w:p>
            <w:pPr>
              <w:jc w:val="right"/>
              <w:ind w:right="100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36"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36" w:gutter="0" w:footer="0" w:header="0"/>
          <w:type w:val="continuous"/>
        </w:sectPr>
      </w:pPr>
    </w:p>
    <w:bookmarkStart w:id="12" w:name="page13"/>
    <w:bookmarkEnd w:id="1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4"/>
                <w:szCs w:val="14"/>
                <w:b w:val="1"/>
                <w:bCs w:val="1"/>
                <w:color w:val="auto"/>
              </w:rPr>
              <w:t>As of December 31, 2011</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gridSpan w:val="8"/>
          </w:tcPr>
          <w:p>
            <w:pPr>
              <w:jc w:val="right"/>
              <w:ind w:right="380"/>
              <w:spacing w:after="0" w:line="142" w:lineRule="exact"/>
              <w:rPr>
                <w:sz w:val="20"/>
                <w:szCs w:val="20"/>
                <w:color w:val="auto"/>
              </w:rPr>
            </w:pPr>
            <w:r>
              <w:rPr>
                <w:rFonts w:ascii="Arial" w:cs="Arial" w:eastAsia="Arial" w:hAnsi="Arial"/>
                <w:sz w:val="14"/>
                <w:szCs w:val="14"/>
                <w:b w:val="1"/>
                <w:bCs w:val="1"/>
                <w:color w:val="auto"/>
                <w:w w:val="95"/>
              </w:rPr>
              <w:t>Recurring Fair Value Measurements Using</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1180" w:type="dxa"/>
            <w:vAlign w:val="bottom"/>
          </w:tcPr>
          <w:p>
            <w:pPr>
              <w:jc w:val="center"/>
              <w:ind w:left="124"/>
              <w:spacing w:after="0" w:line="119" w:lineRule="exact"/>
              <w:rPr>
                <w:sz w:val="20"/>
                <w:szCs w:val="20"/>
                <w:color w:val="auto"/>
              </w:rPr>
            </w:pPr>
            <w:r>
              <w:rPr>
                <w:rFonts w:ascii="Arial" w:cs="Arial" w:eastAsia="Arial" w:hAnsi="Arial"/>
                <w:sz w:val="13"/>
                <w:szCs w:val="13"/>
                <w:b w:val="1"/>
                <w:bCs w:val="1"/>
                <w:color w:val="auto"/>
              </w:rPr>
              <w:t>Quoted Market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8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92"/>
              </w:rPr>
              <w:t>Prices in Active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8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8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4"/>
              </w:rPr>
              <w:t>Identical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8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180" w:type="dxa"/>
            <w:vAlign w:val="bottom"/>
          </w:tcPr>
          <w:p>
            <w:pPr>
              <w:jc w:val="center"/>
              <w:ind w:left="124"/>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Measurements</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180" w:type="dxa"/>
            <w:vAlign w:val="bottom"/>
            <w:tcBorders>
              <w:top w:val="single" w:sz="8" w:color="auto"/>
            </w:tcBorders>
            <w:shd w:val="clear" w:color="auto" w:fill="CCEEFF"/>
          </w:tcPr>
          <w:p>
            <w:pPr>
              <w:jc w:val="right"/>
              <w:ind w:right="100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217,172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118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9,122</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1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ind w:right="100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222,501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presents the changes in our assets and liabilities that are measured at fair value on a recurring basis using significant unobservable inputs (Level 3) for the three and nine months ended September 30, 2012 and 2011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Three Months Ended September 30, 2012</w:t>
            </w:r>
          </w:p>
        </w:tc>
        <w:tc>
          <w:tcPr>
            <w:tcW w:w="1800" w:type="dxa"/>
            <w:vAlign w:val="bottom"/>
          </w:tcPr>
          <w:p>
            <w:pPr>
              <w:spacing w:after="0"/>
              <w:rPr>
                <w:sz w:val="14"/>
                <w:szCs w:val="14"/>
                <w:color w:val="auto"/>
              </w:rPr>
            </w:pPr>
          </w:p>
        </w:tc>
      </w:tr>
      <w:tr>
        <w:trPr>
          <w:trHeight w:val="119"/>
        </w:trPr>
        <w:tc>
          <w:tcPr>
            <w:tcW w:w="13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Interest Rate</w:t>
            </w: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Forward</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5"/>
              <w:spacing w:after="0" w:line="119" w:lineRule="exact"/>
              <w:rPr>
                <w:sz w:val="20"/>
                <w:szCs w:val="20"/>
                <w:color w:val="auto"/>
              </w:rPr>
            </w:pPr>
            <w:r>
              <w:rPr>
                <w:rFonts w:ascii="Arial" w:cs="Arial" w:eastAsia="Arial" w:hAnsi="Arial"/>
                <w:sz w:val="13"/>
                <w:szCs w:val="13"/>
                <w:b w:val="1"/>
                <w:bCs w:val="1"/>
                <w:color w:val="auto"/>
                <w:w w:val="99"/>
              </w:rPr>
              <w:t>Loans</w:t>
            </w:r>
          </w:p>
        </w:tc>
        <w:tc>
          <w:tcPr>
            <w:tcW w:w="10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49"/>
        </w:trPr>
        <w:tc>
          <w:tcPr>
            <w:tcW w:w="13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Lock</w:t>
            </w: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Delivery</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Held for</w:t>
            </w:r>
          </w:p>
        </w:tc>
        <w:tc>
          <w:tcPr>
            <w:tcW w:w="1800" w:type="dxa"/>
            <w:vAlign w:val="bottom"/>
          </w:tcPr>
          <w:p>
            <w:pPr>
              <w:spacing w:after="0"/>
              <w:rPr>
                <w:sz w:val="12"/>
                <w:szCs w:val="12"/>
                <w:color w:val="auto"/>
              </w:rPr>
            </w:pPr>
          </w:p>
        </w:tc>
      </w:tr>
      <w:tr>
        <w:trPr>
          <w:trHeight w:val="171"/>
        </w:trPr>
        <w:tc>
          <w:tcPr>
            <w:tcW w:w="13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Commitments</w:t>
            </w: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Contracts</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Sale</w:t>
            </w:r>
          </w:p>
        </w:tc>
        <w:tc>
          <w:tcPr>
            <w:tcW w:w="1800" w:type="dxa"/>
            <w:vAlign w:val="bottom"/>
          </w:tcPr>
          <w:p>
            <w:pPr>
              <w:spacing w:after="0"/>
              <w:rPr>
                <w:sz w:val="14"/>
                <w:szCs w:val="14"/>
                <w:color w:val="auto"/>
              </w:rPr>
            </w:pPr>
          </w:p>
        </w:tc>
      </w:tr>
      <w:tr>
        <w:trPr>
          <w:trHeight w:val="210"/>
        </w:trPr>
        <w:tc>
          <w:tcPr>
            <w:tcW w:w="130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r>
      <w:tr>
        <w:trPr>
          <w:trHeight w:val="202"/>
        </w:trPr>
        <w:tc>
          <w:tcPr>
            <w:tcW w:w="1300" w:type="dxa"/>
            <w:vAlign w:val="bottom"/>
          </w:tcPr>
          <w:p>
            <w:pPr>
              <w:spacing w:after="0"/>
              <w:rPr>
                <w:sz w:val="17"/>
                <w:szCs w:val="17"/>
                <w:color w:val="auto"/>
              </w:rPr>
            </w:pPr>
          </w:p>
        </w:tc>
        <w:tc>
          <w:tcPr>
            <w:tcW w:w="3820" w:type="dxa"/>
            <w:vAlign w:val="bottom"/>
          </w:tcPr>
          <w:p>
            <w:pPr>
              <w:ind w:left="180"/>
              <w:spacing w:after="0" w:line="201" w:lineRule="exact"/>
              <w:rPr>
                <w:sz w:val="20"/>
                <w:szCs w:val="20"/>
                <w:color w:val="auto"/>
              </w:rPr>
            </w:pPr>
            <w:r>
              <w:rPr>
                <w:rFonts w:ascii="Arial" w:cs="Arial" w:eastAsia="Arial" w:hAnsi="Arial"/>
                <w:sz w:val="18"/>
                <w:szCs w:val="18"/>
                <w:color w:val="auto"/>
              </w:rPr>
              <w:t>Total net gains (losses) included in earnings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0"/>
        </w:trPr>
        <w:tc>
          <w:tcPr>
            <w:tcW w:w="1300" w:type="dxa"/>
            <w:vAlign w:val="bottom"/>
          </w:tcPr>
          <w:p>
            <w:pPr>
              <w:spacing w:after="0"/>
              <w:rPr>
                <w:sz w:val="20"/>
                <w:szCs w:val="20"/>
                <w:color w:val="auto"/>
              </w:rPr>
            </w:pPr>
          </w:p>
        </w:tc>
        <w:tc>
          <w:tcPr>
            <w:tcW w:w="3820" w:type="dxa"/>
            <w:vAlign w:val="bottom"/>
          </w:tcPr>
          <w:p>
            <w:pPr>
              <w:ind w:left="360"/>
              <w:spacing w:after="0"/>
              <w:rPr>
                <w:sz w:val="20"/>
                <w:szCs w:val="20"/>
                <w:color w:val="auto"/>
              </w:rPr>
            </w:pPr>
            <w:r>
              <w:rPr>
                <w:rFonts w:ascii="Arial" w:cs="Arial" w:eastAsia="Arial" w:hAnsi="Arial"/>
                <w:sz w:val="18"/>
                <w:szCs w:val="18"/>
                <w:color w:val="auto"/>
              </w:rPr>
              <w:t>(realized and unrealized)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1800" w:type="dxa"/>
            <w:vAlign w:val="bottom"/>
          </w:tcPr>
          <w:p>
            <w:pPr>
              <w:spacing w:after="0"/>
              <w:rPr>
                <w:sz w:val="20"/>
                <w:szCs w:val="20"/>
                <w:color w:val="auto"/>
              </w:rPr>
            </w:pPr>
          </w:p>
        </w:tc>
      </w:tr>
      <w:tr>
        <w:trPr>
          <w:trHeight w:val="216"/>
        </w:trPr>
        <w:tc>
          <w:tcPr>
            <w:tcW w:w="130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Balance at September 30, 2012</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45"/>
        </w:trPr>
        <w:tc>
          <w:tcPr>
            <w:tcW w:w="1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Nine Months Ended September 30, 2012</w:t>
            </w:r>
          </w:p>
        </w:tc>
        <w:tc>
          <w:tcPr>
            <w:tcW w:w="1800" w:type="dxa"/>
            <w:vAlign w:val="bottom"/>
          </w:tcPr>
          <w:p>
            <w:pPr>
              <w:spacing w:after="0"/>
              <w:rPr>
                <w:sz w:val="24"/>
                <w:szCs w:val="24"/>
                <w:color w:val="auto"/>
              </w:rPr>
            </w:pPr>
          </w:p>
        </w:tc>
      </w:tr>
      <w:tr>
        <w:trPr>
          <w:trHeight w:val="119"/>
        </w:trPr>
        <w:tc>
          <w:tcPr>
            <w:tcW w:w="13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Interest Rate</w:t>
            </w: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Forward</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5"/>
              <w:spacing w:after="0" w:line="119" w:lineRule="exact"/>
              <w:rPr>
                <w:sz w:val="20"/>
                <w:szCs w:val="20"/>
                <w:color w:val="auto"/>
              </w:rPr>
            </w:pPr>
            <w:r>
              <w:rPr>
                <w:rFonts w:ascii="Arial" w:cs="Arial" w:eastAsia="Arial" w:hAnsi="Arial"/>
                <w:sz w:val="13"/>
                <w:szCs w:val="13"/>
                <w:b w:val="1"/>
                <w:bCs w:val="1"/>
                <w:color w:val="auto"/>
                <w:w w:val="99"/>
              </w:rPr>
              <w:t>Loans</w:t>
            </w:r>
          </w:p>
        </w:tc>
        <w:tc>
          <w:tcPr>
            <w:tcW w:w="10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49"/>
        </w:trPr>
        <w:tc>
          <w:tcPr>
            <w:tcW w:w="13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Lock</w:t>
            </w: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Delivery</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Held for</w:t>
            </w:r>
          </w:p>
        </w:tc>
        <w:tc>
          <w:tcPr>
            <w:tcW w:w="1800" w:type="dxa"/>
            <w:vAlign w:val="bottom"/>
          </w:tcPr>
          <w:p>
            <w:pPr>
              <w:spacing w:after="0"/>
              <w:rPr>
                <w:sz w:val="12"/>
                <w:szCs w:val="12"/>
                <w:color w:val="auto"/>
              </w:rPr>
            </w:pPr>
          </w:p>
        </w:tc>
      </w:tr>
      <w:tr>
        <w:trPr>
          <w:trHeight w:val="171"/>
        </w:trPr>
        <w:tc>
          <w:tcPr>
            <w:tcW w:w="13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Commitments</w:t>
            </w: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Contracts</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Sale</w:t>
            </w:r>
          </w:p>
        </w:tc>
        <w:tc>
          <w:tcPr>
            <w:tcW w:w="1800" w:type="dxa"/>
            <w:vAlign w:val="bottom"/>
          </w:tcPr>
          <w:p>
            <w:pPr>
              <w:spacing w:after="0"/>
              <w:rPr>
                <w:sz w:val="14"/>
                <w:szCs w:val="14"/>
                <w:color w:val="auto"/>
              </w:rPr>
            </w:pPr>
          </w:p>
        </w:tc>
      </w:tr>
      <w:tr>
        <w:trPr>
          <w:trHeight w:val="210"/>
        </w:trPr>
        <w:tc>
          <w:tcPr>
            <w:tcW w:w="130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r>
      <w:tr>
        <w:trPr>
          <w:trHeight w:val="202"/>
        </w:trPr>
        <w:tc>
          <w:tcPr>
            <w:tcW w:w="1300" w:type="dxa"/>
            <w:vAlign w:val="bottom"/>
          </w:tcPr>
          <w:p>
            <w:pPr>
              <w:spacing w:after="0"/>
              <w:rPr>
                <w:sz w:val="17"/>
                <w:szCs w:val="17"/>
                <w:color w:val="auto"/>
              </w:rPr>
            </w:pPr>
          </w:p>
        </w:tc>
        <w:tc>
          <w:tcPr>
            <w:tcW w:w="3820" w:type="dxa"/>
            <w:vAlign w:val="bottom"/>
          </w:tcPr>
          <w:p>
            <w:pPr>
              <w:ind w:left="180"/>
              <w:spacing w:after="0" w:line="201" w:lineRule="exact"/>
              <w:rPr>
                <w:sz w:val="20"/>
                <w:szCs w:val="20"/>
                <w:color w:val="auto"/>
              </w:rPr>
            </w:pPr>
            <w:r>
              <w:rPr>
                <w:rFonts w:ascii="Arial" w:cs="Arial" w:eastAsia="Arial" w:hAnsi="Arial"/>
                <w:sz w:val="18"/>
                <w:szCs w:val="18"/>
                <w:color w:val="auto"/>
              </w:rPr>
              <w:t>Total net gains (losses) included in earnings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0"/>
        </w:trPr>
        <w:tc>
          <w:tcPr>
            <w:tcW w:w="1300" w:type="dxa"/>
            <w:vAlign w:val="bottom"/>
          </w:tcPr>
          <w:p>
            <w:pPr>
              <w:spacing w:after="0"/>
              <w:rPr>
                <w:sz w:val="20"/>
                <w:szCs w:val="20"/>
                <w:color w:val="auto"/>
              </w:rPr>
            </w:pPr>
          </w:p>
        </w:tc>
        <w:tc>
          <w:tcPr>
            <w:tcW w:w="3820" w:type="dxa"/>
            <w:vAlign w:val="bottom"/>
          </w:tcPr>
          <w:p>
            <w:pPr>
              <w:ind w:left="360"/>
              <w:spacing w:after="0"/>
              <w:rPr>
                <w:sz w:val="20"/>
                <w:szCs w:val="20"/>
                <w:color w:val="auto"/>
              </w:rPr>
            </w:pPr>
            <w:r>
              <w:rPr>
                <w:rFonts w:ascii="Arial" w:cs="Arial" w:eastAsia="Arial" w:hAnsi="Arial"/>
                <w:sz w:val="18"/>
                <w:szCs w:val="18"/>
                <w:color w:val="auto"/>
              </w:rPr>
              <w:t>(realized and unrealized)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73,378</w:t>
            </w: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1800" w:type="dxa"/>
            <w:vAlign w:val="bottom"/>
          </w:tcPr>
          <w:p>
            <w:pPr>
              <w:spacing w:after="0"/>
              <w:rPr>
                <w:sz w:val="20"/>
                <w:szCs w:val="20"/>
                <w:color w:val="auto"/>
              </w:rPr>
            </w:pPr>
          </w:p>
        </w:tc>
      </w:tr>
      <w:tr>
        <w:trPr>
          <w:trHeight w:val="216"/>
        </w:trPr>
        <w:tc>
          <w:tcPr>
            <w:tcW w:w="130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(3,401)</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(73,459)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Balance at September 30, 2012</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0" w:type="dxa"/>
            <w:vAlign w:val="bottom"/>
            <w:gridSpan w:val="3"/>
          </w:tcPr>
          <w:p>
            <w:pPr>
              <w:jc w:val="right"/>
              <w:ind w:right="836"/>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8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Three Months Ended September 30, 2011</w:t>
            </w:r>
          </w:p>
        </w:tc>
      </w:tr>
      <w:tr>
        <w:trPr>
          <w:trHeight w:val="119"/>
        </w:trPr>
        <w:tc>
          <w:tcPr>
            <w:tcW w:w="4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Interest Rate</w:t>
            </w: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Forward</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w w:val="99"/>
              </w:rPr>
              <w:t>Loans</w:t>
            </w:r>
          </w:p>
        </w:tc>
        <w:tc>
          <w:tcPr>
            <w:tcW w:w="100" w:type="dxa"/>
            <w:vAlign w:val="bottom"/>
          </w:tcPr>
          <w:p>
            <w:pPr>
              <w:spacing w:after="0"/>
              <w:rPr>
                <w:sz w:val="10"/>
                <w:szCs w:val="10"/>
                <w:color w:val="auto"/>
              </w:rPr>
            </w:pPr>
          </w:p>
        </w:tc>
      </w:t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Lock</w:t>
            </w: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Delivery</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Held for</w:t>
            </w:r>
          </w:p>
        </w:tc>
      </w:tr>
      <w:tr>
        <w:trPr>
          <w:trHeight w:val="17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Commitments</w:t>
            </w: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Contracts</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Sale</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280" w:type="dxa"/>
            <w:vAlign w:val="bottom"/>
          </w:tcPr>
          <w:p>
            <w:pPr>
              <w:ind w:left="180"/>
              <w:spacing w:after="0" w:line="201" w:lineRule="exact"/>
              <w:rPr>
                <w:sz w:val="20"/>
                <w:szCs w:val="20"/>
                <w:color w:val="auto"/>
              </w:rPr>
            </w:pPr>
            <w:r>
              <w:rPr>
                <w:rFonts w:ascii="Arial" w:cs="Arial" w:eastAsia="Arial" w:hAnsi="Arial"/>
                <w:sz w:val="18"/>
                <w:szCs w:val="18"/>
                <w:color w:val="auto"/>
              </w:rPr>
              <w:t>Total net gains (losses) included in earnings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(realized and unrealized)</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40,680</w:t>
            </w: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(2,255)</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(31,956)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Balance at September 30, 2011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12,747</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Nine Months Ended September 30, 2011</w:t>
            </w:r>
          </w:p>
        </w:tc>
      </w:tr>
      <w:tr>
        <w:trPr>
          <w:trHeight w:val="119"/>
        </w:trPr>
        <w:tc>
          <w:tcPr>
            <w:tcW w:w="4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Interest Rate</w:t>
            </w: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Forward</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w w:val="99"/>
              </w:rPr>
              <w:t>Loans</w:t>
            </w:r>
          </w:p>
        </w:tc>
        <w:tc>
          <w:tcPr>
            <w:tcW w:w="100" w:type="dxa"/>
            <w:vAlign w:val="bottom"/>
          </w:tcPr>
          <w:p>
            <w:pPr>
              <w:spacing w:after="0"/>
              <w:rPr>
                <w:sz w:val="10"/>
                <w:szCs w:val="10"/>
                <w:color w:val="auto"/>
              </w:rPr>
            </w:pPr>
          </w:p>
        </w:tc>
      </w:t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Lock</w:t>
            </w: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Delivery</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Held for</w:t>
            </w:r>
          </w:p>
        </w:tc>
      </w:tr>
      <w:tr>
        <w:trPr>
          <w:trHeight w:val="17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Commitments</w:t>
            </w: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Contracts</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Sale</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280" w:type="dxa"/>
            <w:vAlign w:val="bottom"/>
          </w:tcPr>
          <w:p>
            <w:pPr>
              <w:ind w:left="180"/>
              <w:spacing w:after="0" w:line="201" w:lineRule="exact"/>
              <w:rPr>
                <w:sz w:val="20"/>
                <w:szCs w:val="20"/>
                <w:color w:val="auto"/>
              </w:rPr>
            </w:pPr>
            <w:r>
              <w:rPr>
                <w:rFonts w:ascii="Arial" w:cs="Arial" w:eastAsia="Arial" w:hAnsi="Arial"/>
                <w:sz w:val="18"/>
                <w:szCs w:val="18"/>
                <w:color w:val="auto"/>
              </w:rPr>
              <w:t>Total net gains (losses) included in earnings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(realized and unrealized)</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81,847</w:t>
            </w: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4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Purchases(a)</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970</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900" w:orient="portrait"/>
          <w:cols w:equalWidth="0" w:num="1">
            <w:col w:w="11460"/>
          </w:cols>
          <w:pgMar w:left="240" w:top="125" w:right="199" w:bottom="0" w:gutter="0" w:footer="0" w:header="0"/>
        </w:sectPr>
      </w:pPr>
    </w:p>
    <w:bookmarkStart w:id="13" w:name="page14"/>
    <w:bookmarkEnd w:id="13"/>
    <w:p>
      <w:pPr>
        <w:spacing w:after="0" w:line="62"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(1,041)</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(8,252)</w:t>
            </w:r>
          </w:p>
        </w:tc>
        <w:tc>
          <w:tcPr>
            <w:tcW w:w="52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(181)</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(67,804)</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Balance at September 30, 2011</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12,747</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79"/>
              </w:rPr>
              <w:t>32</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940" w:hanging="635"/>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Purchased in conjunction with the acquisition of certain assets of SurePoint.</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following presents the gains (losses) included in earnings for the three and nine months ended September 30, 2012 and 2011 relating to our assets and liabilities that are measured at fair value on a recurring basis using significant unobservable inputs (Level 3) (in thousands):</w:t>
      </w:r>
    </w:p>
    <w:p>
      <w:pPr>
        <w:sectPr>
          <w:pgSz w:w="11900" w:h="16900"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right="140" w:hanging="179"/>
        <w:spacing w:after="0" w:line="258" w:lineRule="auto"/>
        <w:rPr>
          <w:sz w:val="20"/>
          <w:szCs w:val="20"/>
          <w:color w:val="auto"/>
        </w:rPr>
      </w:pPr>
      <w:r>
        <w:rPr>
          <w:rFonts w:ascii="Arial" w:cs="Arial" w:eastAsia="Arial" w:hAnsi="Arial"/>
          <w:sz w:val="18"/>
          <w:szCs w:val="18"/>
          <w:color w:val="auto"/>
        </w:rPr>
        <w:t>Total net gains (losses) included in earnings, which are included in discontinued operations</w:t>
      </w:r>
    </w:p>
    <w:p>
      <w:pPr>
        <w:spacing w:after="0" w:line="1" w:lineRule="exact"/>
        <w:rPr>
          <w:sz w:val="20"/>
          <w:szCs w:val="20"/>
          <w:color w:val="auto"/>
        </w:rPr>
      </w:pPr>
    </w:p>
    <w:p>
      <w:pPr>
        <w:ind w:left="180" w:right="120" w:hanging="179"/>
        <w:spacing w:after="0" w:line="255" w:lineRule="auto"/>
        <w:rPr>
          <w:sz w:val="20"/>
          <w:szCs w:val="20"/>
          <w:color w:val="auto"/>
        </w:rPr>
      </w:pPr>
      <w:r>
        <w:rPr>
          <w:rFonts w:ascii="Arial" w:cs="Arial" w:eastAsia="Arial" w:hAnsi="Arial"/>
          <w:sz w:val="18"/>
          <w:szCs w:val="18"/>
          <w:color w:val="auto"/>
        </w:rPr>
        <w:t>Change in unrealized losses relating to assets and liabilities still held at September 30, 2012, which are included in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0" w:right="140" w:hanging="179"/>
        <w:spacing w:after="0" w:line="258" w:lineRule="auto"/>
        <w:rPr>
          <w:sz w:val="20"/>
          <w:szCs w:val="20"/>
          <w:color w:val="auto"/>
        </w:rPr>
      </w:pPr>
      <w:r>
        <w:rPr>
          <w:rFonts w:ascii="Arial" w:cs="Arial" w:eastAsia="Arial" w:hAnsi="Arial"/>
          <w:sz w:val="18"/>
          <w:szCs w:val="18"/>
          <w:color w:val="auto"/>
        </w:rPr>
        <w:t>Total net gains (losses) included in earnings, which are included in discontinued operations</w:t>
      </w:r>
    </w:p>
    <w:p>
      <w:pPr>
        <w:spacing w:after="0" w:line="1" w:lineRule="exact"/>
        <w:rPr>
          <w:sz w:val="20"/>
          <w:szCs w:val="20"/>
          <w:color w:val="auto"/>
        </w:rPr>
      </w:pPr>
    </w:p>
    <w:p>
      <w:pPr>
        <w:ind w:left="180" w:hanging="179"/>
        <w:spacing w:after="0" w:line="277" w:lineRule="auto"/>
        <w:rPr>
          <w:sz w:val="20"/>
          <w:szCs w:val="20"/>
          <w:color w:val="auto"/>
        </w:rPr>
      </w:pPr>
      <w:r>
        <w:rPr>
          <w:rFonts w:ascii="Arial" w:cs="Arial" w:eastAsia="Arial" w:hAnsi="Arial"/>
          <w:sz w:val="17"/>
          <w:szCs w:val="17"/>
          <w:color w:val="auto"/>
        </w:rPr>
        <w:t>Change in unrealized gains (losses) relating to assets and liabilities still held at September 30, 2011, which are included in discontinued operations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300" w:type="dxa"/>
            <w:vAlign w:val="bottom"/>
            <w:gridSpan w:val="6"/>
          </w:tcPr>
          <w:p>
            <w:pPr>
              <w:jc w:val="center"/>
              <w:ind w:left="724"/>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ind w:left="9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44"/>
              <w:spacing w:after="0"/>
              <w:rPr>
                <w:sz w:val="20"/>
                <w:szCs w:val="20"/>
                <w:color w:val="auto"/>
              </w:rPr>
            </w:pPr>
            <w:r>
              <w:rPr>
                <w:rFonts w:ascii="Arial" w:cs="Arial" w:eastAsia="Arial" w:hAnsi="Arial"/>
                <w:sz w:val="14"/>
                <w:szCs w:val="14"/>
                <w:b w:val="1"/>
                <w:bCs w:val="1"/>
                <w:color w:val="auto"/>
                <w:w w:val="91"/>
              </w:rPr>
              <w:t>September 30, 2012</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September 30, 2012</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120" w:type="dxa"/>
            <w:vAlign w:val="bottom"/>
          </w:tcPr>
          <w:p>
            <w:pPr>
              <w:spacing w:after="0"/>
              <w:rPr>
                <w:sz w:val="10"/>
                <w:szCs w:val="10"/>
                <w:color w:val="auto"/>
              </w:rPr>
            </w:pPr>
          </w:p>
        </w:tc>
        <w:tc>
          <w:tcPr>
            <w:tcW w:w="11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Interest Rate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Forward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w w:val="99"/>
              </w:rPr>
              <w:t>Loans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Interest Rate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Forward</w:t>
            </w:r>
          </w:p>
        </w:tc>
        <w:tc>
          <w:tcPr>
            <w:tcW w:w="140" w:type="dxa"/>
            <w:vAlign w:val="bottom"/>
          </w:tcPr>
          <w:p>
            <w:pPr>
              <w:spacing w:after="0"/>
              <w:rPr>
                <w:sz w:val="10"/>
                <w:szCs w:val="10"/>
                <w:color w:val="auto"/>
              </w:rPr>
            </w:pPr>
          </w:p>
        </w:tc>
        <w:tc>
          <w:tcPr>
            <w:tcW w:w="66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w w:val="93"/>
              </w:rPr>
              <w:t>Loans</w:t>
            </w:r>
          </w:p>
        </w:tc>
        <w:tc>
          <w:tcPr>
            <w:tcW w:w="60" w:type="dxa"/>
            <w:vAlign w:val="bottom"/>
            <w:gridSpan w:val="2"/>
          </w:tcPr>
          <w:p>
            <w:pPr>
              <w:spacing w:after="0"/>
              <w:rPr>
                <w:sz w:val="10"/>
                <w:szCs w:val="10"/>
                <w:color w:val="auto"/>
              </w:rPr>
            </w:pPr>
          </w:p>
        </w:tc>
      </w:tr>
      <w:tr>
        <w:trPr>
          <w:trHeight w:val="149"/>
        </w:trPr>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Lock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Delivery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Held</w:t>
            </w: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Lock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Delivery</w:t>
            </w:r>
          </w:p>
        </w:tc>
        <w:tc>
          <w:tcPr>
            <w:tcW w:w="140" w:type="dxa"/>
            <w:vAlign w:val="bottom"/>
          </w:tcPr>
          <w:p>
            <w:pPr>
              <w:spacing w:after="0"/>
              <w:rPr>
                <w:sz w:val="12"/>
                <w:szCs w:val="12"/>
                <w:color w:val="auto"/>
              </w:rPr>
            </w:pPr>
          </w:p>
        </w:tc>
        <w:tc>
          <w:tcPr>
            <w:tcW w:w="7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Held</w:t>
            </w:r>
          </w:p>
        </w:tc>
      </w:tr>
      <w:tr>
        <w:trPr>
          <w:trHeight w:val="171"/>
        </w:trPr>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Commitments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for Sale</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Commitments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for Sale</w:t>
            </w:r>
          </w:p>
        </w:tc>
        <w:tc>
          <w:tcPr>
            <w:tcW w:w="60" w:type="dxa"/>
            <w:vAlign w:val="bottom"/>
            <w:gridSpan w:val="2"/>
          </w:tcPr>
          <w:p>
            <w:pPr>
              <w:spacing w:after="0"/>
              <w:rPr>
                <w:sz w:val="14"/>
                <w:szCs w:val="14"/>
                <w:color w:val="auto"/>
              </w:rPr>
            </w:pPr>
          </w:p>
        </w:tc>
      </w:tr>
      <w:tr>
        <w:trPr>
          <w:trHeight w:val="399"/>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73,378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(412)</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2"/>
        </w:trPr>
        <w:tc>
          <w:tcPr>
            <w:tcW w:w="120" w:type="dxa"/>
            <w:vAlign w:val="bottom"/>
          </w:tcPr>
          <w:p>
            <w:pPr>
              <w:spacing w:after="0"/>
              <w:rPr>
                <w:sz w:val="24"/>
                <w:szCs w:val="24"/>
                <w:color w:val="auto"/>
              </w:rPr>
            </w:pPr>
          </w:p>
        </w:tc>
        <w:tc>
          <w:tcPr>
            <w:tcW w:w="2300" w:type="dxa"/>
            <w:vAlign w:val="bottom"/>
            <w:gridSpan w:val="6"/>
          </w:tcPr>
          <w:p>
            <w:pPr>
              <w:jc w:val="center"/>
              <w:ind w:left="724"/>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ind w:left="9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44"/>
              <w:spacing w:after="0"/>
              <w:rPr>
                <w:sz w:val="20"/>
                <w:szCs w:val="20"/>
                <w:color w:val="auto"/>
              </w:rPr>
            </w:pPr>
            <w:r>
              <w:rPr>
                <w:rFonts w:ascii="Arial" w:cs="Arial" w:eastAsia="Arial" w:hAnsi="Arial"/>
                <w:sz w:val="14"/>
                <w:szCs w:val="14"/>
                <w:b w:val="1"/>
                <w:bCs w:val="1"/>
                <w:color w:val="auto"/>
                <w:w w:val="91"/>
              </w:rPr>
              <w:t>September 30, 2011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rPr>
              <w:t>September 30, 2011</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120" w:type="dxa"/>
            <w:vAlign w:val="bottom"/>
          </w:tcPr>
          <w:p>
            <w:pPr>
              <w:spacing w:after="0"/>
              <w:rPr>
                <w:sz w:val="10"/>
                <w:szCs w:val="10"/>
                <w:color w:val="auto"/>
              </w:rPr>
            </w:pPr>
          </w:p>
        </w:tc>
        <w:tc>
          <w:tcPr>
            <w:tcW w:w="11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Interest Rate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Forward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w w:val="99"/>
              </w:rPr>
              <w:t>Loans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Interest Rate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Forward</w:t>
            </w:r>
          </w:p>
        </w:tc>
        <w:tc>
          <w:tcPr>
            <w:tcW w:w="140" w:type="dxa"/>
            <w:vAlign w:val="bottom"/>
          </w:tcPr>
          <w:p>
            <w:pPr>
              <w:spacing w:after="0"/>
              <w:rPr>
                <w:sz w:val="10"/>
                <w:szCs w:val="10"/>
                <w:color w:val="auto"/>
              </w:rPr>
            </w:pPr>
          </w:p>
        </w:tc>
        <w:tc>
          <w:tcPr>
            <w:tcW w:w="66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w w:val="93"/>
              </w:rPr>
              <w:t>Loans</w:t>
            </w:r>
          </w:p>
        </w:tc>
        <w:tc>
          <w:tcPr>
            <w:tcW w:w="60" w:type="dxa"/>
            <w:vAlign w:val="bottom"/>
            <w:gridSpan w:val="2"/>
          </w:tcPr>
          <w:p>
            <w:pPr>
              <w:spacing w:after="0"/>
              <w:rPr>
                <w:sz w:val="10"/>
                <w:szCs w:val="10"/>
                <w:color w:val="auto"/>
              </w:rPr>
            </w:pPr>
          </w:p>
        </w:tc>
      </w:tr>
      <w:tr>
        <w:trPr>
          <w:trHeight w:val="149"/>
        </w:trPr>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Lock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Delivery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Held</w:t>
            </w: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Lock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Delivery</w:t>
            </w:r>
          </w:p>
        </w:tc>
        <w:tc>
          <w:tcPr>
            <w:tcW w:w="140" w:type="dxa"/>
            <w:vAlign w:val="bottom"/>
          </w:tcPr>
          <w:p>
            <w:pPr>
              <w:spacing w:after="0"/>
              <w:rPr>
                <w:sz w:val="12"/>
                <w:szCs w:val="12"/>
                <w:color w:val="auto"/>
              </w:rPr>
            </w:pPr>
          </w:p>
        </w:tc>
        <w:tc>
          <w:tcPr>
            <w:tcW w:w="7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Held</w:t>
            </w:r>
          </w:p>
        </w:tc>
      </w:tr>
      <w:tr>
        <w:trPr>
          <w:trHeight w:val="171"/>
        </w:trPr>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Commitments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for Sale</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Commitments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for Sale</w:t>
            </w:r>
          </w:p>
        </w:tc>
        <w:tc>
          <w:tcPr>
            <w:tcW w:w="60" w:type="dxa"/>
            <w:vAlign w:val="bottom"/>
            <w:gridSpan w:val="2"/>
          </w:tcPr>
          <w:p>
            <w:pPr>
              <w:spacing w:after="0"/>
              <w:rPr>
                <w:sz w:val="14"/>
                <w:szCs w:val="14"/>
                <w:color w:val="auto"/>
              </w:rPr>
            </w:pPr>
          </w:p>
        </w:tc>
      </w:tr>
      <w:tr>
        <w:trPr>
          <w:trHeight w:val="399"/>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40,680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79"/>
              </w:rPr>
              <w:t>69</w:t>
            </w:r>
          </w:p>
        </w:tc>
        <w:tc>
          <w:tcPr>
            <w:tcW w:w="12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81,847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79"/>
              </w:rPr>
              <w:t>32</w:t>
            </w:r>
          </w:p>
        </w:tc>
        <w:tc>
          <w:tcPr>
            <w:tcW w:w="12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12,747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-2023110</wp:posOffset>
            </wp:positionV>
            <wp:extent cx="72466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-702310</wp:posOffset>
            </wp:positionV>
            <wp:extent cx="72466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8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4100" w:space="360"/>
            <w:col w:w="6960"/>
          </w:cols>
          <w:pgMar w:left="240" w:top="140"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our derivative instruments not designated as hedging instruments as of September 30, 2012 and December 31, 2011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600" w:type="dxa"/>
            <w:vAlign w:val="bottom"/>
            <w:tcBorders>
              <w:bottom w:val="single" w:sz="8" w:color="auto"/>
            </w:tcBorders>
            <w:gridSpan w:val="2"/>
          </w:tcPr>
          <w:p>
            <w:pPr>
              <w:ind w:left="1380"/>
              <w:spacing w:after="0"/>
              <w:rPr>
                <w:sz w:val="20"/>
                <w:szCs w:val="20"/>
                <w:color w:val="auto"/>
              </w:rPr>
            </w:pPr>
            <w:r>
              <w:rPr>
                <w:rFonts w:ascii="Arial" w:cs="Arial" w:eastAsia="Arial" w:hAnsi="Arial"/>
                <w:sz w:val="14"/>
                <w:szCs w:val="14"/>
                <w:b w:val="1"/>
                <w:bCs w:val="1"/>
                <w:color w:val="auto"/>
                <w:w w:val="91"/>
              </w:rPr>
              <w:t>September 30, 2012</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tcBorders>
              <w:bottom w:val="single" w:sz="8" w:color="auto"/>
            </w:tcBorders>
            <w:gridSpan w:val="2"/>
          </w:tcPr>
          <w:p>
            <w:pPr>
              <w:ind w:left="1380"/>
              <w:spacing w:after="0"/>
              <w:rPr>
                <w:sz w:val="20"/>
                <w:szCs w:val="20"/>
                <w:color w:val="auto"/>
              </w:rPr>
            </w:pPr>
            <w:r>
              <w:rPr>
                <w:rFonts w:ascii="Arial" w:cs="Arial" w:eastAsia="Arial" w:hAnsi="Arial"/>
                <w:sz w:val="14"/>
                <w:szCs w:val="14"/>
                <w:b w:val="1"/>
                <w:bCs w:val="1"/>
                <w:color w:val="auto"/>
                <w:w w:val="91"/>
              </w:rPr>
              <w:t>December 31, 2011</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26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Balance Sheet Location</w:t>
            </w:r>
          </w:p>
        </w:tc>
        <w:tc>
          <w:tcPr>
            <w:tcW w:w="220" w:type="dxa"/>
            <w:vAlign w:val="bottom"/>
          </w:tcPr>
          <w:p>
            <w:pPr>
              <w:spacing w:after="0"/>
              <w:rPr>
                <w:sz w:val="12"/>
                <w:szCs w:val="12"/>
                <w:color w:val="auto"/>
              </w:rPr>
            </w:pPr>
          </w:p>
        </w:tc>
        <w:tc>
          <w:tcPr>
            <w:tcW w:w="11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25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Balance Sheet Location</w:t>
            </w:r>
          </w:p>
        </w:tc>
        <w:tc>
          <w:tcPr>
            <w:tcW w:w="220" w:type="dxa"/>
            <w:vAlign w:val="bottom"/>
          </w:tcPr>
          <w:p>
            <w:pPr>
              <w:spacing w:after="0"/>
              <w:rPr>
                <w:sz w:val="12"/>
                <w:szCs w:val="12"/>
                <w:color w:val="auto"/>
              </w:rPr>
            </w:pPr>
          </w:p>
        </w:tc>
        <w:tc>
          <w:tcPr>
            <w:tcW w:w="11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195"/>
        </w:trPr>
        <w:tc>
          <w:tcPr>
            <w:tcW w:w="31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Lock Commitments</w:t>
            </w:r>
          </w:p>
        </w:tc>
        <w:tc>
          <w:tcPr>
            <w:tcW w:w="23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Current assets of discontinued</w:t>
            </w: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Current assets of discontinued</w:t>
            </w: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316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5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9,282</w:t>
            </w: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Forward Delivery Contracts</w:t>
            </w:r>
          </w:p>
        </w:tc>
        <w:tc>
          <w:tcPr>
            <w:tcW w:w="260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9"/>
              </w:rPr>
              <w:t>Current assets of discontinued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9"/>
              </w:rPr>
              <w:t>Current assets of discontinued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60" w:type="dxa"/>
            <w:vAlign w:val="bottom"/>
          </w:tcPr>
          <w:p>
            <w:pPr>
              <w:spacing w:after="0"/>
              <w:rPr>
                <w:sz w:val="20"/>
                <w:szCs w:val="20"/>
                <w:color w:val="auto"/>
              </w:rPr>
            </w:pPr>
          </w:p>
        </w:tc>
        <w:tc>
          <w:tcPr>
            <w:tcW w:w="26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operations</w:t>
            </w:r>
          </w:p>
        </w:tc>
        <w:tc>
          <w:tcPr>
            <w:tcW w:w="220" w:type="dxa"/>
            <w:vAlign w:val="bottom"/>
          </w:tcPr>
          <w:p>
            <w:pPr>
              <w:spacing w:after="0"/>
              <w:rPr>
                <w:sz w:val="20"/>
                <w:szCs w:val="20"/>
                <w:color w:val="auto"/>
              </w:rPr>
            </w:pP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operations</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Lock Commitments</w:t>
            </w:r>
          </w:p>
        </w:tc>
        <w:tc>
          <w:tcPr>
            <w:tcW w:w="260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5"/>
              </w:rPr>
              <w:t>Current liabilities of</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5"/>
              </w:rPr>
              <w:t>Current liabilities of</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discontinued operations</w:t>
            </w: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5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discontinued operations</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Forward Delivery Contracts</w:t>
            </w:r>
          </w:p>
        </w:tc>
        <w:tc>
          <w:tcPr>
            <w:tcW w:w="260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5"/>
              </w:rPr>
              <w:t>Current liabilities of</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5"/>
              </w:rPr>
              <w:t>Current liabilities of</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60" w:type="dxa"/>
            <w:vAlign w:val="bottom"/>
          </w:tcPr>
          <w:p>
            <w:pPr>
              <w:spacing w:after="0"/>
              <w:rPr>
                <w:sz w:val="20"/>
                <w:szCs w:val="20"/>
                <w:color w:val="auto"/>
              </w:rPr>
            </w:pPr>
          </w:p>
        </w:tc>
        <w:tc>
          <w:tcPr>
            <w:tcW w:w="26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discontinued operations</w:t>
            </w:r>
          </w:p>
        </w:tc>
        <w:tc>
          <w:tcPr>
            <w:tcW w:w="220" w:type="dxa"/>
            <w:vAlign w:val="bottom"/>
          </w:tcPr>
          <w:p>
            <w:pPr>
              <w:spacing w:after="0"/>
              <w:rPr>
                <w:sz w:val="20"/>
                <w:szCs w:val="20"/>
                <w:color w:val="auto"/>
              </w:rPr>
            </w:pP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discontinued operations</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(4,568)</w:t>
            </w:r>
          </w:p>
        </w:tc>
      </w:tr>
      <w:tr>
        <w:trPr>
          <w:trHeight w:val="210"/>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gain (loss) recognized in the consolidated statements of operations for derivatives for the three and nine months ended September 30, 2012 and 2011 was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Location of Gain/(Loss)</w:t>
            </w:r>
          </w:p>
        </w:tc>
        <w:tc>
          <w:tcPr>
            <w:tcW w:w="120" w:type="dxa"/>
            <w:vAlign w:val="bottom"/>
          </w:tcPr>
          <w:p>
            <w:pPr>
              <w:spacing w:after="0"/>
              <w:rPr>
                <w:sz w:val="14"/>
                <w:szCs w:val="1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3340" w:type="dxa"/>
            <w:vAlign w:val="bottom"/>
          </w:tcPr>
          <w:p>
            <w:pPr>
              <w:spacing w:after="0"/>
              <w:rPr>
                <w:sz w:val="10"/>
                <w:szCs w:val="10"/>
                <w:color w:val="auto"/>
              </w:rPr>
            </w:pPr>
          </w:p>
        </w:tc>
        <w:tc>
          <w:tcPr>
            <w:tcW w:w="25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Recognized</w:t>
            </w: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Income on Derivative</w:t>
            </w:r>
          </w:p>
        </w:tc>
        <w:tc>
          <w:tcPr>
            <w:tcW w:w="120" w:type="dxa"/>
            <w:vAlign w:val="bottom"/>
          </w:tcPr>
          <w:p>
            <w:pPr>
              <w:spacing w:after="0"/>
              <w:rPr>
                <w:sz w:val="14"/>
                <w:szCs w:val="14"/>
                <w:color w:val="auto"/>
              </w:rPr>
            </w:pPr>
          </w:p>
        </w:tc>
        <w:tc>
          <w:tcPr>
            <w:tcW w:w="1040" w:type="dxa"/>
            <w:vAlign w:val="bottom"/>
          </w:tcPr>
          <w:p>
            <w:pPr>
              <w:jc w:val="right"/>
              <w:ind w:right="360"/>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8"/>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20"/>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3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Discontinued operations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Discontinued operations</w:t>
            </w: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4,244</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(3,818)</w:t>
            </w:r>
          </w:p>
        </w:tc>
      </w:tr>
      <w:tr>
        <w:trPr>
          <w:trHeight w:val="210"/>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under the fair value option</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LendingTree Loans elected to account for loans held for sale originated on or after January 1, 2008 at fair value. Electing the fair value option allowed a better offset of the changes in fair values of the loans and the forward delivery contracts used to economically hedge them without the burden of complying with the requirements for hedge accounting.</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LendingTree Loans did not elect the fair value option on loans held for sale originated prior to January 1, 2008 and on loans that were repurchased from investors on or subsequent to that date. As of September 30, 2012 and December 31, 2011, there were no loans held for sale or carried at the lower of cost or market (“LOCOM”) value assessed on an individual loan basis.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September 30, 2012 and December 31, 2011 (in thousands):</w:t>
      </w:r>
    </w:p>
    <w:p>
      <w:pPr>
        <w:spacing w:after="0" w:line="162"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As of September 30, 2012</w:t>
      </w:r>
    </w:p>
    <w:p>
      <w:pPr>
        <w:spacing w:after="0" w:line="10" w:lineRule="exact"/>
        <w:rPr>
          <w:sz w:val="20"/>
          <w:szCs w:val="20"/>
          <w:color w:val="auto"/>
        </w:rPr>
      </w:pPr>
    </w:p>
    <w:tbl>
      <w:tblPr>
        <w:tblLayout w:type="fixed"/>
        <w:tblInd w:w="980" w:type="dxa"/>
        <w:tblCellMar>
          <w:top w:w="0" w:type="dxa"/>
          <w:left w:w="0" w:type="dxa"/>
          <w:bottom w:w="0" w:type="dxa"/>
          <w:right w:w="0" w:type="dxa"/>
        </w:tblCellMar>
      </w:tblPr>
      <w:tr>
        <w:trPr>
          <w:trHeight w:val="119"/>
        </w:trPr>
        <w:tc>
          <w:tcPr>
            <w:tcW w:w="4360" w:type="dxa"/>
            <w:vAlign w:val="bottom"/>
          </w:tcPr>
          <w:p>
            <w:pPr>
              <w:spacing w:after="0"/>
              <w:rPr>
                <w:sz w:val="10"/>
                <w:szCs w:val="10"/>
                <w:color w:val="auto"/>
              </w:rPr>
            </w:pPr>
          </w:p>
        </w:tc>
        <w:tc>
          <w:tcPr>
            <w:tcW w:w="168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Loans Held</w:t>
            </w:r>
          </w:p>
        </w:tc>
        <w:tc>
          <w:tcPr>
            <w:tcW w:w="16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Loans Held</w:t>
            </w:r>
          </w:p>
        </w:tc>
        <w:tc>
          <w:tcPr>
            <w:tcW w:w="13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r>
      <w:tr>
        <w:trPr>
          <w:trHeight w:val="149"/>
        </w:trPr>
        <w:tc>
          <w:tcPr>
            <w:tcW w:w="436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for Sale—</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for Sale—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Loans</w:t>
            </w:r>
          </w:p>
        </w:tc>
      </w:tr>
      <w:tr>
        <w:trPr>
          <w:trHeight w:val="149"/>
        </w:trPr>
        <w:tc>
          <w:tcPr>
            <w:tcW w:w="436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Measured at</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Measured at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Held</w:t>
            </w:r>
          </w:p>
        </w:tc>
      </w:tr>
      <w:tr>
        <w:trPr>
          <w:trHeight w:val="171"/>
        </w:trPr>
        <w:tc>
          <w:tcPr>
            <w:tcW w:w="43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LOCOM</w:t>
            </w:r>
          </w:p>
        </w:tc>
        <w:tc>
          <w:tcPr>
            <w:tcW w:w="3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For Sale</w:t>
            </w:r>
          </w:p>
        </w:tc>
        <w:tc>
          <w:tcPr>
            <w:tcW w:w="100" w:type="dxa"/>
            <w:vAlign w:val="bottom"/>
            <w:tcBorders>
              <w:bottom w:val="single" w:sz="8" w:color="CCEEFF"/>
            </w:tcBorders>
          </w:tcPr>
          <w:p>
            <w:pPr>
              <w:spacing w:after="0"/>
              <w:rPr>
                <w:sz w:val="14"/>
                <w:szCs w:val="14"/>
                <w:color w:val="auto"/>
              </w:rPr>
            </w:pPr>
          </w:p>
        </w:tc>
      </w:tr>
    </w:tbl>
    <w:p>
      <w:pPr>
        <w:sectPr>
          <w:pgSz w:w="11900" w:h="16900" w:orient="portrait"/>
          <w:cols w:equalWidth="0" w:num="1">
            <w:col w:w="11420"/>
          </w:cols>
          <w:pgMar w:left="240" w:top="140" w:right="239" w:bottom="0" w:gutter="0" w:footer="0" w:header="0"/>
          <w:type w:val="continuous"/>
        </w:sectPr>
      </w:pPr>
    </w:p>
    <w:bookmarkStart w:id="14" w:name="page15"/>
    <w:bookmarkEnd w:id="14"/>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1360" w:type="dxa"/>
            <w:vAlign w:val="bottom"/>
          </w:tcPr>
          <w:p>
            <w:pPr>
              <w:spacing w:after="0"/>
              <w:rPr>
                <w:sz w:val="18"/>
                <w:szCs w:val="18"/>
                <w:color w:val="auto"/>
              </w:rPr>
            </w:pPr>
          </w:p>
        </w:tc>
      </w:tr>
      <w:tr>
        <w:trPr>
          <w:trHeight w:val="202"/>
        </w:trPr>
        <w:tc>
          <w:tcPr>
            <w:tcW w:w="98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w w:val="97"/>
              </w:rPr>
              <w:t>Difference between fair value and aggregate unpaid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9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principal balance</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c>
          <w:tcPr>
            <w:tcW w:w="13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45"/>
        </w:trPr>
        <w:tc>
          <w:tcPr>
            <w:tcW w:w="9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0"/>
              </w:rPr>
              <w:t>As of December 31, 2011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9"/>
        </w:trPr>
        <w:tc>
          <w:tcPr>
            <w:tcW w:w="98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Loans Held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Loans Held</w:t>
            </w:r>
          </w:p>
        </w:tc>
        <w:tc>
          <w:tcPr>
            <w:tcW w:w="240" w:type="dxa"/>
            <w:vAlign w:val="bottom"/>
          </w:tcPr>
          <w:p>
            <w:pPr>
              <w:spacing w:after="0"/>
              <w:rPr>
                <w:sz w:val="10"/>
                <w:szCs w:val="10"/>
                <w:color w:val="auto"/>
              </w:rPr>
            </w:pPr>
          </w:p>
        </w:tc>
        <w:tc>
          <w:tcPr>
            <w:tcW w:w="1100" w:type="dxa"/>
            <w:vAlign w:val="bottom"/>
          </w:tcPr>
          <w:p>
            <w:pPr>
              <w:jc w:val="center"/>
              <w:ind w:right="178"/>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49"/>
        </w:trPr>
        <w:tc>
          <w:tcPr>
            <w:tcW w:w="9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for Sale—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for Sale—</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Loans</w:t>
            </w:r>
          </w:p>
        </w:tc>
        <w:tc>
          <w:tcPr>
            <w:tcW w:w="1360" w:type="dxa"/>
            <w:vAlign w:val="bottom"/>
          </w:tcPr>
          <w:p>
            <w:pPr>
              <w:spacing w:after="0"/>
              <w:rPr>
                <w:sz w:val="12"/>
                <w:szCs w:val="12"/>
                <w:color w:val="auto"/>
              </w:rPr>
            </w:pPr>
          </w:p>
        </w:tc>
      </w:tr>
      <w:tr>
        <w:trPr>
          <w:trHeight w:val="149"/>
        </w:trPr>
        <w:tc>
          <w:tcPr>
            <w:tcW w:w="9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Measured at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Measured at</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Held</w:t>
            </w:r>
          </w:p>
        </w:tc>
        <w:tc>
          <w:tcPr>
            <w:tcW w:w="1360" w:type="dxa"/>
            <w:vAlign w:val="bottom"/>
          </w:tcPr>
          <w:p>
            <w:pPr>
              <w:spacing w:after="0"/>
              <w:rPr>
                <w:sz w:val="12"/>
                <w:szCs w:val="12"/>
                <w:color w:val="auto"/>
              </w:rPr>
            </w:pPr>
          </w:p>
        </w:tc>
      </w:tr>
      <w:tr>
        <w:trPr>
          <w:trHeight w:val="171"/>
        </w:trPr>
        <w:tc>
          <w:tcPr>
            <w:tcW w:w="9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LOCOM</w:t>
            </w: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For Sale</w:t>
            </w:r>
          </w:p>
        </w:tc>
        <w:tc>
          <w:tcPr>
            <w:tcW w:w="13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208,918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208,918</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98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w w:val="97"/>
              </w:rPr>
              <w:t>Difference between fair value and aggregate unpaid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9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principal balance</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8,549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8,549</w:t>
            </w:r>
          </w:p>
        </w:tc>
        <w:tc>
          <w:tcPr>
            <w:tcW w:w="13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837"/>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During the nine months ended September 30, 2012 and 2011, the change in fair value of loans held for sale for which the fair value option was elected was a gain of $2.7 million and $3.7 million, respectively, and is included in discontinued operations in the accompanying consolidated statements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HLC subsidiary continues to be liable for these indemnification obligations, repurchase obligations and premium repayment obligations following the sale of substantially all of the operating assets of our LendingTree Loans business in the second quarter of 2012. Approximately $17.1 million of the purchase price paid at closing is being held in escrow pending resolution of certain of these contingent liabilities. We have been negotiating with certain secondary market purchasers to settle any existing and future contingent liabilities, but we may not be able to complete such negotiations on acceptable terms, or at all.</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obligation for losses related to the representations and warranties and other provisions discussed above is initially recorded at its estimated fair value, which includes a projection of expected future losses as well as a market-based premium.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makes to the investors that purchase such loans.</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third quarter of 2012, in order to reflect our exit from the mortgage loan origination business in the second quarter of 2012 and our current commercial objective to pursue bulk settlements with investors, management revised the estimation process for evaluating the adequacy of the reserve for loan losses. The revised methodology, which is described below, was effective as of September 30, 2012, and resulted in a $6.5 million reduction to the loss reserve on previously sold loans during the three months ended September 30, 2012.</w:t>
      </w:r>
    </w:p>
    <w:p>
      <w:pPr>
        <w:spacing w:after="0" w:line="18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Prior to the third quarter of 2012, in estimating our exposure to losses on loans previously sold, LendingTree Loans used a model that considered the original loan balance (before it was sold to an investor), historical and projected loss frequency and loss severity ratios by loan type, as well as analyses of losses in process. Subsequent adjustments to the obligation, if any, are not made based on changes in the fair value of the obligation, which might include an estimated change in losses that may be expected in the future, but are made once further losses are determined to be both probable and estimable. Further, LendingTree Loans segmented its loan sales into four segments, based on the extent of the documentation provided by the borrower to substantiate their income and/or assets (full or limited documentation) and the lien position of the mortgage in the underlying property (first or second position). Each of these segments typically has a different loss experience, with full documentation, first lien position loans generally having the lowest loss ratios, and limited documentation, second lien position loans generally having the highest loss ratios.</w:t>
      </w:r>
    </w:p>
    <w:p>
      <w:pPr>
        <w:spacing w:after="0" w:line="17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The revised methodology uses the model described above, but also incorporates into the estimation process (a) recent bulk settlements entered into by certain of our investors with governmental agencies and other counterparties, as applied to the attributes of the loans sold by LendingTree Loans and currently held by the investors and (b) our own recent investor bulk settlement experience. The historical model described above was weighted 50% in the revised analysis, and each of the other factors were weighted 25% to estimate the range of remaining loan losses, which was determined to be $18 million to $33 million at September 30, 2012. The reserve balance recorded as of September 30, 2012 was $26.6 million. Management has considered both objective and subjective factors in the estimation process, but given current general industry trends in mortgage loans as well as housing prices, market expectations and actual losses related to LendingTree Loans’ obligations could vary significantly from the obligation recorded as of the balance sheet date or the range estimated above.</w:t>
      </w:r>
    </w:p>
    <w:p>
      <w:pPr>
        <w:spacing w:after="0" w:line="1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Additionally, Tree.com has guaranteed certain loans sold to two investors in the event that LendingTree Loans is unable to satisfy its repurchase and warranty obligations related to such loans. The original principal balance of the loans sold to one of these investors is approximately $1.8 billion and $1.5 billion as of September 30, 2012 and December 31, 2011,</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64"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64" w:orient="portrait"/>
          <w:cols w:equalWidth="0" w:num="1">
            <w:col w:w="11460"/>
          </w:cols>
          <w:pgMar w:left="240" w:top="140" w:right="199" w:bottom="0" w:gutter="0" w:footer="0" w:header="0"/>
          <w:type w:val="continuous"/>
        </w:sectPr>
      </w:pPr>
    </w:p>
    <w:bookmarkStart w:id="15" w:name="page16"/>
    <w:bookmarkEnd w:id="15"/>
    <w:p>
      <w:pPr>
        <w:ind w:right="380"/>
        <w:spacing w:after="0" w:line="277" w:lineRule="auto"/>
        <w:rPr>
          <w:sz w:val="20"/>
          <w:szCs w:val="20"/>
          <w:color w:val="auto"/>
        </w:rPr>
      </w:pPr>
      <w:r>
        <w:rPr>
          <w:rFonts w:ascii="Arial" w:cs="Arial" w:eastAsia="Arial" w:hAnsi="Arial"/>
          <w:sz w:val="18"/>
          <w:szCs w:val="18"/>
          <w:color w:val="auto"/>
        </w:rPr>
        <w:t>respectively. The unpaid principal balance of the loans sold to the second investor is approximately $279.6 million and $32.4 million as of September 30, 2012 and December 31, 2011,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loans sold for the period shown and the aggregate loan losses through September 30, 2012: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1"/>
              </w:rPr>
              <w:t>As of September 30, 2012</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Original</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Original</w:t>
            </w:r>
          </w:p>
        </w:tc>
        <w:tc>
          <w:tcPr>
            <w:tcW w:w="26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principal</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balance of</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 of Loan Sales</w:t>
            </w: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principal</w:t>
            </w:r>
          </w:p>
        </w:tc>
        <w:tc>
          <w:tcPr>
            <w:tcW w:w="26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loans with</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loans with</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loans sold</w:t>
            </w:r>
          </w:p>
        </w:tc>
        <w:tc>
          <w:tcPr>
            <w:tcW w:w="1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balance</w:t>
            </w:r>
          </w:p>
        </w:tc>
        <w:tc>
          <w:tcPr>
            <w:tcW w:w="26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losses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7"/>
              </w:rPr>
              <w:t>losses</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7"/>
              </w:rPr>
              <w:t>losses</w:t>
            </w:r>
          </w:p>
        </w:tc>
        <w:tc>
          <w:tcPr>
            <w:tcW w:w="0" w:type="dxa"/>
            <w:vAlign w:val="bottom"/>
          </w:tcPr>
          <w:p>
            <w:pPr>
              <w:spacing w:after="0"/>
              <w:rPr>
                <w:sz w:val="1"/>
                <w:szCs w:val="1"/>
                <w:color w:val="auto"/>
              </w:rPr>
            </w:pPr>
          </w:p>
        </w:tc>
      </w:tr>
      <w:tr>
        <w:trPr>
          <w:trHeight w:val="142"/>
        </w:trPr>
        <w:tc>
          <w:tcPr>
            <w:tcW w:w="4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3"/>
              </w:rPr>
              <w:t>(in billions)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2012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12,500</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2009</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12,800</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36,300</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2005 and prior years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86,700</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pipeline of 365 requests for loan repurchases and indemnifications was considered in determining the appropriate reserve amount. The status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loans varied from an initial review stage, which may result in a rescission of the request, to in-process, where the probability of incurring a loss is high,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indemnification, whereby LendingTree Loans has agreed to reimburse the purchaser of that loan if and when losses are incurred. The indemnification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 may have a specific term, thereby limiting the exposure to LendingTree Loans. The original principal amount of these loans is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$70.9 million, comprised of approximately 70% full documentation first liens, 2% full documentation second liens, 24% limited documentation first liens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 limited documentation second liens.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The settlement was included as a charge-off to the reserve in 2009. Negotiations with the second buyer were completed in January 2010. This settlement of $4.5 million, which was paid in four equal quarterly installments in 2010, related to all then existing and future losses on limited documentation second lien loans sold to this buyer. LendingTree Loans was also required to pay an additional amount of up to $0.3 million in conjunction with this settlement, since it did not sell a certain volume of loans to this buyer in 2010. The entire $4.8 million is included in the total settlement amount and was included as a charge-off to the reserve in 2010. The $0.3 million additional liability was recorded as a separate liability from the loss reserve at December 31, 2011, and was paid in January 2012. In the second quarter of 2012, LendingTree Loans completed a settlement with a third buyer of previously purchased loans. This settlement of $3.3 million relates to all existing and substantially all future losses on loans sold to this buyer. The settlement amount was included as a charge-off to the reserve in the second quarter of 2012. The settlement amounts for all three of these settlements were not determined on an individual loan basis and are, therefore, not included in the loss amounts disclosed above for the years such loans were sold.</w:t>
      </w:r>
    </w:p>
    <w:p>
      <w:pPr>
        <w:spacing w:after="0" w:line="173"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 December 2011, LendingTree Loans agreed to a $1.2 million settlement related to specific loans, which was included as a charge-off to the reserve in 2011 and is included in the table above. This $1.2 million settlement was recorded as a liability separate from the loss reserve at December 31, 2011, and was paid in January 2012.</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 However, the three settlements discussed above will substantially eliminate future repurchase requests from those buyers for the loan types included in those settlements.</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activity related to loss reserves on previously sold loans for the three and nine months ended September 30, 2012 and 2011, is as follows (in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4"/>
                <w:szCs w:val="14"/>
                <w:color w:val="auto"/>
              </w:rPr>
            </w:pPr>
          </w:p>
        </w:tc>
        <w:tc>
          <w:tcPr>
            <w:tcW w:w="23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38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Provisions (recoveries)</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(6,493)</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3,488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11,050</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Charge-offs to reserves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(1,014)</w:t>
            </w: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26,589</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27,020</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liability for losses on previously sold loans is included in current liabilities of discontinued operations in the accompanying consolidated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Warehouse Lines of Credit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on warehouse lines of credit were $-0- and $197.7 million at September 30, 2012 and December 31, 2011, respectively.</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As a result of the closing of the sale of substantially all of the operating assets of our LendingTree Loans business on June 6, 2012, all three then-existing warehouse lines of credit expired and terminated on July 21, 2012. Borrowings under these lines of credit were used to fund, and were secured by, consumer residential loans that were held for sale. Loans under these lines of credit were repaid using proceeds from the sales of loans by LendingTree Loans.</w:t>
      </w:r>
    </w:p>
    <w:p>
      <w:pPr>
        <w:sectPr>
          <w:pgSz w:w="11900" w:h="16838" w:orient="portrait"/>
          <w:cols w:equalWidth="0" w:num="1">
            <w:col w:w="11420"/>
          </w:cols>
          <w:pgMar w:left="240" w:top="341"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7—EARNINGS PER SHARE AND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center"/>
              <w:ind w:right="450"/>
              <w:spacing w:after="0"/>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1060"/>
              <w:spacing w:after="0" w:line="142"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Basic</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Diluted</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710"/>
              <w:spacing w:after="0" w:line="142" w:lineRule="exact"/>
              <w:rPr>
                <w:sz w:val="20"/>
                <w:szCs w:val="20"/>
                <w:color w:val="auto"/>
              </w:rPr>
            </w:pPr>
            <w:r>
              <w:rPr>
                <w:rFonts w:ascii="Arial" w:cs="Arial" w:eastAsia="Arial" w:hAnsi="Arial"/>
                <w:sz w:val="14"/>
                <w:szCs w:val="14"/>
                <w:b w:val="1"/>
                <w:bCs w:val="1"/>
                <w:color w:val="auto"/>
              </w:rPr>
              <w:t>Basic</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Diluted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80" w:type="dxa"/>
            <w:vAlign w:val="bottom"/>
            <w:gridSpan w:val="6"/>
          </w:tcPr>
          <w:p>
            <w:pPr>
              <w:jc w:val="center"/>
              <w:ind w:right="45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8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270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270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(3,406)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(3,406)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16,721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16,721</w:t>
            </w:r>
          </w:p>
        </w:tc>
        <w:tc>
          <w:tcPr>
            <w:tcW w:w="80" w:type="dxa"/>
            <w:vAlign w:val="bottom"/>
            <w:shd w:val="clear" w:color="auto" w:fill="CCEEFF"/>
          </w:tcPr>
          <w:p>
            <w:pPr>
              <w:spacing w:after="0"/>
              <w:rPr>
                <w:sz w:val="18"/>
                <w:szCs w:val="18"/>
                <w:color w:val="auto"/>
              </w:rPr>
            </w:pPr>
          </w:p>
        </w:tc>
      </w:tr>
      <w:tr>
        <w:trPr>
          <w:trHeight w:val="250"/>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common shareholders</w:t>
            </w:r>
          </w:p>
        </w:tc>
        <w:tc>
          <w:tcPr>
            <w:tcW w:w="5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13,315</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44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Denominator:</w:t>
            </w: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56"/>
        </w:trPr>
        <w:tc>
          <w:tcPr>
            <w:tcW w:w="446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11,389</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12,003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11,037</w:t>
            </w:r>
          </w:p>
        </w:tc>
        <w:tc>
          <w:tcPr>
            <w:tcW w:w="2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11,037</w:t>
            </w:r>
          </w:p>
        </w:tc>
        <w:tc>
          <w:tcPr>
            <w:tcW w:w="80" w:type="dxa"/>
            <w:vAlign w:val="bottom"/>
          </w:tcPr>
          <w:p>
            <w:pPr>
              <w:spacing w:after="0"/>
              <w:rPr>
                <w:sz w:val="22"/>
                <w:szCs w:val="22"/>
                <w:color w:val="auto"/>
              </w:rPr>
            </w:pPr>
          </w:p>
        </w:tc>
      </w:tr>
      <w:tr>
        <w:trPr>
          <w:trHeight w:val="170"/>
        </w:trPr>
        <w:tc>
          <w:tcPr>
            <w:tcW w:w="44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Income (loss) per share:</w:t>
            </w:r>
          </w:p>
        </w:tc>
        <w:tc>
          <w:tcPr>
            <w:tcW w:w="5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8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(0.31)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(0.31)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5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4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right="450"/>
              <w:spacing w:after="0"/>
              <w:rPr>
                <w:sz w:val="20"/>
                <w:szCs w:val="20"/>
                <w:color w:val="auto"/>
              </w:rPr>
            </w:pPr>
            <w:r>
              <w:rPr>
                <w:rFonts w:ascii="Arial" w:cs="Arial" w:eastAsia="Arial" w:hAnsi="Arial"/>
                <w:sz w:val="14"/>
                <w:szCs w:val="14"/>
                <w:b w:val="1"/>
                <w:bCs w:val="1"/>
                <w:color w:val="auto"/>
                <w:w w:val="92"/>
              </w:rPr>
              <w:t>Nine Months Ended September 30,</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1060"/>
              <w:spacing w:after="0" w:line="142"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Basic</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Diluted</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710"/>
              <w:spacing w:after="0" w:line="142" w:lineRule="exact"/>
              <w:rPr>
                <w:sz w:val="20"/>
                <w:szCs w:val="20"/>
                <w:color w:val="auto"/>
              </w:rPr>
            </w:pPr>
            <w:r>
              <w:rPr>
                <w:rFonts w:ascii="Arial" w:cs="Arial" w:eastAsia="Arial" w:hAnsi="Arial"/>
                <w:sz w:val="14"/>
                <w:szCs w:val="14"/>
                <w:b w:val="1"/>
                <w:bCs w:val="1"/>
                <w:color w:val="auto"/>
              </w:rPr>
              <w:t>Basic</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Diluted</w:t>
            </w:r>
          </w:p>
        </w:tc>
        <w:tc>
          <w:tcPr>
            <w:tcW w:w="100" w:type="dxa"/>
            <w:vAlign w:val="bottom"/>
            <w:gridSpan w:val="2"/>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80" w:type="dxa"/>
            <w:vAlign w:val="bottom"/>
            <w:gridSpan w:val="6"/>
          </w:tcPr>
          <w:p>
            <w:pPr>
              <w:jc w:val="center"/>
              <w:ind w:right="45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8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(4,752)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(44,608)</w:t>
            </w:r>
          </w:p>
        </w:tc>
        <w:tc>
          <w:tcPr>
            <w:tcW w:w="2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(44,608)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49,058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(16,077)</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(16,077)</w:t>
            </w:r>
          </w:p>
        </w:tc>
      </w:tr>
      <w:tr>
        <w:trPr>
          <w:trHeight w:val="250"/>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available to common shareholders</w:t>
            </w:r>
          </w:p>
        </w:tc>
        <w:tc>
          <w:tcPr>
            <w:tcW w:w="5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44,306</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44,306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(60,685)</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(60,685)</w:t>
            </w:r>
          </w:p>
        </w:tc>
        <w:tc>
          <w:tcPr>
            <w:tcW w:w="100" w:type="dxa"/>
            <w:vAlign w:val="bottom"/>
            <w:tcBorders>
              <w:bottom w:val="single" w:sz="8" w:color="CCEEFF"/>
            </w:tcBorders>
            <w:gridSpan w:val="2"/>
          </w:tcPr>
          <w:p>
            <w:pPr>
              <w:spacing w:after="0"/>
              <w:rPr>
                <w:sz w:val="21"/>
                <w:szCs w:val="21"/>
                <w:color w:val="auto"/>
              </w:rPr>
            </w:pPr>
          </w:p>
        </w:tc>
      </w:tr>
      <w:tr>
        <w:trPr>
          <w:trHeight w:val="170"/>
        </w:trPr>
        <w:tc>
          <w:tcPr>
            <w:tcW w:w="44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Denominator:</w:t>
            </w: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56"/>
        </w:trPr>
        <w:tc>
          <w:tcPr>
            <w:tcW w:w="446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11,293</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11,293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10,978</w:t>
            </w:r>
          </w:p>
        </w:tc>
        <w:tc>
          <w:tcPr>
            <w:tcW w:w="2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10,978</w:t>
            </w:r>
          </w:p>
        </w:tc>
        <w:tc>
          <w:tcPr>
            <w:tcW w:w="80" w:type="dxa"/>
            <w:vAlign w:val="bottom"/>
          </w:tcPr>
          <w:p>
            <w:pPr>
              <w:spacing w:after="0"/>
              <w:rPr>
                <w:sz w:val="22"/>
                <w:szCs w:val="22"/>
                <w:color w:val="auto"/>
              </w:rPr>
            </w:pPr>
          </w:p>
        </w:tc>
      </w:tr>
      <w:tr>
        <w:trPr>
          <w:trHeight w:val="170"/>
        </w:trPr>
        <w:tc>
          <w:tcPr>
            <w:tcW w:w="44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Income (loss) per share:</w:t>
            </w:r>
          </w:p>
        </w:tc>
        <w:tc>
          <w:tcPr>
            <w:tcW w:w="5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8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(0.42)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(0.42)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(4.06)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(4.06)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54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sum of the first, second, and third quarters of 2012 diluted earnings per share from discontinued operations does not equal the year-to-date total due to a revision of approximately $0.03 per share to the first quarter amount. The impact of this correction is considered immaterial to the previously reported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 the nine months ended September 30, 2012 and the three and nine months ended September 30, 2011, we had losses from continuing operations and, as a result, no potentially dilutive securities were included in the denominator for computing diluted earnings per share because the impact would have been anti-dilutive. Accordingly, the weighted average basic shares outstanding were used to compute earnings per share amounts for these periods. For the three and nine months ended September 30, 2012, approximately 0.3 million and 2.1 million shares, respectively, related to potentially dilutive securities were excluded from the calculation of diluted earnings per share because their inclusion would have been anti-dilutive. For the three and nine months ended September 30, 2011, approximately 1.9 million shares related to potentially dilutive securities were excluded from the calculation of diluted earnings per share because their inclusion would have been anti-dilutive.</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and nine months ended September 30, 2012 and 2011 (in thousands):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jc w:val="center"/>
              <w:ind w:left="378"/>
              <w:spacing w:after="0"/>
              <w:rPr>
                <w:sz w:val="20"/>
                <w:szCs w:val="20"/>
                <w:color w:val="auto"/>
              </w:rPr>
            </w:pPr>
            <w:r>
              <w:rPr>
                <w:rFonts w:ascii="Arial" w:cs="Arial" w:eastAsia="Arial" w:hAnsi="Arial"/>
                <w:sz w:val="14"/>
                <w:szCs w:val="14"/>
                <w:b w:val="1"/>
                <w:bCs w:val="1"/>
                <w:color w:val="auto"/>
                <w:w w:val="93"/>
              </w:rPr>
              <w:t>Three Months</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95"/>
              </w:rPr>
              <w:t>Nine Months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4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jc w:val="center"/>
              <w:ind w:left="358"/>
              <w:spacing w:after="0" w:line="149" w:lineRule="exact"/>
              <w:rPr>
                <w:sz w:val="20"/>
                <w:szCs w:val="20"/>
                <w:color w:val="auto"/>
              </w:rPr>
            </w:pPr>
            <w:r>
              <w:rPr>
                <w:rFonts w:ascii="Arial" w:cs="Arial" w:eastAsia="Arial" w:hAnsi="Arial"/>
                <w:sz w:val="14"/>
                <w:szCs w:val="14"/>
                <w:b w:val="1"/>
                <w:bCs w:val="1"/>
                <w:color w:val="auto"/>
                <w:w w:val="93"/>
              </w:rPr>
              <w:t>Ended</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left="358"/>
              <w:spacing w:after="0" w:line="149" w:lineRule="exact"/>
              <w:rPr>
                <w:sz w:val="20"/>
                <w:szCs w:val="20"/>
                <w:color w:val="auto"/>
              </w:rPr>
            </w:pPr>
            <w:r>
              <w:rPr>
                <w:rFonts w:ascii="Arial" w:cs="Arial" w:eastAsia="Arial" w:hAnsi="Arial"/>
                <w:sz w:val="14"/>
                <w:szCs w:val="14"/>
                <w:b w:val="1"/>
                <w:bCs w:val="1"/>
                <w:color w:val="auto"/>
                <w:w w:val="93"/>
              </w:rPr>
              <w:t>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4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5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forms of stock-based awards granted to our employees are principally restricted stock units (“RSUs”), restricted stock and stock options. RSUs are awards in the form of units, denominated in a hypothetical equivalent number of shares of our common stock and with the value of each award equal to the fair value of our common stock at the date of grant. RSUs may be settled in cash, stock or both, as determined by the compensation committee of our board of directors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We recognize expense for all stock-based awards for which vesting is considered probable. For stock-based awards, the accounting charge is measured at the grant date as the fair value of the shares of our common stock subject to the award and expensed ratably as non-cash compensation over the vesting term. For performance-based awards, the expense is measured at the grant date as the fair value of the shares of our common stock subject to the award and expensed as non-cash compensation over the vesting period if the performance targets are considered probable of being achieved.</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ectPr>
          <w:pgSz w:w="11900" w:h="16838" w:orient="portrait"/>
          <w:cols w:equalWidth="0" w:num="1">
            <w:col w:w="11420"/>
          </w:cols>
          <w:pgMar w:left="240" w:top="121" w:right="239" w:bottom="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A summary of changes in outstanding stock options for the nine months ended September 30, 2012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years)</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6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2012</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1,046,746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9.09</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7.43</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(79,660)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(26,635)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Outstanding at September 30, 2012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1,090,451</w:t>
            </w:r>
          </w:p>
        </w:tc>
        <w:tc>
          <w:tcPr>
            <w:tcW w:w="3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3,422</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exercisable at September 30, 2012</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248,021</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September 30, 2012: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gridSpan w:val="4"/>
          </w:tcPr>
          <w:p>
            <w:pPr>
              <w:ind w:left="158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5"/>
          </w:tcPr>
          <w:p>
            <w:pPr>
              <w:ind w:left="6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Outstanding at</w:t>
            </w: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Exercisable at</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020" w:type="dxa"/>
            <w:vAlign w:val="bottom"/>
            <w:gridSpan w:val="2"/>
            <w:vMerge w:val="continue"/>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Life in Years</w:t>
            </w: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 to $4.99</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600" w:type="dxa"/>
            <w:vAlign w:val="bottom"/>
          </w:tcPr>
          <w:p>
            <w:pPr>
              <w:jc w:val="right"/>
              <w:spacing w:after="0"/>
              <w:rPr>
                <w:sz w:val="20"/>
                <w:szCs w:val="20"/>
                <w:color w:val="auto"/>
              </w:rPr>
            </w:pPr>
            <w:r>
              <w:rPr>
                <w:rFonts w:ascii="Arial" w:cs="Arial" w:eastAsia="Arial" w:hAnsi="Arial"/>
                <w:sz w:val="18"/>
                <w:szCs w:val="18"/>
                <w:color w:val="auto"/>
              </w:rPr>
              <w:t>306,821</w:t>
            </w:r>
          </w:p>
        </w:tc>
        <w:tc>
          <w:tcPr>
            <w:tcW w:w="3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6.65</w:t>
            </w:r>
          </w:p>
        </w:tc>
        <w:tc>
          <w:tcPr>
            <w:tcW w:w="1420" w:type="dxa"/>
            <w:vAlign w:val="bottom"/>
            <w:gridSpan w:val="2"/>
          </w:tcPr>
          <w:p>
            <w:pPr>
              <w:ind w:left="640"/>
              <w:spacing w:after="0"/>
              <w:rPr>
                <w:sz w:val="20"/>
                <w:szCs w:val="20"/>
                <w:color w:val="auto"/>
              </w:rPr>
            </w:pPr>
            <w:r>
              <w:rPr>
                <w:rFonts w:ascii="Arial" w:cs="Arial" w:eastAsia="Arial" w:hAnsi="Arial"/>
                <w:sz w:val="18"/>
                <w:szCs w:val="18"/>
                <w:color w:val="auto"/>
              </w:rPr>
              <w:t>54,241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635,597</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8.42</w:t>
            </w:r>
          </w:p>
        </w:tc>
        <w:tc>
          <w:tcPr>
            <w:tcW w:w="1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45,747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600" w:type="dxa"/>
            <w:vAlign w:val="bottom"/>
          </w:tcPr>
          <w:p>
            <w:pPr>
              <w:jc w:val="right"/>
              <w:spacing w:after="0"/>
              <w:rPr>
                <w:sz w:val="20"/>
                <w:szCs w:val="20"/>
                <w:color w:val="auto"/>
              </w:rPr>
            </w:pPr>
            <w:r>
              <w:rPr>
                <w:rFonts w:ascii="Arial" w:cs="Arial" w:eastAsia="Arial" w:hAnsi="Arial"/>
                <w:sz w:val="18"/>
                <w:szCs w:val="18"/>
                <w:color w:val="auto"/>
              </w:rPr>
              <w:t>16,117</w:t>
            </w:r>
          </w:p>
        </w:tc>
        <w:tc>
          <w:tcPr>
            <w:tcW w:w="3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12.37</w:t>
            </w:r>
          </w:p>
        </w:tc>
        <w:tc>
          <w:tcPr>
            <w:tcW w:w="1420" w:type="dxa"/>
            <w:vAlign w:val="bottom"/>
            <w:gridSpan w:val="2"/>
          </w:tcPr>
          <w:p>
            <w:pPr>
              <w:ind w:left="640"/>
              <w:spacing w:after="0"/>
              <w:rPr>
                <w:sz w:val="20"/>
                <w:szCs w:val="20"/>
                <w:color w:val="auto"/>
              </w:rPr>
            </w:pPr>
            <w:r>
              <w:rPr>
                <w:rFonts w:ascii="Arial" w:cs="Arial" w:eastAsia="Arial" w:hAnsi="Arial"/>
                <w:sz w:val="18"/>
                <w:szCs w:val="18"/>
                <w:color w:val="auto"/>
              </w:rPr>
              <w:t>16,117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80,890</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15.02</w:t>
            </w:r>
          </w:p>
        </w:tc>
        <w:tc>
          <w:tcPr>
            <w:tcW w:w="1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80,890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46,663</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20.19</w:t>
            </w:r>
          </w:p>
        </w:tc>
        <w:tc>
          <w:tcPr>
            <w:tcW w:w="1420" w:type="dxa"/>
            <w:vAlign w:val="bottom"/>
            <w:gridSpan w:val="2"/>
          </w:tcPr>
          <w:p>
            <w:pPr>
              <w:ind w:left="640"/>
              <w:spacing w:after="0"/>
              <w:rPr>
                <w:sz w:val="20"/>
                <w:szCs w:val="20"/>
                <w:color w:val="auto"/>
              </w:rPr>
            </w:pPr>
            <w:r>
              <w:rPr>
                <w:rFonts w:ascii="Arial" w:cs="Arial" w:eastAsia="Arial" w:hAnsi="Arial"/>
                <w:sz w:val="18"/>
                <w:szCs w:val="18"/>
                <w:color w:val="auto"/>
              </w:rPr>
              <w:t>46,663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248,021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Included in the table above, on March 1, 2012 our Chairman and CEO was granted an option to purchase up to 150,000 shares of our common stock that vests in three equal installments beginning on March 1, 2013. The weighted average exercise price and the weighted average fair value related to this stock option were $7.43 and $3.63,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Nonvested RSUs and restricted stock outstanding as of September 30, 2012 and changes during the nine months ended September 30, 2012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60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RSUs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Restricted Stock</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9"/>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9"/>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Fair Value</w:t>
            </w: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2012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299,642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343,218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11.09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(318,429)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(112,142)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(104,495)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6.68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September 30, 2012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853,345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For the three months ended September 30, 2012 and 2011, we recorded a tax (provision) benefit of $(0.2) million and $0.5 million, respectively, which represents effective tax rates of 41.1% and 12.0%, respectively. For the nine months ended September 30, 2012 and 2011, we recorded a tax benefit of $3.1 million and $12.1 million, respectively, which represents effective tax rates of 39.4% and 21.3%, respectively. For the three and nine months ended September 30, 2012, our tax rate is higher than the federal statutory rate of 35% primarily due to the impact of state income taxes. For the three months ended September 30, 2011, our tax rate was lower than the federal statutory rate of 35% due to a change in the valuation allowance on deferred tax assets. For the nine months ended September 30, 2011, our tax rate was lower than the federal statutory rate of 35% due to a change in the valuation allowance on deferred tax assets, partially offset by the tax impact of an impairment charge related to an intangible asset.</w:t>
      </w:r>
    </w:p>
    <w:p>
      <w:pPr>
        <w:spacing w:after="0" w:line="167"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For the three and nine months ended September 30, 2012 and 2011, we used the standard method of calculating a projected annual tax rate to determine the current period’s tax provision. We are recognizing the tax effect of discontinued operations discretely in the respective interim periods and in accordance with the intra-period accounting rules. An offsetting tax benefit is recorded in continuing operations in the interim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9—CONTINGENCIES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the nine months ended September 30, 2012 and 2011, provisions for litigation settlements and contingencies of $0.9 million and $5.2 million, respectively, were recorded in litigation settlements and contingencies in the accompanying consolidated statements of operations. The balance of the related liability was $0.5 million and $3.1 million at September 30,</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86"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2012 and December 31, 2011, respectively. The litigation matters were either settled, or we extended a firm offer for settlement, thereby establishing an accrual amount that is both probable and reasonably estimable.</w:t>
      </w:r>
    </w:p>
    <w:p>
      <w:pPr>
        <w:spacing w:after="0" w:line="8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Massachusetts Division of Banks (the “Division”) delivered to LendingTree, LLC on February 11, 2011 a Report of Examination/Inspection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Twenty-four of such state mortgage lending regulators (the “Joining Regulators”) indicated that if LendingTree, LLC would enter into the Consent Agreement and Order, they would agree not to pursue any analogous allegations that they otherwise might assert. As of the date of this report, none of the Joining Regulators have asserted any such allegations.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LendingTree, LLC to adopt various new procedures and practices. We have commenced negotiations toward an acceptable Consent Agreement and Order. We do not believe our lending Exchanges violates any federal or state mortgage lending laws; nor do we believe that any past operations of the lending Exchanges have resulted in a material violation of any such laws. Should the Division or any Joining Regulator bring any actions relating to the matters alleged in the February 2011 Report of Examination/Inspection, we intend to defend against such actions vigorously. The range of possible loss is estimated to be between $0.5 million and $7.1 million, and a reserve of $0.5 million has been established for this matter as of September 30, 2012 and December 31, 2011.</w:t>
      </w:r>
    </w:p>
    <w:p>
      <w:pPr>
        <w:spacing w:after="0" w:line="113"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 the ordinary course of business, we are party to various lawsuits. We establish reserves for specific legal matters when we determine that the likelihood of an unfavorable outcome is probable and the loss is reasonably estimable. Management has also identified certain other legal matters where it believes an unfavorable outcome is not probable and, therefore, no reserve is established. We also evaluate other contingent matters, including tax contingencies, to assess the probability and estimated extent of potential loss.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w:t>
      </w:r>
    </w:p>
    <w:p>
      <w:pPr>
        <w:spacing w:after="0" w:line="14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August 20, 2008, in connection with the spin-off of Tree.com, Inc. by IAC/InterActiveCorp, our Chairman and CEO received restricted shares of Series A Redeemable Preferred Stock of a wholly-owned subsidiary of Tree.com, Inc. The shares of preferred stock had an aggregate liquidation preference of $5,000,000 and vested in three equal annual installments on the first three anniversaries of the spin-off.</w:t>
      </w:r>
    </w:p>
    <w:p>
      <w:pPr>
        <w:spacing w:after="0" w:line="100"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preferred stock provides for cumulative dividends at a rate of 12% per annum, and unpaid dividends compound quarterly at a rate of 12% per annum. The wholly-owned subsidiary is required to redeem all outstanding preferred stock on the fifth anniversary of the grant date, which is August 20, 2013. The redemption price is the liquidation preference of the outstanding shares plus compounded accrued and unpaid dividends.</w:t>
      </w:r>
    </w:p>
    <w:p>
      <w:pPr>
        <w:spacing w:after="0" w:line="8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August 30, 2010, we entered into a share exchange agreement with our Chairman and CEO pursuant to which he exchanged 2,902.33 shares of preferred stock and most of the accrued and unpaid dividends in respect of such shares for a total of 534,900 newly-issued shares of Tree.com common stock. Immediately following such transaction, he held 2,097.67 shares of preferred stock.</w:t>
      </w:r>
    </w:p>
    <w:p>
      <w:pPr>
        <w:spacing w:after="0" w:line="10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November 7, 2012, our audit committee, compensation committee and board of directors approved an early redemption of the remaining 2,097.67 outstanding shares of preferred stock owned by our Chairman and CEO, including all accrued dividends, for $3.3 million in cash. The redemption will close on November 30, 2012. The redemption value of the preferred stock was determined in part based on a third-party valuation of the discounted remaining dividend stream through the mandatory redemption date of August 20, 2013.</w:t>
      </w:r>
    </w:p>
    <w:p>
      <w:pPr>
        <w:spacing w:after="0" w:line="102" w:lineRule="exact"/>
        <w:rPr>
          <w:sz w:val="20"/>
          <w:szCs w:val="20"/>
          <w:color w:val="auto"/>
        </w:rPr>
      </w:pPr>
    </w:p>
    <w:p>
      <w:pPr>
        <w:ind w:right="4100"/>
        <w:spacing w:after="0" w:line="409"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Cautionary Statement Regarding Forward-Looking Information</w:t>
      </w:r>
    </w:p>
    <w:p>
      <w:pPr>
        <w:spacing w:after="0" w:line="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108"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in Part II, Item 1A—Risk Factors.</w:t>
      </w:r>
    </w:p>
    <w:p>
      <w:pPr>
        <w:spacing w:after="0" w:line="4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148" w:lineRule="exact"/>
        <w:rPr>
          <w:sz w:val="20"/>
          <w:szCs w:val="20"/>
          <w:color w:val="auto"/>
        </w:rPr>
      </w:pPr>
    </w:p>
    <w:p>
      <w:pPr>
        <w:ind w:right="20" w:firstLine="648"/>
        <w:spacing w:after="0" w:line="223" w:lineRule="auto"/>
        <w:rPr>
          <w:sz w:val="20"/>
          <w:szCs w:val="20"/>
          <w:color w:val="auto"/>
        </w:rPr>
      </w:pPr>
      <w:r>
        <w:rPr>
          <w:rFonts w:ascii="Arial" w:cs="Arial" w:eastAsia="Arial" w:hAnsi="Arial"/>
          <w:sz w:val="18"/>
          <w:szCs w:val="18"/>
          <w:color w:val="auto"/>
        </w:rPr>
        <w:t>Tree.com is the parent of LendingTree, LLC which owns several brands and businesses that provide information, tools, advice, products and services for critical transactions in consumers’ lives. Our family of brands includes: LendingTree</w:t>
      </w:r>
      <w:r>
        <w:rPr>
          <w:rFonts w:ascii="Arial" w:cs="Arial" w:eastAsia="Arial" w:hAnsi="Arial"/>
          <w:sz w:val="23"/>
          <w:szCs w:val="23"/>
          <w:color w:val="auto"/>
          <w:vertAlign w:val="superscript"/>
        </w:rPr>
        <w:t>®</w:t>
      </w:r>
      <w:r>
        <w:rPr>
          <w:rFonts w:ascii="Arial" w:cs="Arial" w:eastAsia="Arial" w:hAnsi="Arial"/>
          <w:sz w:val="18"/>
          <w:szCs w:val="18"/>
          <w:color w:val="auto"/>
        </w:rPr>
        <w:t>, GetSmart</w:t>
      </w:r>
      <w:r>
        <w:rPr>
          <w:rFonts w:ascii="Arial" w:cs="Arial" w:eastAsia="Arial" w:hAnsi="Arial"/>
          <w:sz w:val="23"/>
          <w:szCs w:val="23"/>
          <w:color w:val="auto"/>
          <w:vertAlign w:val="superscript"/>
        </w:rPr>
        <w:t>®</w:t>
      </w:r>
      <w:r>
        <w:rPr>
          <w:rFonts w:ascii="Arial" w:cs="Arial" w:eastAsia="Arial" w:hAnsi="Arial"/>
          <w:sz w:val="18"/>
          <w:szCs w:val="18"/>
          <w:color w:val="auto"/>
        </w:rPr>
        <w:t>, DegreeTree</w:t>
      </w:r>
      <w:r>
        <w:rPr>
          <w:rFonts w:ascii="Arial" w:cs="Arial" w:eastAsia="Arial" w:hAnsi="Arial"/>
          <w:sz w:val="23"/>
          <w:szCs w:val="23"/>
          <w:color w:val="auto"/>
          <w:vertAlign w:val="superscript"/>
        </w:rPr>
        <w:t>®</w:t>
      </w:r>
      <w:r>
        <w:rPr>
          <w:rFonts w:ascii="Arial" w:cs="Arial" w:eastAsia="Arial" w:hAnsi="Arial"/>
          <w:sz w:val="18"/>
          <w:szCs w:val="18"/>
          <w:color w:val="auto"/>
        </w:rPr>
        <w:t>, LendingTreeAutos, DoneRight</w:t>
      </w:r>
      <w:r>
        <w:rPr>
          <w:rFonts w:ascii="Arial" w:cs="Arial" w:eastAsia="Arial" w:hAnsi="Arial"/>
          <w:sz w:val="23"/>
          <w:szCs w:val="23"/>
          <w:color w:val="auto"/>
          <w:vertAlign w:val="superscript"/>
        </w:rPr>
        <w:t>®</w:t>
      </w:r>
      <w:r>
        <w:rPr>
          <w:rFonts w:ascii="Arial" w:cs="Arial" w:eastAsia="Arial" w:hAnsi="Arial"/>
          <w:sz w:val="18"/>
          <w:szCs w:val="18"/>
          <w:color w:val="auto"/>
        </w:rPr>
        <w:t>, ServiceTree</w:t>
      </w:r>
      <w:r>
        <w:rPr>
          <w:rFonts w:ascii="Arial" w:cs="Arial" w:eastAsia="Arial" w:hAnsi="Arial"/>
          <w:sz w:val="23"/>
          <w:szCs w:val="23"/>
          <w:color w:val="auto"/>
          <w:vertAlign w:val="superscript"/>
        </w:rPr>
        <w:t>SM</w:t>
      </w:r>
      <w:r>
        <w:rPr>
          <w:rFonts w:ascii="Arial" w:cs="Arial" w:eastAsia="Arial" w:hAnsi="Arial"/>
          <w:sz w:val="18"/>
          <w:szCs w:val="18"/>
          <w:color w:val="auto"/>
        </w:rPr>
        <w:t>, InsuranceTree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HealthTree. Together, these brands serve as an ally for consumers who are looking to comparison shop for loans and other services from multiple businesses and professionals that will compete for their business.</w:t>
      </w:r>
    </w:p>
    <w:p>
      <w:pPr>
        <w:spacing w:after="0" w:line="12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Through the quarter ended March 31, 2011, we operated in two reportable business segments: LendingTree Loans and Exchanges. Until the completion on June 6, 2012 of the sale of substantially all of the operating assets of our LendingTree Loans business to a wholly-owned subsidiary of Discover Financial Services, the LendingTree Loans segment originated, processed, approved and funded various residential real estate loans through Home Loan Center, Inc. dba LendingTree Loans, which we refer to as HLC. We refer to Discover Financial Services and/or any of its affiliates collectively as Discover. We refer to business operated by HLC under the HLC and LendingTree Loans brand names as LendingTree Loans.</w:t>
      </w:r>
    </w:p>
    <w:p>
      <w:pPr>
        <w:spacing w:after="0" w:line="9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connection with entering into the agreement in the second quarter of 2011 that provided for the sale of substantially all of the operating assets of our LendingTree Loans business, management re-evaluated its reporting segments based on our continuing operations and determined that our continuing operations were one reportable segment, which represents the previous “Exchanges” segment. Prior period results have been reclassified to conform with discontinued operations presentation and the change in reportable segments.</w:t>
      </w:r>
    </w:p>
    <w:p>
      <w:pPr>
        <w:sectPr>
          <w:pgSz w:w="11900" w:h="16838" w:orient="portrait"/>
          <w:cols w:equalWidth="0" w:num="1">
            <w:col w:w="11420"/>
          </w:cols>
          <w:pgMar w:left="240" w:top="125" w:right="239" w:bottom="0" w:gutter="0" w:footer="0" w:header="0"/>
        </w:sectPr>
      </w:pPr>
    </w:p>
    <w:bookmarkStart w:id="19" w:name="page20"/>
    <w:bookmarkEnd w:id="19"/>
    <w:p>
      <w:pPr>
        <w:spacing w:after="0" w:line="78" w:lineRule="exact"/>
        <w:rPr>
          <w:sz w:val="20"/>
          <w:szCs w:val="20"/>
          <w:color w:val="auto"/>
        </w:rPr>
      </w:pPr>
    </w:p>
    <w:p>
      <w:pPr>
        <w:ind w:right="240" w:firstLine="648"/>
        <w:spacing w:after="0" w:line="288" w:lineRule="auto"/>
        <w:rPr>
          <w:sz w:val="20"/>
          <w:szCs w:val="20"/>
          <w:color w:val="auto"/>
        </w:rPr>
      </w:pPr>
      <w:r>
        <w:rPr>
          <w:rFonts w:ascii="Arial" w:cs="Arial" w:eastAsia="Arial" w:hAnsi="Arial"/>
          <w:sz w:val="18"/>
          <w:szCs w:val="18"/>
          <w:color w:val="auto"/>
        </w:rPr>
        <w:t>Additionally, on March 10, 2011, management made the decision and finalized a plan to close all of the field offices of the proprietary full-service real estate brokerage business known as RealEstate.com, REALTORS</w:t>
      </w:r>
      <w:r>
        <w:rPr>
          <w:rFonts w:ascii="Arial" w:cs="Arial" w:eastAsia="Arial" w:hAnsi="Arial"/>
          <w:sz w:val="23"/>
          <w:szCs w:val="23"/>
          <w:color w:val="auto"/>
          <w:vertAlign w:val="superscript"/>
        </w:rPr>
        <w:t>®</w:t>
      </w:r>
      <w:r>
        <w:rPr>
          <w:rFonts w:ascii="Arial" w:cs="Arial" w:eastAsia="Arial" w:hAnsi="Arial"/>
          <w:sz w:val="18"/>
          <w:szCs w:val="18"/>
          <w:color w:val="auto"/>
        </w:rPr>
        <w:t>. We exited all markets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by March 31, 2011. In September 2011, we sold the remaining assets of RealEstate.com, which consisted primarily of internet domain names and trademarks, for $8.3 million and recognized a gain on sale of $7.8 million. The businesses of RealEstate.com and RealEstate.com, REALTORS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together represented the former Real Estate segment) and LendingTree Loans are presented as discontinued operations in the accompanying consolidated financial statements for all periods presented.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unless otherwise noted, excludes information related to our discontinued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Mortgage Interest Rate Trends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Interest rate and market risks can be substantial in the mortgage lead generation business. Fluctuations in interest rates affect consumer demand for new mortgages and the level of refinancing activity, which in turn affects lender demand for our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leads, as there are fewer consumers in the marketplace and the overall supply of mortgage leads decreases.</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According to Freddie Mac, 30-year fixed mortgage rates have experienced a relatively consistent decline since March 2011. The year 2012 began at what were then record low rates of approximately 3.9% and continued to decline throughout the year to new lows, reaching approximately 3.4% in October. As a result, according to Mortgage Bankers Association data, mortgage originations are estimated to have increased by 29% during the first nine months of 2012 as compared with the respective period in 2011. However, stringent qualification guidelines on the part of lenders and governmental agencies have made it difficult for many consumers seeking mortgage financings to obtain them, notwithstanding the favorable interest rate environment.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Market</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In 2011, our operations, cash flows and financial position were negatively impacted by the continued deterioration in the housing market. In particular, revenue was negatively impacted by falling home prices and a continued high level of foreclosures.</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2012, nationwide sales of existing homes have risen by 8% in the nine months through September, compared with the respective period in 2011, according to the National Association of Realtors, while total housing inventory tightened. The demand for homes has generally increased as mortgage rates have dropped to their lowest levels in the past 60 years, whereas the number of homes for sale has not kept pace with actual sales during 2012. Coupled with this tightening of supply, prices of existing home sales have increased during the year, with the national median existing home price up 11% in September 2012 as compared with the year prior. However, notwithstanding recent improvements, average home prices are still down substantially from the market’s peak in the summer of 2006, and currently similar to levels last seen in 2003. While distressed homes continue to account for a significant portion of overall home sales, representing 24% in September 2012, this figure was down from approximately 30% as compared with the year prior period.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contemplation of the divestiture of our LendingTree Loans business, we focused on expense savings and took various initiatives to reduce costs. During the first quarter of 2011, we commenced a voluntary severance plan for certain corporate employees. In addition, we took steps during the first half of 2011 to minimize ineffective marketing expenditures and dynamically align marketing expenses with lender demand for leads on our lending Exchange, and we continue to focus on marketing efficiency.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Assets of LendingTree Loans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May 12, 2011, we entered into an asset purchase agreement with Discover, as amended by an amendment to the asset purchase agreement dated as of February 7, 2012, for the sale of substantially all of the operating assets of our LendingTree Loans business. We completed the sale on June 6, 2012. The asset purchase agreement as amended provided for a purchase price of approximately $55.9 million in cash for the assets, subject to certain conditions. Of this total purchase price, $8.0 million was paid prior to the closing, $37.9 million was paid upon the closing and $10.0 million is due on the first anniversary of the closing, subject to certain conditions.</w:t>
      </w:r>
    </w:p>
    <w:p>
      <w:pPr>
        <w:spacing w:after="0" w:line="18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Discover generally did not assume liabilities of the LendingTree Loans business that arose before the closing date, except for certain liabilities directly related to assets Discover acquired. $17.1 million of the initial purchase price payment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being held in escrow pending the resolution of certain actual and/or contingent liabilities that remain with us following such sale. The escrowed amount is recorded as restricted cash at September 30,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Results of operations for the three and nine months ended September 30, 2012 compared to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three months ended September 30, 2012 compared to the three months ended September 30, 2011:</w:t>
      </w:r>
    </w:p>
    <w:p>
      <w:pPr>
        <w:sectPr>
          <w:pgSz w:w="11900" w:h="16917" w:orient="portrait"/>
          <w:cols w:equalWidth="0" w:num="1">
            <w:col w:w="11420"/>
          </w:cols>
          <w:pgMar w:left="240" w:top="125" w:right="239" w:bottom="0" w:gutter="0" w:footer="0" w:header="0"/>
        </w:sectPr>
      </w:pPr>
    </w:p>
    <w:p>
      <w:pPr>
        <w:spacing w:after="0" w:line="217"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6350</wp:posOffset>
            </wp:positionV>
            <wp:extent cx="40132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ind w:left="4220"/>
        <w:spacing w:after="0"/>
        <w:tabs>
          <w:tab w:leader="none" w:pos="5720" w:val="left"/>
          <w:tab w:leader="none" w:pos="7340" w:val="left"/>
          <w:tab w:leader="none" w:pos="916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2"/>
          <w:szCs w:val="12"/>
          <w:b w:val="1"/>
          <w:bCs w:val="1"/>
          <w:color w:val="auto"/>
        </w:rPr>
        <w:t>2011</w:t>
      </w:r>
    </w:p>
    <w:p>
      <w:pPr>
        <w:sectPr>
          <w:pgSz w:w="11900" w:h="16917" w:orient="portrait"/>
          <w:cols w:equalWidth="0" w:num="1">
            <w:col w:w="11420"/>
          </w:cols>
          <w:pgMar w:left="240" w:top="125" w:right="239" w:bottom="0" w:gutter="0" w:footer="0" w:header="0"/>
          <w:type w:val="continuous"/>
        </w:sectPr>
      </w:pPr>
    </w:p>
    <w:bookmarkStart w:id="20" w:name="page21"/>
    <w:bookmarkEnd w:id="20"/>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(Dollars in thousands)</w:t>
            </w:r>
          </w:p>
        </w:tc>
        <w:tc>
          <w:tcPr>
            <w:tcW w:w="8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Match fees</w:t>
            </w: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22,038</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9,655</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12,383</w:t>
            </w:r>
          </w:p>
        </w:tc>
        <w:tc>
          <w:tcPr>
            <w:tcW w:w="80" w:type="dxa"/>
            <w:vAlign w:val="bottom"/>
            <w:shd w:val="clear" w:color="auto" w:fill="CCEEFF"/>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Closed loan fees</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670</w:t>
            </w:r>
          </w:p>
        </w:tc>
        <w:tc>
          <w:tcPr>
            <w:tcW w:w="440" w:type="dxa"/>
            <w:vAlign w:val="bottom"/>
          </w:tcPr>
          <w:p>
            <w:pPr>
              <w:spacing w:after="0"/>
              <w:rPr>
                <w:sz w:val="18"/>
                <w:szCs w:val="18"/>
                <w:color w:val="auto"/>
              </w:rPr>
            </w:pPr>
          </w:p>
        </w:tc>
        <w:tc>
          <w:tcPr>
            <w:tcW w:w="2060" w:type="dxa"/>
            <w:vAlign w:val="bottom"/>
            <w:gridSpan w:val="2"/>
          </w:tcPr>
          <w:p>
            <w:pPr>
              <w:jc w:val="right"/>
              <w:ind w:right="1140"/>
              <w:spacing w:after="0"/>
              <w:rPr>
                <w:sz w:val="20"/>
                <w:szCs w:val="20"/>
                <w:color w:val="auto"/>
              </w:rPr>
            </w:pPr>
            <w:r>
              <w:rPr>
                <w:rFonts w:ascii="Arial" w:cs="Arial" w:eastAsia="Arial" w:hAnsi="Arial"/>
                <w:sz w:val="18"/>
                <w:szCs w:val="18"/>
                <w:color w:val="auto"/>
              </w:rPr>
              <w:t>289</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588</w:t>
            </w:r>
          </w:p>
        </w:tc>
        <w:tc>
          <w:tcPr>
            <w:tcW w:w="4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251</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r>
      <w:tr>
        <w:trPr>
          <w:trHeight w:val="210"/>
        </w:trPr>
        <w:tc>
          <w:tcPr>
            <w:tcW w:w="1940" w:type="dxa"/>
            <w:vAlign w:val="bottom"/>
          </w:tcPr>
          <w:p>
            <w:pPr>
              <w:spacing w:after="0"/>
              <w:rPr>
                <w:sz w:val="20"/>
                <w:szCs w:val="20"/>
                <w:color w:val="auto"/>
              </w:rPr>
            </w:pPr>
            <w:r>
              <w:rPr>
                <w:rFonts w:ascii="Arial" w:cs="Arial" w:eastAsia="Arial" w:hAnsi="Arial"/>
                <w:sz w:val="18"/>
                <w:szCs w:val="18"/>
                <w:color w:val="auto"/>
              </w:rPr>
              <w:t>Total revenue</w:t>
            </w:r>
          </w:p>
        </w:tc>
        <w:tc>
          <w:tcPr>
            <w:tcW w:w="7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23,296</w:t>
            </w:r>
          </w:p>
        </w:tc>
        <w:tc>
          <w:tcPr>
            <w:tcW w:w="3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10,195</w:t>
            </w:r>
          </w:p>
        </w:tc>
        <w:tc>
          <w:tcPr>
            <w:tcW w:w="114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Following the closing of the sale on June 6, 2012, of our LendingTree Loans business to Discover, leads that would formerly have been provided to LendingTree Loans became available for sale on our lending Exchange and such leads therefore added to revenue in our Exchanges business, with an associated increase in selling and marketing expense. Prior to the sale of our LendingTree Loans business, we did not record revenue in our Exchanges business for leads provided to LendingTree Loans. Instead, we used a cost-sharing approach for marketing expenses, whereby the Exchanges business and LendingTree Loans shared marketing expenses on a pro rata basis, based on the quantity of leads sold to network lenders versus matched with LendingTree Loans.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Match fee revenue in 2012 increased by 78% from 2011, as overall matched requests increased by 23%, from 277,000 in 2011 to 341,000 in 2012.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matched requests reflects an increase of 70% in matches for our lending Exchange and a decline of 20% in matches for our non-lending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Exchange. Additionally, as compared to 2011, the average fee for lending Exchange matches increased by 26%, while the average fee for non-lending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Exchange matches increased slightly by 1%.</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increase in both matched requests and the average fee for our lending Exchange is primarily attributable to selling leads at market prices on our lending Exchange that would formerly have been provided to LendingTree Loans.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Included in other revenue in 2012 is $0.2 million of fees for certain marketing consulting services provided to Discover. We have agreed to provide these services to Discover in connection with its mortgage origination business for approximately seventeen months following the closing of the LendingTree Loans sale transaction, or such earlier point as the agreed-upon services are satisfactorily completed. These marketing consulting services are expected to contribute to revenue through the first half of 2013.</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One customer on our networks accounted for revenue representing 22% of revenue for the three months ended September 30, 2012. No customer accounted for more than 10% of revenue for the three months ended September 30, 2011.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nine months ended September 30, 2012 compared to the nine months ended September 30, 2011:</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center"/>
              <w:ind w:left="187"/>
              <w:spacing w:after="0"/>
              <w:rPr>
                <w:sz w:val="20"/>
                <w:szCs w:val="20"/>
                <w:color w:val="auto"/>
              </w:rPr>
            </w:pPr>
            <w:r>
              <w:rPr>
                <w:rFonts w:ascii="Arial" w:cs="Arial" w:eastAsia="Arial" w:hAnsi="Arial"/>
                <w:sz w:val="14"/>
                <w:szCs w:val="14"/>
                <w:b w:val="1"/>
                <w:bCs w:val="1"/>
                <w:color w:val="auto"/>
                <w:w w:val="93"/>
              </w:rPr>
              <w:t>Nine Months Ended September 30,</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1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w w:val="89"/>
              </w:rPr>
              <w:t>Change</w:t>
            </w:r>
          </w:p>
        </w:tc>
        <w:tc>
          <w:tcPr>
            <w:tcW w:w="98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 Change</w:t>
            </w: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1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20" w:type="dxa"/>
            <w:vAlign w:val="bottom"/>
            <w:gridSpan w:val="3"/>
          </w:tcPr>
          <w:p>
            <w:pPr>
              <w:jc w:val="center"/>
              <w:ind w:right="14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Match fees</w:t>
            </w:r>
          </w:p>
        </w:tc>
        <w:tc>
          <w:tcPr>
            <w:tcW w:w="162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49,469</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8,424</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41,045</w:t>
            </w:r>
          </w:p>
        </w:tc>
        <w:tc>
          <w:tcPr>
            <w:tcW w:w="80" w:type="dxa"/>
            <w:vAlign w:val="bottom"/>
            <w:shd w:val="clear" w:color="auto" w:fill="CCEEFF"/>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Closed loan fees</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1,519</w:t>
            </w:r>
          </w:p>
        </w:tc>
        <w:tc>
          <w:tcPr>
            <w:tcW w:w="4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1,770</w:t>
            </w:r>
          </w:p>
        </w:tc>
        <w:tc>
          <w:tcPr>
            <w:tcW w:w="8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2,513</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1,377</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121%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c>
          <w:tcPr>
            <w:tcW w:w="80" w:type="dxa"/>
            <w:vAlign w:val="bottom"/>
            <w:shd w:val="clear" w:color="auto" w:fill="CCEEFF"/>
          </w:tcPr>
          <w:p>
            <w:pPr>
              <w:spacing w:after="0"/>
              <w:rPr>
                <w:sz w:val="18"/>
                <w:szCs w:val="18"/>
                <w:color w:val="auto"/>
              </w:rPr>
            </w:pPr>
          </w:p>
        </w:tc>
      </w:tr>
      <w:tr>
        <w:trPr>
          <w:trHeight w:val="210"/>
        </w:trPr>
        <w:tc>
          <w:tcPr>
            <w:tcW w:w="1940" w:type="dxa"/>
            <w:vAlign w:val="bottom"/>
          </w:tcPr>
          <w:p>
            <w:pPr>
              <w:spacing w:after="0"/>
              <w:rPr>
                <w:sz w:val="20"/>
                <w:szCs w:val="20"/>
                <w:color w:val="auto"/>
              </w:rPr>
            </w:pPr>
            <w:r>
              <w:rPr>
                <w:rFonts w:ascii="Arial" w:cs="Arial" w:eastAsia="Arial" w:hAnsi="Arial"/>
                <w:sz w:val="18"/>
                <w:szCs w:val="18"/>
                <w:color w:val="auto"/>
              </w:rPr>
              <w:t>Total revenue</w:t>
            </w:r>
          </w:p>
        </w:tc>
        <w:tc>
          <w:tcPr>
            <w:tcW w:w="7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53,501</w:t>
            </w:r>
          </w:p>
        </w:tc>
        <w:tc>
          <w:tcPr>
            <w:tcW w:w="3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Match fee revenue in 2012 increased by 21% from 2011, as overall matched requests increased by 10%, from 856,000 in 2011 to 945,000 in 2012. The increase in matched requests reflects an increase of 29% in matches for our lending Exchange and a decline of 7% in matches for our non-lending Exchange. Overall, the average fee for both lending and non-lending Exchange matches remained constant in 2012 as compared to 2011. While the average lending Exchange match fee declined during the first six months of 2012, as a reflection of lower demand for mortgage leads because of higher levels of organic consumer traffic being generated by lenders on our network, it increased significantly in the third quarter of 2012,</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offsetting the decline during the first six months. The increase in both matched requests and the average fee for our lending Exchange is primarily attributable to selling leads at market prices on our lending Exchange that would formerly have been provided to LendingTree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revenue in 2012 increased from 2011 due to $1.3 million of fees for certain marketing consulting services discussed above.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One customer on our networks accounted for revenue representing 11% of revenue for the nine months ended September 30, 2012. No customer accounted for more than 10% of revenue for the nine months ended September 30, 2011.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three months ended September 30, 2012 compared to the three months ended September 30, 2011:</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2"/>
          </w:tcPr>
          <w:p>
            <w:pPr>
              <w:jc w:val="center"/>
              <w:ind w:left="204"/>
              <w:spacing w:after="0"/>
              <w:rPr>
                <w:sz w:val="20"/>
                <w:szCs w:val="20"/>
                <w:color w:val="auto"/>
              </w:rPr>
            </w:pPr>
            <w:r>
              <w:rPr>
                <w:rFonts w:ascii="Arial" w:cs="Arial" w:eastAsia="Arial" w:hAnsi="Arial"/>
                <w:sz w:val="14"/>
                <w:szCs w:val="14"/>
                <w:b w:val="1"/>
                <w:bCs w:val="1"/>
                <w:color w:val="auto"/>
                <w:w w:val="93"/>
              </w:rPr>
              <w:t>Three Months Ended September 30,</w:t>
            </w:r>
          </w:p>
        </w:tc>
        <w:tc>
          <w:tcPr>
            <w:tcW w:w="8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1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8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20" w:type="dxa"/>
            <w:vAlign w:val="bottom"/>
            <w:gridSpan w:val="2"/>
          </w:tcPr>
          <w:p>
            <w:pPr>
              <w:jc w:val="center"/>
              <w:ind w:left="22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3"/>
              </w:rPr>
              <w:t>1,231</w:t>
            </w:r>
          </w:p>
        </w:tc>
        <w:tc>
          <w:tcPr>
            <w:tcW w:w="1000" w:type="dxa"/>
            <w:vAlign w:val="bottom"/>
            <w:shd w:val="clear" w:color="auto" w:fill="CCEEFF"/>
          </w:tcPr>
          <w:p>
            <w:pPr>
              <w:jc w:val="right"/>
              <w:ind w:right="784"/>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239"/>
              <w:spacing w:after="0"/>
              <w:rPr>
                <w:sz w:val="20"/>
                <w:szCs w:val="20"/>
                <w:color w:val="auto"/>
              </w:rPr>
            </w:pPr>
            <w:r>
              <w:rPr>
                <w:rFonts w:ascii="Arial" w:cs="Arial" w:eastAsia="Arial" w:hAnsi="Arial"/>
                <w:sz w:val="18"/>
                <w:szCs w:val="18"/>
                <w:color w:val="auto"/>
                <w:w w:val="93"/>
              </w:rPr>
              <w:t>230</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  $</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r>
    </w:tbl>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customer call centers, credit scoring fees, consumer incentive costs and website network hosting and server fees.</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Cost of revenue in 2012 increased from 2011 primarily due to an increase of $0.2 million in compensation and other employee-related costs associated with the marketing consulting services discussed in the revenue section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nine months ended September 30, 2012 compared to the nine months ended September 30, 2011:</w:t>
      </w:r>
    </w:p>
    <w:p>
      <w:pPr>
        <w:sectPr>
          <w:pgSz w:w="11900" w:h="16849" w:orient="portrait"/>
          <w:cols w:equalWidth="0" w:num="1">
            <w:col w:w="11380"/>
          </w:cols>
          <w:pgMar w:left="240" w:top="120" w:right="279" w:bottom="0" w:gutter="0" w:footer="0" w:header="0"/>
        </w:sectPr>
      </w:pPr>
    </w:p>
    <w:p>
      <w:pPr>
        <w:spacing w:after="0" w:line="217" w:lineRule="exact"/>
        <w:rPr>
          <w:sz w:val="20"/>
          <w:szCs w:val="20"/>
          <w:color w:val="auto"/>
        </w:rPr>
      </w:pPr>
    </w:p>
    <w:p>
      <w:pPr>
        <w:ind w:left="59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6350</wp:posOffset>
            </wp:positionV>
            <wp:extent cx="37560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ind w:left="4520"/>
        <w:spacing w:after="0"/>
        <w:tabs>
          <w:tab w:leader="none" w:pos="5880" w:val="left"/>
          <w:tab w:leader="none" w:pos="7360" w:val="left"/>
          <w:tab w:leader="none" w:pos="916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2"/>
          <w:szCs w:val="12"/>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-3175</wp:posOffset>
            </wp:positionV>
            <wp:extent cx="37560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ectPr>
          <w:pgSz w:w="11900" w:h="16849" w:orient="portrait"/>
          <w:cols w:equalWidth="0" w:num="1">
            <w:col w:w="11380"/>
          </w:cols>
          <w:pgMar w:left="240" w:top="120" w:right="279" w:bottom="0" w:gutter="0" w:footer="0" w:header="0"/>
          <w:type w:val="continuous"/>
        </w:sectPr>
      </w:pPr>
    </w:p>
    <w:bookmarkStart w:id="21" w:name="page22"/>
    <w:bookmarkEnd w:id="21"/>
    <w:p>
      <w:pPr>
        <w:spacing w:after="0" w:line="46"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tcPr>
          <w:p>
            <w:pPr>
              <w:jc w:val="right"/>
              <w:ind w:right="119"/>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2,830</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rPr>
              <w:t>(699)</w:t>
            </w: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  $</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3,529</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8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Cost of revenue in 2012 decreased from 2011 primarily due to a decrease of $0.9 million in consumer incentive rebates related to fewer loan closings and the discontinuance of many of these incentive programs in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three and nine months ended September 30, 2012 compared to the three and nine months ended September 30, 2011:</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jc w:val="center"/>
              <w:ind w:left="4"/>
              <w:spacing w:after="0"/>
              <w:rPr>
                <w:sz w:val="20"/>
                <w:szCs w:val="20"/>
                <w:color w:val="auto"/>
              </w:rPr>
            </w:pPr>
            <w:r>
              <w:rPr>
                <w:rFonts w:ascii="Arial" w:cs="Arial" w:eastAsia="Arial" w:hAnsi="Arial"/>
                <w:sz w:val="14"/>
                <w:szCs w:val="14"/>
                <w:b w:val="1"/>
                <w:bCs w:val="1"/>
                <w:color w:val="auto"/>
                <w:w w:val="93"/>
              </w:rPr>
              <w:t>Three Months Ended September 30,</w:t>
            </w: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1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64"/>
              <w:spacing w:after="0" w:line="142" w:lineRule="exact"/>
              <w:rPr>
                <w:sz w:val="20"/>
                <w:szCs w:val="20"/>
                <w:color w:val="auto"/>
              </w:rPr>
            </w:pPr>
            <w:r>
              <w:rPr>
                <w:rFonts w:ascii="Arial" w:cs="Arial" w:eastAsia="Arial" w:hAnsi="Arial"/>
                <w:sz w:val="14"/>
                <w:szCs w:val="14"/>
                <w:b w:val="1"/>
                <w:bCs w:val="1"/>
                <w:color w:val="auto"/>
              </w:rPr>
              <w:t>$ Change</w:t>
            </w:r>
          </w:p>
        </w:tc>
        <w:tc>
          <w:tcPr>
            <w:tcW w:w="96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 Change</w:t>
            </w: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2"/>
          </w:tcPr>
          <w:p>
            <w:pPr>
              <w:jc w:val="center"/>
              <w:ind w:left="2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13,376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rPr>
              <w:t>4,901</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8,475</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350"/>
        </w:trPr>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center"/>
              <w:ind w:left="4"/>
              <w:spacing w:after="0"/>
              <w:rPr>
                <w:sz w:val="20"/>
                <w:szCs w:val="20"/>
                <w:color w:val="auto"/>
              </w:rPr>
            </w:pPr>
            <w:r>
              <w:rPr>
                <w:rFonts w:ascii="Arial" w:cs="Arial" w:eastAsia="Arial" w:hAnsi="Arial"/>
                <w:sz w:val="14"/>
                <w:szCs w:val="14"/>
                <w:b w:val="1"/>
                <w:bCs w:val="1"/>
                <w:color w:val="auto"/>
                <w:w w:val="92"/>
              </w:rPr>
              <w:t>Nine Months Ended September 30,</w:t>
            </w: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1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64"/>
              <w:spacing w:after="0" w:line="142" w:lineRule="exact"/>
              <w:rPr>
                <w:sz w:val="20"/>
                <w:szCs w:val="20"/>
                <w:color w:val="auto"/>
              </w:rPr>
            </w:pPr>
            <w:r>
              <w:rPr>
                <w:rFonts w:ascii="Arial" w:cs="Arial" w:eastAsia="Arial" w:hAnsi="Arial"/>
                <w:sz w:val="14"/>
                <w:szCs w:val="14"/>
                <w:b w:val="1"/>
                <w:bCs w:val="1"/>
                <w:color w:val="auto"/>
              </w:rPr>
              <w:t>$ Change</w:t>
            </w:r>
          </w:p>
        </w:tc>
        <w:tc>
          <w:tcPr>
            <w:tcW w:w="96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 Change</w:t>
            </w: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2"/>
          </w:tcPr>
          <w:p>
            <w:pPr>
              <w:jc w:val="center"/>
              <w:ind w:left="2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34,997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84"/>
              <w:spacing w:after="0"/>
              <w:rPr>
                <w:sz w:val="20"/>
                <w:szCs w:val="20"/>
                <w:color w:val="auto"/>
              </w:rPr>
            </w:pPr>
            <w:r>
              <w:rPr>
                <w:rFonts w:ascii="Arial" w:cs="Arial" w:eastAsia="Arial" w:hAnsi="Arial"/>
                <w:sz w:val="18"/>
                <w:szCs w:val="18"/>
                <w:color w:val="auto"/>
              </w:rPr>
              <w:t>(4,249)</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39,246</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89%</w:t>
            </w:r>
          </w:p>
        </w:tc>
      </w:tr>
    </w:tbl>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and marketing functions. Advertising and promotional expenditures primarily include online marketing, as well as television, print and radio spending. Advertising production costs are expensed in the period the related ad is first run.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center"/>
              <w:ind w:right="74"/>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5"/>
              </w:rPr>
              <w:t>$ Change</w:t>
            </w:r>
          </w:p>
        </w:tc>
        <w:tc>
          <w:tcPr>
            <w:tcW w:w="13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3"/>
          </w:tcPr>
          <w:p>
            <w:pPr>
              <w:jc w:val="center"/>
              <w:ind w:right="37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1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5,109</w:t>
            </w:r>
          </w:p>
        </w:tc>
        <w:tc>
          <w:tcPr>
            <w:tcW w:w="13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4,085</w:t>
            </w:r>
          </w:p>
        </w:tc>
        <w:tc>
          <w:tcPr>
            <w:tcW w:w="8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Broadcast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(1,908)</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2,520</w:t>
            </w:r>
          </w:p>
        </w:tc>
        <w:tc>
          <w:tcPr>
            <w:tcW w:w="8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w:t>
            </w:r>
          </w:p>
        </w:tc>
        <w:tc>
          <w:tcPr>
            <w:tcW w:w="13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r>
      <w:tr>
        <w:trPr>
          <w:trHeight w:val="210"/>
        </w:trPr>
        <w:tc>
          <w:tcPr>
            <w:tcW w:w="2740" w:type="dxa"/>
            <w:vAlign w:val="bottom"/>
          </w:tcPr>
          <w:p>
            <w:pPr>
              <w:spacing w:after="0"/>
              <w:rPr>
                <w:sz w:val="20"/>
                <w:szCs w:val="20"/>
                <w:color w:val="auto"/>
              </w:rPr>
            </w:pPr>
            <w:r>
              <w:rPr>
                <w:rFonts w:ascii="Arial" w:cs="Arial" w:eastAsia="Arial" w:hAnsi="Arial"/>
                <w:sz w:val="18"/>
                <w:szCs w:val="18"/>
                <w:color w:val="auto"/>
              </w:rPr>
              <w:t>Total advertising expense</w:t>
            </w:r>
          </w:p>
        </w:tc>
        <w:tc>
          <w:tcPr>
            <w:tcW w:w="9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240" w:type="dxa"/>
            <w:vAlign w:val="bottom"/>
          </w:tcPr>
          <w:p>
            <w:pPr>
              <w:spacing w:after="0"/>
              <w:rPr>
                <w:sz w:val="18"/>
                <w:szCs w:val="18"/>
                <w:color w:val="auto"/>
              </w:rPr>
            </w:pPr>
          </w:p>
        </w:tc>
        <w:tc>
          <w:tcPr>
            <w:tcW w:w="1360" w:type="dxa"/>
            <w:vAlign w:val="bottom"/>
          </w:tcPr>
          <w:p>
            <w:pPr>
              <w:jc w:val="right"/>
              <w:ind w:right="174"/>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2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5"/>
              </w:rPr>
              <w:t>$ Change</w:t>
            </w:r>
          </w:p>
        </w:tc>
        <w:tc>
          <w:tcPr>
            <w:tcW w:w="13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3"/>
          </w:tcPr>
          <w:p>
            <w:pPr>
              <w:jc w:val="center"/>
              <w:ind w:right="37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1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3,776</w:t>
            </w:r>
          </w:p>
        </w:tc>
        <w:tc>
          <w:tcPr>
            <w:tcW w:w="13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19,517</w:t>
            </w:r>
          </w:p>
        </w:tc>
        <w:tc>
          <w:tcPr>
            <w:tcW w:w="8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Broadcast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(8,199)</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4,143</w:t>
            </w:r>
          </w:p>
        </w:tc>
        <w:tc>
          <w:tcPr>
            <w:tcW w:w="80" w:type="dxa"/>
            <w:vAlign w:val="bottom"/>
            <w:shd w:val="clear" w:color="auto" w:fill="CCEEFF"/>
          </w:tcPr>
          <w:p>
            <w:pPr>
              <w:spacing w:after="0"/>
              <w:rPr>
                <w:sz w:val="18"/>
                <w:szCs w:val="18"/>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Total advertising expense</w:t>
            </w:r>
          </w:p>
        </w:tc>
        <w:tc>
          <w:tcPr>
            <w:tcW w:w="9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29,165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Selling and marketing expense increased immediately following the sale of substantially all of the operating assets of our LendingTree Loans business on June 6, 2012 and throughout the third quarter of 2012 primarily due to the elimination of allocation of portions of such expenses to LendingTree Loans.</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reduced advertising expense for the nine months ended September 30, 2012 as compared to 2011 in response to differing interest rate environments in the two periods. Interest rates were higher up through the first four months of 2011, to which we responded by increasing advertising expense in order to generate a sufficient quantity of mortgage leads. Interest rates were significantly lower in the first nine months of 2012, which allowed us to decrease our advertising expense compared to 2011, while still generating a sufficient quantity of mortgage leads. In a low interest rate environment, the incentive for consumers to refinance existing mortgages increases, resulting in a reduced need to drive traffic to our lending Exchange through advertising, as well as lower network lender demand for externally-generated leads, further reducing the return on advertising expenditures. Additionally, improvements in marketing efficiencies across several of our marketing channels eliminated approximately $3 million of expense that was incurred in the second quarter of 2011 from future quarters.</w:t>
      </w:r>
    </w:p>
    <w:p>
      <w:pPr>
        <w:spacing w:after="0" w:line="19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For the three months ended September 30, 2012, the 63% increase in advertising expense correlated with 23% more matched requests. For the nine months ended September 30, 2012, despite the 16% decrease in advertising expense, we generated 10% more matched requests, reflecting greater efficiency in our marketing expenditures. As a result, selling and marketing expense as a percentage of revenue declined to 57% in the third quarter of 2012 from 65% in the third quarter of 2011, and to 65% in the nine months ended September 30, 2012 from 89% in the nine months ended September 30, 2011.</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continue to adjust selling and marketing expenditures dynamically in relation to revenue producing opportunities.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three months ended September 30, 2012 compared to the three months ended September 30, 2011:</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93"/>
              </w:rPr>
              <w:t>Three Months Ended 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w w:val="91"/>
              </w:rPr>
              <w:t>$ Change</w:t>
            </w:r>
          </w:p>
        </w:tc>
        <w:tc>
          <w:tcPr>
            <w:tcW w:w="1460" w:type="dxa"/>
            <w:vAlign w:val="bottom"/>
            <w:tcBorders>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20" w:type="dxa"/>
            <w:vAlign w:val="bottom"/>
            <w:gridSpan w:val="2"/>
          </w:tcPr>
          <w:p>
            <w:pPr>
              <w:jc w:val="center"/>
              <w:ind w:right="53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5,532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1,144</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60" w:type="dxa"/>
            <w:vAlign w:val="bottom"/>
            <w:shd w:val="clear" w:color="auto" w:fill="CCEEFF"/>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r>
    </w:tbl>
    <w:p>
      <w:pPr>
        <w:sectPr>
          <w:pgSz w:w="11900" w:h="16885" w:orient="portrait"/>
          <w:cols w:equalWidth="0" w:num="1">
            <w:col w:w="11420"/>
          </w:cols>
          <w:pgMar w:left="240" w:top="118" w:right="239" w:bottom="0" w:gutter="0" w:footer="0" w:header="0"/>
        </w:sectPr>
      </w:pPr>
    </w:p>
    <w:bookmarkStart w:id="22" w:name="page23"/>
    <w:bookmarkEnd w:id="22"/>
    <w:p>
      <w:pPr>
        <w:ind w:right="160" w:firstLine="648"/>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General and administrative expense in 2012 increased from 2011 primarily due to a $0.7 million increase in compensation and other employee related costs (excluding non-cash compensation) resulting from higher incentive compensation based on company performance. Non-cash compensation also increased by $0.3 million in 2012 as compared to 2011.</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nine months ended September 30, 2012 compared to the nine months ended September 30, 2011:</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2"/>
              </w:rPr>
              <w:t>Nine Months Ended 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w w:val="95"/>
              </w:rPr>
              <w:t>$ Change</w:t>
            </w:r>
          </w:p>
        </w:tc>
        <w:tc>
          <w:tcPr>
            <w:tcW w:w="146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gridSpan w:val="2"/>
          </w:tcPr>
          <w:p>
            <w:pPr>
              <w:jc w:val="center"/>
              <w:ind w:right="53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16,166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1,107</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  $</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15,059</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r>
    </w:tbl>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General and administrative expense in 2012 increased from 2011 primarily due to the absence in 2012 of $0.7 million of post-acquisition adjustments in 2011, which were the result of changes in fair value of the estimated contingent consideration to be paid for business acquisitions that were completed in 2009. These adjustments are shown as reductions of general and administrative expense, and are excluded from Adjusted EBITDA. Non-cash compensation also increased by $0.5 million in 2012 as compared to 2011.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three months ended September 30, 2012 compared to the three months ended September 30, 2011:</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93"/>
              </w:rPr>
              <w:t>Three Months Ended 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w w:val="91"/>
              </w:rPr>
              <w:t>$ Change</w:t>
            </w:r>
          </w:p>
        </w:tc>
        <w:tc>
          <w:tcPr>
            <w:tcW w:w="1460" w:type="dxa"/>
            <w:vAlign w:val="bottom"/>
            <w:tcBorders>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20" w:type="dxa"/>
            <w:vAlign w:val="bottom"/>
            <w:gridSpan w:val="2"/>
          </w:tcPr>
          <w:p>
            <w:pPr>
              <w:jc w:val="center"/>
              <w:ind w:right="53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6"/>
              </w:rPr>
              <w:t>853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172</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  $</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6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for personnel engaged in the design, development, testing and enhancement of technology that are not capitalized.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development expense in 2012 increased from 2011 primarily due to an increase in compensation and other employee-related costs.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nine months ended September 30, 2012 compared to the nine months ended September 30, 2011:</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2"/>
              </w:rPr>
              <w:t>Nine Months Ended 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w w:val="91"/>
              </w:rPr>
              <w:t>$ Change</w:t>
            </w:r>
          </w:p>
        </w:tc>
        <w:tc>
          <w:tcPr>
            <w:tcW w:w="1420" w:type="dxa"/>
            <w:vAlign w:val="bottom"/>
            <w:tcBorders>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2"/>
          </w:tcPr>
          <w:p>
            <w:pPr>
              <w:jc w:val="center"/>
              <w:ind w:right="53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2,383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(294)</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60" w:type="dxa"/>
            <w:vAlign w:val="bottom"/>
            <w:shd w:val="clear" w:color="auto" w:fill="CCEEFF"/>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r>
    </w:tbl>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Product development expense in 2012 decreased from 2011, primarily due to reduced compensation and other employee-related costs resulting from lower headcount, and due to decreased usage of third-party contractors.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performed an interim impairment test in the second quarter of 2011 and recorded impairment charges related to indefinite-lived trade names and trademarks of $29.0 million and definite-lived intangible assets of $0.3 million. These impairments resulted from a lower observed market value of our common stock at June 30, 2011 and lower anticipated revenues related to our trademarks as a result of the anticipated sale of substantially all of the operating assets of our LendingTree Loans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of indefinite-lived or definite-lived intangible assets in 2012.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 settlements and contingencies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nine months ended September 30, 2012 and 2011, provisions for litigation settlements of $0.9 million and $5.2 million, respectively, were recorded for litigation settlements and contingencies. The provision in 2011 was due primarily to the settlement of the lawsuits filed between August 1, 2008 and June 1, 2009 by the State of South Carolina against LendingTree, LLC alleging that LendingTree failed to provide certain disclosures required by the South Carolina Registration of Mortgage Loan Brokers Act. The settlement amount was within our previously disclosed litigation loss reserve and we did not admit any liability as part of such settlement.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three months ended September 30, 2012 compared to the three months ended September 30, 2011:</w:t>
      </w:r>
    </w:p>
    <w:p>
      <w:pPr>
        <w:sectPr>
          <w:pgSz w:w="11900" w:h="16838" w:orient="portrait"/>
          <w:cols w:equalWidth="0" w:num="1">
            <w:col w:w="11420"/>
          </w:cols>
          <w:pgMar w:left="240" w:top="341" w:right="239" w:bottom="0" w:gutter="0" w:footer="0" w:header="0"/>
        </w:sectPr>
      </w:pPr>
    </w:p>
    <w:bookmarkStart w:id="23" w:name="page24"/>
    <w:bookmarkEnd w:id="23"/>
    <w:p>
      <w:pPr>
        <w:spacing w:after="0" w:line="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w w:val="95"/>
              </w:rPr>
              <w:t>$ Change</w:t>
            </w:r>
          </w:p>
        </w:tc>
        <w:tc>
          <w:tcPr>
            <w:tcW w:w="11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r>
      <w:tr>
        <w:trPr>
          <w:trHeight w:val="142"/>
        </w:trPr>
        <w:tc>
          <w:tcPr>
            <w:tcW w:w="2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2"/>
          </w:tcPr>
          <w:p>
            <w:pPr>
              <w:jc w:val="center"/>
              <w:ind w:right="19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6"/>
              </w:rPr>
              <w:t>807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4,567</w:t>
            </w:r>
          </w:p>
        </w:tc>
        <w:tc>
          <w:tcPr>
            <w:tcW w:w="1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(3,760)</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bl>
    <w:p>
      <w:pPr>
        <w:spacing w:after="0" w:line="18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discussed above, following the closing of the sale of substantially all of the operating assets of our LendingTree Loans business on June 6, 2012, leads that would formerly have been provided to LendingTree Loans became available for sale on our lending Exchange, and such leads therefore added to revenue, with an associated increase in selling and marketing expense in our Exchanges business. This additional revenue, offset by the related increase in selling and marketing expense, led to the improvement in operating income during the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nine months ended September 30, 2012 compared to the nine months ended September 30, 2011:</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w w:val="95"/>
              </w:rPr>
              <w:t>$ Change</w:t>
            </w:r>
          </w:p>
        </w:tc>
        <w:tc>
          <w:tcPr>
            <w:tcW w:w="144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 Change</w:t>
            </w: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r>
      <w:tr>
        <w:trPr>
          <w:trHeight w:val="142"/>
        </w:trPr>
        <w:tc>
          <w:tcPr>
            <w:tcW w:w="2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2"/>
          </w:tcPr>
          <w:p>
            <w:pPr>
              <w:jc w:val="right"/>
              <w:ind w:right="759"/>
              <w:spacing w:after="0" w:line="142" w:lineRule="exact"/>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(7,232)</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(49,238)</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  $</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(56,470)</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r>
    </w:tbl>
    <w:p>
      <w:pPr>
        <w:spacing w:after="0" w:line="187"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In addition to the increased revenue and related selling and marketing expense discussed above, asset impairments of $29.3 million were recorded in 2011 and none were recorded in 2012. All of these factors resulted in a significant decrease in operating loss in 2012 compared to 2011.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the section below entitled, “Tree.com’s Principles of Financial Reporting”. Below is a reconciliation of Adjusted EBITDA to net income (loss) for both continuing operations and discontinued 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3,897</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1,034</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(14,271)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w w:val="97"/>
              </w:rPr>
              <w:t>Adjustments to reconcile to net income (loss) from continuing operations: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(3,204)</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gain (expense)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(29,250)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(3,565)</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Post-acquisition adjustments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3,086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Adjusted EBITDA from discontinued operations</w:t>
            </w:r>
          </w:p>
        </w:tc>
        <w:tc>
          <w:tcPr>
            <w:tcW w:w="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4,221</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9,584</w:t>
            </w:r>
          </w:p>
        </w:tc>
        <w:tc>
          <w:tcPr>
            <w:tcW w:w="1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29,067</w:t>
            </w:r>
          </w:p>
        </w:tc>
        <w:tc>
          <w:tcPr>
            <w:tcW w:w="300" w:type="dxa"/>
            <w:vAlign w:val="bottom"/>
            <w:vMerge w:val="continue"/>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(3,065)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to net income (loss) from discontinued operations: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impairments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(12,974)</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from sale of discontinued operations, net of tax</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24,313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from discontinued operations</w:t>
            </w:r>
          </w:p>
        </w:tc>
        <w:tc>
          <w:tcPr>
            <w:tcW w:w="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49,058</w:t>
            </w:r>
          </w:p>
        </w:tc>
        <w:tc>
          <w:tcPr>
            <w:tcW w:w="3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Adjusted EBITDA from continuing operations per above</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3,897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1,034</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Adjusted EBITDA from discontinued operations per above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29,067</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Adjusted EBITDA</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30,101</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Adjustments to reconcile to net income (loss):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(3,204)</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expense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(7,564)</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(1,365)</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(42,224)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(3,734)</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Post-acquisition adjustments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from sale of discontinued operations, net of tax</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24,313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(567)</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11"/>
        </w:trPr>
        <w:tc>
          <w:tcPr>
            <w:tcW w:w="5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3"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1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Net income (loss)</w:t>
            </w:r>
          </w:p>
        </w:tc>
        <w:tc>
          <w:tcPr>
            <w:tcW w:w="19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13,315</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44,306</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(60,685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00" w:type="dxa"/>
            <w:vAlign w:val="bottom"/>
            <w:vMerge w:val="restart"/>
          </w:tcPr>
          <w:p>
            <w:pPr>
              <w:jc w:val="right"/>
              <w:ind w:right="10"/>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0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three months ended September 30, 2012 compared to the three months ended September 30, 2011:</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w w:val="95"/>
              </w:rPr>
              <w:t>$ Change</w:t>
            </w:r>
          </w:p>
        </w:tc>
        <w:tc>
          <w:tcPr>
            <w:tcW w:w="11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 Change</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2"/>
          </w:tcPr>
          <w:p>
            <w:pPr>
              <w:jc w:val="center"/>
              <w:ind w:right="25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02"/>
        </w:trPr>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EBITDA from continuing</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3,897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4,418</w:t>
            </w:r>
          </w:p>
        </w:tc>
        <w:tc>
          <w:tcPr>
            <w:tcW w:w="1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bl>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improvement in Adjusted EBITDA from 2011 to 2012 reflects increased revenue, partially offset by the increase in selling and marketing expense, as detailed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nine months ended September 30, 2012 compared to the nine months ended September 30, 2011:</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w w:val="94"/>
              </w:rPr>
              <w:t>Nine Months Ended September 30,</w:t>
            </w:r>
          </w:p>
        </w:tc>
        <w:tc>
          <w:tcPr>
            <w:tcW w:w="10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w w:val="95"/>
              </w:rPr>
              <w:t>$ Change</w:t>
            </w:r>
          </w:p>
        </w:tc>
        <w:tc>
          <w:tcPr>
            <w:tcW w:w="11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 Change</w:t>
            </w:r>
          </w:p>
        </w:tc>
        <w:tc>
          <w:tcPr>
            <w:tcW w:w="10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2"/>
          </w:tcPr>
          <w:p>
            <w:pPr>
              <w:jc w:val="right"/>
              <w:ind w:right="459"/>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02"/>
        </w:trPr>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EBITDA from continuing</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15,305</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NM</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(14,271)</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improvement in Adjusted EBITDA from 2011 to 2012 reflects both increased revenue and decreased overall operating costs, as detailed above.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For the three months ended September 30, 2012 and 2011, we recorded a tax (provision) benefit of $(0.2) million and $0.5 million, respectively, which represents effective tax rates of 41.1% and 12.0%, respectively. For the nine months ended September 30, 2012 and 2011, we recorded a tax benefit of $3.1 million and $12.1 million, respectively, which represents effective tax rates of 39.4% and 21.3%, respectively. For the three and nine months ended September 30, 2012, our tax rate is higher than the federal statutory rate of 35% primarily due to the impact of state income taxes. For the three months ended September 30, 2011, our tax rate was lower than the federal statutory rate of 35% due to a change in the valuation allowance on deferred tax assets. For the nine months ended September 30, 2011, our tax rate was lower than the federal statutory rate of 35% due to a change in the valuation allowance on deferred tax assets, partially offset by the tax impact of an impairment charge related to an intangible asset.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three months ended September 30, 2012 compared to the three months ended September 30, 2011:</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Revenue from discontinued operations in 2012 was $5.9 million, a decrease of 84% as compared to 2011 revenue from discontinued operations of $37.6 million. LendingTree Loans revenue for 2012 decreased by $31.2 million compared to 2011 as a result of the closing of the sale of the LendingTree Loans business on June 6, 2012. Revenue from the Real Estate business was $0.5 million in 2011 and $-0- in 2012, reflecting the shutdown of the company-owned brokerage in early 2011 and sale of the remaining assets of RealEstate.com in September 2011.</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During the third quarter of 2012, in order to reflect our exit from the mortgage loan origination business in the second quarter of 2012 and our current commercial objective to pursue bulk settlements with investors, management revised the estimation process for evaluating the adequacy of the reserve for loan losses. The revised methodology, which is described in Note 6 to the consolidated financial statements included in this report, was effective as of September 30, 2012, and resulted in a $6.5 million reduction to the loss reserve on previously sold loans during the three months ended September 30, 2012. This reserve reduction increased revenue within LendingTree Loans by $6.5 million during the three and nine months ended September 30, 2012.</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nine months ended September 30, 2012 compared to the nine months ended September 30, 2011:</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Revenue from discontinued operations in 2012 was $87.4 million, an increase of 2% as compared to 2011 revenue from discontinued operations of $85.4 million. LendingTree Loans revenue for 2012 increased $5.6 million compared to 2011, notwithstanding the shorter operating period in 2012. Revenue from the Real Estate business was $3.6 million in 2011 and $0.1 million in 2012.</w:t>
      </w:r>
    </w:p>
    <w:p>
      <w:pPr>
        <w:spacing w:after="0" w:line="181"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Gross margins at LendingTree Loans increased in 2012, driven by increased loan originations and a more favorable interest rate environment. In addition, LendingTree Loans benefited in 2012 from lower marketing expenses as a result of lower interest rates and improved marketing efficiencies.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of September 30, 2012, we had $89.8 million of cash and cash equivalents and $29.4 million of restricted cash and cash equivalents, compared to $45.5 million of cash and cash equivalents and $12.5 million of restricted cash and cash equivalents as of December 31, 2011. We believe that our sources of liquidity are sufficient to fund our operating needs for the foreseeable future. We anticipate that we will make capital and other expenditures in connection with the development and expansion of our overall operations.</w:t>
      </w:r>
    </w:p>
    <w:p>
      <w:pPr>
        <w:sectPr>
          <w:pgSz w:w="11900" w:h="16838" w:orient="portrait"/>
          <w:cols w:equalWidth="0" w:num="1">
            <w:col w:w="11460"/>
          </w:cols>
          <w:pgMar w:left="240" w:top="140" w:right="199" w:bottom="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i w:val="1"/>
          <w:iCs w:val="1"/>
          <w:color w:val="auto"/>
        </w:rPr>
        <w:t>Cash Flows from Continuing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summary, our cash flows attributable to continuing operations are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r>
      <w:tr>
        <w:trPr>
          <w:trHeight w:val="119"/>
        </w:trPr>
        <w:tc>
          <w:tcPr>
            <w:tcW w:w="4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221"/>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4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3"/>
          </w:tcPr>
          <w:p>
            <w:pPr>
              <w:jc w:val="center"/>
              <w:ind w:right="18"/>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(4,306)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(20,879)</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8"/>
                <w:szCs w:val="18"/>
                <w:color w:val="auto"/>
              </w:rPr>
              <w:t>(6,093)</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(6,968)</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3,489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(4,275)</w:t>
            </w:r>
          </w:p>
        </w:tc>
      </w:tr>
    </w:tbl>
    <w:p>
      <w:pPr>
        <w:spacing w:after="0" w:line="20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Net cash used in operating activities attributable to continuing operations consists of loss from continuing operations adjusted for non-cash items, including non-cash compensation expense, depreciation, amortization of intangibles, deferred income taxes, asset impairment charges, and the effect of changes in working capital.</w:t>
      </w:r>
    </w:p>
    <w:p>
      <w:pPr>
        <w:spacing w:after="0" w:line="18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Net cash used in operating activities attributable to continuing operations in 2012 was $4.3 million and consisted of losses from continuing operations of $4.8 million, positive adjustments for non-cash items of $7.6 million and cash used for working capital of $7.1 million. Adjustments for non-cash items primarily consisted of $3.6 million non-cash compensation expense and $3.2 million of depreciation. Accounts receivable increased by $4.9 million in 2012 primarily due to leads that would formerly have been provided to LendingTree Loans becoming available for sale on our lending Exchange. Accounts payable and other current liabilities decreased by $2.5 million as we managed our net working capital position.</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Net cash used in operating activities attributable to continuing operations in 2011 was $20.9 million and consisted of losses from continuing operations of $44.6 million, positive adjustments for non-cash items of $24.5 million and cash used by working capital of $0.8 million. Adjustments for non-cash items primarily consisted of $29.3 million of intangible impairment, $3.7 million of depreciation and $2.7 million of non-cash compensation expense, partially offset by deferred income taxes of $12.1 million.</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Net cash used in investing activities attributable to continuing operations in 2012 of $6.1 million primarily resulted from an increase in restricted cash of $4.1 million and capital expenditures of $2.0 million. Restricted cash also increased by the approximately $17.1 million escrowed purchase price from the sale of substantially all of the operating assets of our LendingTree Loans business, which is reflected in net cash provided by investing activities attributable to discontinued operations. Net cash used in investing activities attributable to continuing operations in 2011 of $7.0 million resulted from capital expenditures of $5.5 million, reflecting new technology platforms built for both the mortgage and non-mortgage businesses, and a $1.5 million increase in restricted cash.</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Net cash provided by financing activities in 2012 of $3.5 million was primarily due to the release of restricted cash formerly required by our warehouse lenders of $4.2 million following the closing of the sale of substantially all of the operating assets of our LendingTree Loans business on June 6, 2012. Net cash used in financing activities in 2011 of $4.3 million was due to $1.0 million related to the vesting and issuance of stock to employees (less withholding taxes) and an increase of $3.3 million in restricted cash.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Warehouse Lines of Credit for LendingTree Loans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As a result of the closing of the sale of substantially all of the operating assets of our LendingTree Loans business on June 6, 2012, all three then-existing warehouse lines of credit expired and terminated on July 21, 2012. Borrowings under these lines of credit were used to fund, and were secured by, consumer residential loans that were held for sale. Loans under these lines of credit were repaid using proceeds from the sales of loans by LendingTree Loans.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Revenue is subject to the cyclical and seasonal trends of the U.S. housing market. Home sales typically rise during the spring and summer months and decline during the fall and winter months, while refinancing and home equity activity is principally driven by mortgage interest rates as well as real estate values. However, in recent periods additional factors affecting the mortgage and real estate markets have impacted customary seasonal trends.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15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firstLine="396"/>
        <w:spacing w:after="0" w:line="259" w:lineRule="auto"/>
        <w:rPr>
          <w:sz w:val="20"/>
          <w:szCs w:val="20"/>
          <w:color w:val="auto"/>
        </w:rPr>
      </w:pPr>
      <w:r>
        <w:rPr>
          <w:rFonts w:ascii="Arial" w:cs="Arial" w:eastAsia="Arial" w:hAnsi="Arial"/>
          <w:sz w:val="18"/>
          <w:szCs w:val="18"/>
          <w:color w:val="auto"/>
        </w:rPr>
        <w:t>There have been no material changes to our critical accounting policies, estimates and judgments disclosed in our Form 10-K for the year ended December 31, 2011 (“2011 Form 10-K”), except for our methodology to estimate loan loss obligations discussed below. For further information on our critical and other significant accounting policies and estimates, see Part II, Item 7 “Management’s Discussion and Analysis of Financial Condition and Results of Operation” of our 2011 Form 10-K.</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Loan Loss Obligations</w:t>
      </w:r>
    </w:p>
    <w:p>
      <w:pPr>
        <w:spacing w:after="0" w:line="162"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We make estimates as to our exposure related to our obligation to repurchase loans previously sold to investors or to repay premiums paid by investors in purchasing loans, and reserve for such contingencies accordingly. Such payments to investors may be required in cases where underwriting deficiencies, borrower fraud, documentation defects, early payment defaults and early loan payoffs occurred.</w:t>
      </w:r>
    </w:p>
    <w:p>
      <w:pPr>
        <w:spacing w:after="0" w:line="9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HLC subsidiary continues to be liable for these indemnification obligations, repurchase obligations and premium repayment obligations following the sale of substantially all of the operating assets of our LendingTree Loans business in the second quarter of 2012. Approximately $17.1 million of the purchase price paid at closing is being held in escrow pending resolution of certain of these contingent liabilities. We have been negotiating with certain secondary market purchasers to settle any existing and future contingent liabilities, but we may not be able to complete such negotiations on acceptable terms, or at all.</w:t>
      </w:r>
    </w:p>
    <w:p>
      <w:pPr>
        <w:sectPr>
          <w:pgSz w:w="11900" w:h="16838" w:orient="portrait"/>
          <w:cols w:equalWidth="0" w:num="1">
            <w:col w:w="11420"/>
          </w:cols>
          <w:pgMar w:left="240" w:top="125" w:right="239" w:bottom="49" w:gutter="0" w:footer="0" w:header="0"/>
        </w:sectPr>
      </w:pPr>
    </w:p>
    <w:bookmarkStart w:id="26" w:name="page27"/>
    <w:bookmarkEnd w:id="26"/>
    <w:p>
      <w:pPr>
        <w:ind w:right="60" w:firstLine="648"/>
        <w:spacing w:after="0" w:line="257" w:lineRule="auto"/>
        <w:rPr>
          <w:sz w:val="20"/>
          <w:szCs w:val="20"/>
          <w:color w:val="auto"/>
        </w:rPr>
      </w:pPr>
      <w:r>
        <w:rPr>
          <w:rFonts w:ascii="Arial" w:cs="Arial" w:eastAsia="Arial" w:hAnsi="Arial"/>
          <w:sz w:val="18"/>
          <w:szCs w:val="18"/>
          <w:color w:val="auto"/>
        </w:rPr>
        <w:t>The obligation for losses related to the representations and warranties and other provisions discussed above is initially recorded at its estimated fair value, which includes a projection of expected future losses as well as a market based premium. Because LendingTree Loans does not service the loans it sold, it does not maintain nor have access to the current balances and loan performance data with respect to the individual loans previously sold to investors. Accordingly, LendingTree Loans is unable to determine, with precision, its maximum exposure for breaches of the representations and warranties it makes to the investors that purchase such loans.</w:t>
      </w:r>
    </w:p>
    <w:p>
      <w:pPr>
        <w:spacing w:after="0" w:line="12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the third quarter of 2012, in order to reflect our exit from the mortgage loan origination business in the second quarter of 2012 and our current commercial objective to pursue bulk settlements with investors, management revised the estimation process for evaluating the adequacy of the reserve for loan losses. The revised methodology, which is described in Note 6 to the consolidated financial statements included in this report, was effective as of September 30, 2012, and resulted in a $6.5 million reduction to the loss reserve on previously sold loans during the three months ended September 30, 2012.</w:t>
      </w:r>
    </w:p>
    <w:p>
      <w:pPr>
        <w:spacing w:after="0" w:line="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Management has considered both objective and subjective factors in the estimation process, but given current general industry trends in mortgage loans as well as housing prices, market expectations and actual losses related to LendingTree Loans’ obligations could vary significantly from the obligation recorded as of September 30, 2012 or the range of remaining loan losses disclosed in Note 6.</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16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report Earnings Before Interest, Taxes, Depreciation and Amortization, adjusted for certain items discussed below (Adjusted EBITDA), as a supplemental measure to GAAP. This measure is one of the primary metrics by which we evaluate the performance of our businesses, on which our internal budgets are based and by which management is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 discussed below.</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Definition of Adjusted EBITDA</w:t>
      </w:r>
    </w:p>
    <w:p>
      <w:pPr>
        <w:spacing w:after="0" w:line="1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report Adjusted EBITDA as operating income or loss (which excludes interest expense and taxes) adjusted to exclude amortization of intangibles and depreciation, and excluding (1) non-cash compensation expense, (2) non-cash intangible asset impairment charges, (3) gain/loss on disposal of assets, (4) restructuring expenses, (5) litigation settlements and contingencies, (6) pro forma adjustments for significant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One-Time Items</w:t>
      </w:r>
    </w:p>
    <w:p>
      <w:pPr>
        <w:spacing w:after="0" w:line="162"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Expenses That Are Excluded From Adjusted EBITDA</w:t>
      </w:r>
    </w:p>
    <w:p>
      <w:pPr>
        <w:spacing w:after="0" w:line="16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the grants of restricted stock units and stock options. These expenses are not paid in cash, and we include the related shares in our calculations of fully diluted shares outstanding. Upon vesting of restricted stock units and the exercise of certain stock options, the awards will be settled, at our discretion, on a net basis, with us remitting the required tax withholding amount from our current funds.</w:t>
      </w:r>
    </w:p>
    <w:p>
      <w:pPr>
        <w:spacing w:after="0" w:line="11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Amortization and impairment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rules and regulations of the SEC, as a smaller reporting company we are not required to provide the information required by this item.</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required by Rule 13a-15(b) of the Securities Exchange Act of 1934, management, with the participation of our principal executive officer and principal financial officer, evaluated, as of the end of the period covered by this report, the effectiveness of our disclosure controls and procedures as defined in Exchange Act Rule 13a-15(e). Based upon that evaluation, our principal executive officer and principal financial officer concluded that due to material weaknesses in our internal control over financial reporting, our disclosure controls and procedures were not effective as of September 30, 2012.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in our internal control over financial reporting relate to the maintenance of effective controls over the application and monitoring of our accounting for income taxes and the maintenance of effective controls over the timing and amount of impairment of our indefinite-lived intangible assets.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With respect to our controls over the application and monitoring of our accounting for income taxes, we did not have controls designed and in place to ensure effective oversight of the work performed by, and the accuracy of financial information provided by, third-party tax advisors. This material weakness was identified in connection with our assessment of the effectiveness of internal control over financial reporting as of December 31, 2010, and was determined not to have been remediated as of September 30, 2012.</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With respect to our controls over the timing and amount of impairment of our indefinite-lived intangible assets, we did not have controls designed and in place to ensure appropriate levels of review over the methodology and complex and judgmental business and valuation assumptions in accordance with</w:t>
      </w:r>
    </w:p>
    <w:p>
      <w:pPr>
        <w:sectPr>
          <w:pgSz w:w="11900" w:h="16838" w:orient="portrait"/>
          <w:cols w:equalWidth="0" w:num="1">
            <w:col w:w="11400"/>
          </w:cols>
          <w:pgMar w:left="240" w:top="125" w:right="259" w:bottom="0" w:gutter="0" w:footer="0" w:header="0"/>
        </w:sectPr>
      </w:pPr>
    </w:p>
    <w:bookmarkStart w:id="27" w:name="page28"/>
    <w:bookmarkEnd w:id="27"/>
    <w:p>
      <w:pPr>
        <w:ind w:right="100"/>
        <w:spacing w:after="0" w:line="289" w:lineRule="auto"/>
        <w:rPr>
          <w:sz w:val="20"/>
          <w:szCs w:val="20"/>
          <w:color w:val="auto"/>
        </w:rPr>
      </w:pPr>
      <w:r>
        <w:rPr>
          <w:rFonts w:ascii="Arial" w:cs="Arial" w:eastAsia="Arial" w:hAnsi="Arial"/>
          <w:sz w:val="16"/>
          <w:szCs w:val="16"/>
          <w:color w:val="auto"/>
        </w:rPr>
        <w:t>generally accepted valuation techniques that were used in our indefinite-lived intangible assets impairment tests during 2011. As a result of this deficiency, management’s interim indefinite-lived intangible assets impairment test in the second quarter of 2011 indicated no impairment, and such result led to the performance of an annual impairment test as of October 1, 2011 using improper data inputs, including the starting carrying value of the trade name and trademark assets and the assumed royalty rate, which in turn led to an initial indication of impairment as of October 1, 2011 that was significantly below the $29.0 million impairment later determined to exist as of the end of the second quarter of 2011. We have restated our second and third quarter 2011 results of operations and financial position to reflect the $29.0 million impairment charge occurring in the second quarter. The restated results for the second quarter of 2011 are reported in our Form 10-Q for the quarter ending June 30, 2012 and the restated results for the third quarter of 2011 are reported herein. See Note 1 —Correction of an Error to the consolidated financial statements included in this report, and Note 4—Goodwill and Intangible Assets and Note 17— Quarterly Results (Unaudited) to the consolidated financial statements included in the 2011 Form 10-K.</w:t>
      </w:r>
    </w:p>
    <w:p>
      <w:pPr>
        <w:spacing w:after="0" w:line="16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Notwithstanding the identified material weaknesses described above, management believes that the financial statements and other financial information included in this report present fairly in all material respects our financial condition, results of operations and cash flows at and for the periods presented in accordance with accounting principles generally accepted in the United States.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With the oversight of our management and the audit committee of our board of directors, we have begun taking steps and plan to take additional measures to remediate the underlying causes of the material weaknesses described above. With respect to the material weakness related to the application and monitoring of our accounting for income taxes, we have undertaken an evaluation of our available resources to provide effective oversight of the work performed by our third party tax advisors and are in the process of identifying necessary changes to our processes as required. Additionally, we are evaluating the resources available and provided to us by the third party tax advisor and identifying changes as required. With respect to the material weakness related to the timing and amount of impairment of our indefinite-lived intangible assets, we have strengthened our processes regarding intangible impairment analysis, which includes engaging a third party valuation firm for annual analyses beginning with 2012 and certain interim analyses. While we believe that these steps and measures will remediate the material weaknesses, there is a risk that these steps and measures will not be adequate to remediate the material weaknesses. Until we can provide reasonable assurance that these material weaknesses have been remediated, these material weaknesses could result in a misstatement in intangible asset or tax related accounts that could result in a material misstatement to our interim or annual consolidated financial statements and disclosures that may not be prevented or detected on a timely basis. In addition, we may be unable to meet our reporting obligations or comply with SEC rules and regulations, which could result in delisting actions by the NASDAQ Stock Market and investigation and sanctions by regulatory authorities. See the risk factor in our Form 10-Q that we filed with the Securities and Exchange Commission on August 14, 2012 contained in Part II, Item 1A under the heading “Risk Factors—We have identified material weaknesses in our internal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control over financial reporting, and we may be unable to develop, implement and maintain appropriate controls in future periods.”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third fiscal quarter that has materially affected, or is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 w:firstLine="648"/>
        <w:spacing w:after="0" w:line="217" w:lineRule="auto"/>
        <w:rPr>
          <w:sz w:val="20"/>
          <w:szCs w:val="20"/>
          <w:color w:val="auto"/>
        </w:rPr>
      </w:pPr>
      <w:r>
        <w:rPr>
          <w:rFonts w:ascii="Arial" w:cs="Arial" w:eastAsia="Arial" w:hAnsi="Arial"/>
          <w:sz w:val="18"/>
          <w:szCs w:val="18"/>
          <w:color w:val="auto"/>
        </w:rPr>
        <w:t>In the ordinary course of business, we are party to litigation involving property, contract, intellectual property and other claims. We included a discussion of certain legal proceedings in Part I, Item 3, of our 2011 Form 10-K, and in Part II, Item 1 of our Quarterly Reports on Form 10-Q for the quarters ended March 31, 2012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Quarter 2012 10-Q”) and June 30, 2012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Quarter 2012 10-Q”). During the quarter ended September 30, 2012, there were no material developments to the legal proceedings disclosed in the 2011 Form 10-K, the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Quarter 2012 10-Q, or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Quarter 2012 10-Q except as set forth below.</w:t>
      </w:r>
    </w:p>
    <w:p>
      <w:pPr>
        <w:spacing w:after="0" w:line="20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Gaines v. Home Loan Center, Inc., No. SACV08-667 (U.S. Dist. Ct., C.D. Cal.). </w:t>
      </w:r>
      <w:r>
        <w:rPr>
          <w:rFonts w:ascii="Arial" w:cs="Arial" w:eastAsia="Arial" w:hAnsi="Arial"/>
          <w:sz w:val="18"/>
          <w:szCs w:val="18"/>
          <w:color w:val="auto"/>
        </w:rPr>
        <w:t>On June 13, 2008, Plaintiffs filed this putative class action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HLC and LendingTree in the U.S. District Court for the Central District of California. Plaintiffs alleged, in essence, that (1) HLC failed to disclose that the bundled amount for certain loan closing services (called the “TrueCost”) that HLC charged to Plaintiffs was greater than HLC’s actual costs for those services; (2) HLC’s option ARM note failed to tell Plaintiffs that the stated interest rate and payment amounts would change after the first month and that the payment amount stated in the note was not sufficient to pay interest charges, resulting in negative amortization; and (3) HLC misrepresented that Plaintiffs would have to obtain a home equity line of credit in order to obtain a low interest rate on their option ARM loans. Based upon these factual allegations, Plaintiffs asserted violations of the federal Racketeer Influenced and Corrupt Organizations Act (“RICO”), the TILA, the California UCL, California Business and Professions Code § 17500, the CLRA, breach of contract, breach of the implied covenant of good faith and fair dealing, unjust enrichment, conversion, and money had and received.</w:t>
      </w:r>
    </w:p>
    <w:p>
      <w:pPr>
        <w:spacing w:after="0" w:line="19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Plaintiffs purported to represent all HLC customers who, since December 14, 2004 (1) were charged by HLC and paid an amount that exceeded HLC’s actual costs for those services; and/or (2) entered into option ARM loan agreements with HLC; and/or (3) were misled into taking out a home equity line of credit along with their option ARM mortgage. Plaintiffs sought restitution, disgorgement, damages, attorneys’ fees and injunctive relief.</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RICO claim, certain claims alleging problems involving home equity lines of credit and all contract-based claims were dismissed with prejudice in May, 2010. All remaining claims were dismissed with prejudice on September 14, 2012.</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b w:val="1"/>
          <w:bCs w:val="1"/>
          <w:i w:val="1"/>
          <w:iCs w:val="1"/>
          <w:color w:val="auto"/>
        </w:rPr>
        <w:t xml:space="preserve">Schnee v. LendingTree, LLC and Home Loan Center, Inc., No. 06CC00211 (Cal. Super. Ct., Orange Cty.). </w:t>
      </w:r>
      <w:r>
        <w:rPr>
          <w:rFonts w:ascii="Arial" w:cs="Arial" w:eastAsia="Arial" w:hAnsi="Arial"/>
          <w:sz w:val="16"/>
          <w:szCs w:val="16"/>
          <w:color w:val="auto"/>
        </w:rPr>
        <w:t>On October 11, 2006, four individual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plaintiffs filed this putative class action against LendingTree and HLC in the California Superior Court for Orange County. Plaintiffs alleged that they used the LendingTree.com website to find potential lenders and without their knowledge were referred to LendingTree’s direct lender, HLC; that Lending Tree, LLC and HLC did not adequately disclose the relationship between them; and that HLC charged Plaintiffs higher rates and fees than they otherwise would have been charged. Based upon these allegations, Plaintiffs asserted that LendingTree and HLC violated the California UCL, California Business and</w:t>
      </w:r>
    </w:p>
    <w:p>
      <w:pPr>
        <w:sectPr>
          <w:pgSz w:w="11900" w:h="16838" w:orient="portrait"/>
          <w:cols w:equalWidth="0" w:num="1">
            <w:col w:w="11400"/>
          </w:cols>
          <w:pgMar w:left="240" w:top="125" w:right="259" w:bottom="0" w:gutter="0" w:footer="0" w:header="0"/>
        </w:sectPr>
      </w:pPr>
    </w:p>
    <w:bookmarkStart w:id="28" w:name="page29"/>
    <w:bookmarkEnd w:id="28"/>
    <w:p>
      <w:pPr>
        <w:ind w:right="240"/>
        <w:spacing w:after="0" w:line="308" w:lineRule="auto"/>
        <w:rPr>
          <w:sz w:val="20"/>
          <w:szCs w:val="20"/>
          <w:color w:val="auto"/>
        </w:rPr>
      </w:pPr>
      <w:r>
        <w:rPr>
          <w:rFonts w:ascii="Arial" w:cs="Arial" w:eastAsia="Arial" w:hAnsi="Arial"/>
          <w:sz w:val="17"/>
          <w:szCs w:val="17"/>
          <w:color w:val="auto"/>
        </w:rPr>
        <w:t>Professions Code § 17500, and the CLRA. Plaintiffs purported to represent a nationwide class of consumers who sought lender referrals from LendingTree and obtained loans from HLC since December 1, 2004. Plaintiffs sought damages, restitution, attorneys’ fees and injunctive relief.</w:t>
      </w:r>
    </w:p>
    <w:p>
      <w:pPr>
        <w:spacing w:after="0" w:line="147"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On September 25, 2009, Plaintiffs’ motion for class certification was denied in its entirety; Plaintiffs appealed such action. On July 29, 2011, the Court of Appeals affirmed the trial court’s denial of class certification. This matter was remanded to the California Superior Court for Orange County. On August 22, 2012, the case was dismissed with prejudice.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Banxcorp v. LendingTree, LLC, No. 2:10-cv-02467-SDW-MCA (U.S. Dist. Ct., N.J.). </w:t>
      </w:r>
      <w:r>
        <w:rPr>
          <w:rFonts w:ascii="Arial" w:cs="Arial" w:eastAsia="Arial" w:hAnsi="Arial"/>
          <w:sz w:val="18"/>
          <w:szCs w:val="18"/>
          <w:color w:val="auto"/>
        </w:rPr>
        <w:t>On May 14, 2010, Plaintiff filed this lawsuit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LendingTree, LLC alleging that LendingTree, LLC engaged in antitrust violations, including per se horizontal price fixing. Plaintiff filed a similar case against Bankrate, Inc., in July 2007, alleging, among other things, an antitrust conspiracy between Bankrate and LendingTree. Plaintiff subsequently amended the complaint in June 2010 to add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several media entities as defendants and alleged federal and state antitrust violations. All defendants filed motions to dismiss, and in early February 2011, the motions were granted as to the media defendants but denied as to LendingTree, LLC. In September 2012, the parties reached a settlement agreement, and all claims against LendingTree, LLC were dismissed with prejudice on September 19,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The risk factors described in “Item 1A—Risk Factors” in our 2011 Form 10-K included risks that specifically related to our LendingTree Loans business and the then-pending transaction to sell all or substantially all of the assets of LendingTree Loans. We completed such sale on June 6, 2012. We amended the risk factors presented in our 2011 Form 10-K and replaced them in their entirety with the risk factors presented in our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Quarter 2012 Form 10-Q to reflect changes resulting from the sale transaction as well as changes to other risk factors applicable to us. There have been no material changes to the risk factors included in Part II, Item 1A of our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Quarter 2012 Form 10-Q.</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our purchases of equity securities during the quarter ended September 30,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Number/Approximate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Average Price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Programs(1)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Paid per Share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07/01/12 - 07/31/12</w:t>
            </w:r>
          </w:p>
        </w:tc>
        <w:tc>
          <w:tcPr>
            <w:tcW w:w="3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08/01/12 - 08/31/12</w:t>
            </w:r>
          </w:p>
        </w:tc>
        <w:tc>
          <w:tcPr>
            <w:tcW w:w="300" w:type="dxa"/>
            <w:vAlign w:val="bottom"/>
          </w:tcPr>
          <w:p>
            <w:pPr>
              <w:spacing w:after="0"/>
              <w:rPr>
                <w:sz w:val="18"/>
                <w:szCs w:val="18"/>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09/01/12 - 09/30/12</w:t>
            </w: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652"/>
        <w:spacing w:after="0" w:line="257" w:lineRule="auto"/>
        <w:tabs>
          <w:tab w:leader="none" w:pos="667"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11, 2010, we announced that our board of directors approved a stock repurchase program for an amount up to $10 million. The program authorizes repurchases of common shares in the open market or through privately-negotiated transactions. We began this program in February 2010 and expect to use available cash to finance these repurchases. We will determine the timing and amount of such repurchases based on our evaluation of market conditions, applicable SEC guidelines and regulations, and other factors. This program may be suspended or discontinued at any time at the discretion of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August 20, 2008, in connection with the spin-off of Tree.com, Inc. by IAC/InterActiveCorp, Doug Lebda, our Chairman and CEO, received restricted shares of Series A Redeemable Preferred Stock of a wholly-owned subsidiary of Tree.com, Inc. that became known as LendingTree Holdings Corp., which we refer to as “LTH.” The shares of preferred stock had an aggregate liquidation preference of $5,000,000 and vested in three equal annual installments on the first three anniversaries of the spin-off.</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preferred stock provides for cumulative dividends at a rate of 12% per annum, and unpaid dividends compound quarterly at a rate of 12% per annum. LTH is required to redeem all outstanding preferred stock on the fifth anniversary of the grant date, which is August 20, 2013. The redemption price is the liquidation preference of the outstanding shares plus compounded accrued and unpaid dividends.</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On August 30, 2010, we entered into a share exchange agreement with Mr. Lebda pursuant to which he exchanged 2,902.33 shares of preferred stock and most of the accrued and unpaid dividends in respect of such shares for a total of 534,900 newly-issued shares of Tree.com common stock. Immediately following such transaction, Mr. Lebda held 2,097.67 shares of preferred stock.</w:t>
      </w:r>
    </w:p>
    <w:p>
      <w:pPr>
        <w:spacing w:after="0" w:line="1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On November 7, 2012, our audit committee, compensation committee and board of directors approved an early redemption of the remaining 2,097.67 outstanding shares of preferred stock owned by Mr. Lebda, including all accrued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29" w:name="page30"/>
    <w:bookmarkEnd w:id="29"/>
    <w:p>
      <w:pPr>
        <w:spacing w:after="0" w:line="264" w:lineRule="auto"/>
        <w:rPr>
          <w:sz w:val="20"/>
          <w:szCs w:val="20"/>
          <w:color w:val="auto"/>
        </w:rPr>
      </w:pPr>
      <w:r>
        <w:rPr>
          <w:rFonts w:ascii="Arial" w:cs="Arial" w:eastAsia="Arial" w:hAnsi="Arial"/>
          <w:sz w:val="18"/>
          <w:szCs w:val="18"/>
          <w:color w:val="auto"/>
        </w:rPr>
        <w:t>dividends, for $3.3 million in cash, pursuant to a Series A Redeemable Preferred Stock Redemption Agreement dated November 7, 2012. The redemption will close on November 30, 2012. The redemption value of the Preferred Stock was determined in part based on a third-party valuation of the discounted remaining dividend stream through the mandatory redemption date of August 20, 2013.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9040" w:type="dxa"/>
            <w:vAlign w:val="bottom"/>
            <w:gridSpan w:val="2"/>
          </w:tcPr>
          <w:p>
            <w:pPr>
              <w:ind w:left="4060"/>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Pr>
          <w:p>
            <w:pPr>
              <w:ind w:left="260"/>
              <w:spacing w:after="0"/>
              <w:rPr>
                <w:sz w:val="20"/>
                <w:szCs w:val="20"/>
                <w:color w:val="auto"/>
              </w:rPr>
            </w:pPr>
            <w:r>
              <w:rPr>
                <w:rFonts w:ascii="Arial" w:cs="Arial" w:eastAsia="Arial" w:hAnsi="Arial"/>
                <w:sz w:val="14"/>
                <w:szCs w:val="14"/>
                <w:b w:val="1"/>
                <w:bCs w:val="1"/>
                <w:color w:val="auto"/>
              </w:rPr>
              <w:t>Location</w:t>
            </w:r>
          </w:p>
        </w:tc>
      </w:tr>
      <w:tr>
        <w:trPr>
          <w:trHeight w:val="224"/>
        </w:trPr>
        <w:tc>
          <w:tcPr>
            <w:tcW w:w="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Letter Agreement dated as of July 27, 2012 by and between Tree.com, Inc. and Alexander Mandel.*</w:t>
            </w:r>
          </w:p>
        </w:tc>
        <w:tc>
          <w:tcPr>
            <w:tcW w:w="220" w:type="dxa"/>
            <w:vAlign w:val="bottom"/>
          </w:tcPr>
          <w:p>
            <w:pPr>
              <w:spacing w:after="0"/>
              <w:rPr>
                <w:sz w:val="19"/>
                <w:szCs w:val="19"/>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r>
        <w:trPr>
          <w:trHeight w:val="418"/>
        </w:trPr>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10.2</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Change in Control Letter dated as of July 27, 2012 by and between Tree.com, Inc. and Alexander Mandel.*</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18"/>
        </w:trPr>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31.1</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5"/>
              </w:rPr>
              <w:t>Certification of the Chief Executive Officer pursuant to Rule 13a-14(a) or Rule 15d-14(a) of the Securities Exchange Act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of 1934 as adopted pursuant to Section 302 of the Sarbanes-Oxley Act of 2002.</w:t>
            </w:r>
          </w:p>
        </w:tc>
        <w:tc>
          <w:tcPr>
            <w:tcW w:w="1060" w:type="dxa"/>
            <w:vAlign w:val="bottom"/>
          </w:tcPr>
          <w:p>
            <w:pPr>
              <w:spacing w:after="0"/>
              <w:rPr>
                <w:sz w:val="20"/>
                <w:szCs w:val="20"/>
                <w:color w:val="auto"/>
              </w:rPr>
            </w:pPr>
          </w:p>
        </w:tc>
      </w:tr>
      <w:tr>
        <w:trPr>
          <w:trHeight w:val="418"/>
        </w:trPr>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31.2</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5"/>
              </w:rPr>
              <w:t>Certification of the Chief Financial Officer pursuant to Rule 13a-14(a) or Rule 15d-14(a) of the Securities Exchange Act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of 1934 as adopted pursuant to Section 302 of the Sarbanes-Oxley Act of 2002.</w:t>
            </w:r>
          </w:p>
        </w:tc>
        <w:tc>
          <w:tcPr>
            <w:tcW w:w="1060" w:type="dxa"/>
            <w:vAlign w:val="bottom"/>
          </w:tcPr>
          <w:p>
            <w:pPr>
              <w:spacing w:after="0"/>
              <w:rPr>
                <w:sz w:val="20"/>
                <w:szCs w:val="20"/>
                <w:color w:val="auto"/>
              </w:rPr>
            </w:pPr>
          </w:p>
        </w:tc>
      </w:tr>
      <w:tr>
        <w:trPr>
          <w:trHeight w:val="418"/>
        </w:trPr>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32.1</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 Section 906 of the</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Sarbanes-Oxley Act of 2002.</w:t>
            </w:r>
          </w:p>
        </w:tc>
        <w:tc>
          <w:tcPr>
            <w:tcW w:w="1060" w:type="dxa"/>
            <w:vAlign w:val="bottom"/>
          </w:tcPr>
          <w:p>
            <w:pPr>
              <w:spacing w:after="0"/>
              <w:rPr>
                <w:sz w:val="20"/>
                <w:szCs w:val="20"/>
                <w:color w:val="auto"/>
              </w:rPr>
            </w:pPr>
          </w:p>
        </w:tc>
      </w:tr>
      <w:tr>
        <w:trPr>
          <w:trHeight w:val="418"/>
        </w:trPr>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32.2</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 Section 906 of the</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Sarbanes-Oxley Act of 2002.</w:t>
            </w:r>
          </w:p>
        </w:tc>
        <w:tc>
          <w:tcPr>
            <w:tcW w:w="10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660" w:right="60" w:hanging="652"/>
        <w:spacing w:after="0" w:line="264" w:lineRule="auto"/>
        <w:tabs>
          <w:tab w:leader="none" w:pos="65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81" w:lineRule="exact"/>
        <w:rPr>
          <w:sz w:val="20"/>
          <w:szCs w:val="20"/>
          <w:color w:val="auto"/>
        </w:rPr>
      </w:pPr>
    </w:p>
    <w:p>
      <w:pPr>
        <w:ind w:left="660" w:right="180" w:hanging="652"/>
        <w:spacing w:after="0" w:line="264" w:lineRule="auto"/>
        <w:tabs>
          <w:tab w:leader="none" w:pos="646"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8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compensation plan or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2012</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TREE.COM, INC.</w:t>
            </w:r>
          </w:p>
        </w:tc>
        <w:tc>
          <w:tcPr>
            <w:tcW w:w="4020" w:type="dxa"/>
            <w:vAlign w:val="bottom"/>
          </w:tcPr>
          <w:p>
            <w:pPr>
              <w:spacing w:after="0"/>
              <w:rPr>
                <w:sz w:val="20"/>
                <w:szCs w:val="20"/>
                <w:color w:val="auto"/>
              </w:rPr>
            </w:pPr>
          </w:p>
        </w:tc>
      </w:tr>
      <w:tr>
        <w:trPr>
          <w:trHeight w:val="648"/>
        </w:trPr>
        <w:tc>
          <w:tcPr>
            <w:tcW w:w="1680" w:type="dxa"/>
            <w:vAlign w:val="bottom"/>
            <w:gridSpan w:val="2"/>
          </w:tcPr>
          <w:p>
            <w:pPr>
              <w:spacing w:after="0"/>
              <w:rPr>
                <w:sz w:val="20"/>
                <w:szCs w:val="20"/>
                <w:color w:val="auto"/>
              </w:rPr>
            </w:pPr>
            <w:r>
              <w:rPr>
                <w:rFonts w:ascii="Arial" w:cs="Arial" w:eastAsia="Arial" w:hAnsi="Arial"/>
                <w:sz w:val="18"/>
                <w:szCs w:val="18"/>
                <w:color w:val="auto"/>
              </w:rPr>
              <w:t>By:</w:t>
            </w:r>
          </w:p>
        </w:tc>
        <w:tc>
          <w:tcPr>
            <w:tcW w:w="4020" w:type="dxa"/>
            <w:vAlign w:val="bottom"/>
          </w:tcPr>
          <w:p>
            <w:pPr>
              <w:jc w:val="center"/>
              <w:ind w:right="1070"/>
              <w:spacing w:after="0"/>
              <w:rPr>
                <w:sz w:val="20"/>
                <w:szCs w:val="20"/>
                <w:color w:val="auto"/>
              </w:rPr>
            </w:pPr>
            <w:r>
              <w:rPr>
                <w:rFonts w:ascii="Arial" w:cs="Arial" w:eastAsia="Arial" w:hAnsi="Arial"/>
                <w:sz w:val="18"/>
                <w:szCs w:val="18"/>
                <w:color w:val="auto"/>
              </w:rPr>
              <w:t>/s/ ALEXANDER MANDEL</w:t>
            </w:r>
          </w:p>
        </w:tc>
      </w:tr>
      <w:tr>
        <w:trPr>
          <w:trHeight w:val="195"/>
        </w:trPr>
        <w:tc>
          <w:tcPr>
            <w:tcW w:w="5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tcPr>
          <w:p>
            <w:pPr>
              <w:jc w:val="center"/>
              <w:ind w:right="1070"/>
              <w:spacing w:after="0" w:line="195" w:lineRule="exact"/>
              <w:rPr>
                <w:sz w:val="20"/>
                <w:szCs w:val="20"/>
                <w:color w:val="auto"/>
              </w:rPr>
            </w:pPr>
            <w:r>
              <w:rPr>
                <w:rFonts w:ascii="Arial" w:cs="Arial" w:eastAsia="Arial" w:hAnsi="Arial"/>
                <w:sz w:val="18"/>
                <w:szCs w:val="18"/>
                <w:color w:val="auto"/>
                <w:w w:val="92"/>
              </w:rPr>
              <w:t>Alexander Mandel</w:t>
            </w:r>
          </w:p>
        </w:tc>
      </w:tr>
      <w:tr>
        <w:trPr>
          <w:trHeight w:val="216"/>
        </w:trPr>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20" w:type="dxa"/>
            <w:vAlign w:val="bottom"/>
          </w:tcPr>
          <w:p>
            <w:pPr>
              <w:jc w:val="center"/>
              <w:ind w:right="1070"/>
              <w:spacing w:after="0"/>
              <w:rPr>
                <w:sz w:val="20"/>
                <w:szCs w:val="20"/>
                <w:color w:val="auto"/>
              </w:rPr>
            </w:pPr>
            <w:r>
              <w:rPr>
                <w:rFonts w:ascii="Arial" w:cs="Arial" w:eastAsia="Arial" w:hAnsi="Arial"/>
                <w:sz w:val="18"/>
                <w:szCs w:val="18"/>
                <w:i w:val="1"/>
                <w:iCs w:val="1"/>
                <w:color w:val="auto"/>
                <w:w w:val="95"/>
              </w:rPr>
              <w:t>Chief Financial Officer</w:t>
            </w:r>
          </w:p>
        </w:tc>
      </w:tr>
      <w:tr>
        <w:trPr>
          <w:trHeight w:val="216"/>
        </w:trPr>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20" w:type="dxa"/>
            <w:vAlign w:val="bottom"/>
          </w:tcPr>
          <w:p>
            <w:pPr>
              <w:jc w:val="center"/>
              <w:ind w:right="1090"/>
              <w:spacing w:after="0"/>
              <w:rPr>
                <w:sz w:val="20"/>
                <w:szCs w:val="20"/>
                <w:color w:val="auto"/>
              </w:rPr>
            </w:pPr>
            <w:r>
              <w:rPr>
                <w:rFonts w:ascii="Arial" w:cs="Arial" w:eastAsia="Arial" w:hAnsi="Arial"/>
                <w:sz w:val="18"/>
                <w:szCs w:val="18"/>
                <w:i w:val="1"/>
                <w:iCs w:val="1"/>
                <w:color w:val="auto"/>
                <w:w w:val="96"/>
              </w:rPr>
              <w:t>(principal financial officer and</w:t>
            </w:r>
          </w:p>
        </w:tc>
      </w:tr>
      <w:tr>
        <w:trPr>
          <w:trHeight w:val="230"/>
        </w:trPr>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20" w:type="dxa"/>
            <w:vAlign w:val="bottom"/>
          </w:tcPr>
          <w:p>
            <w:pPr>
              <w:jc w:val="center"/>
              <w:ind w:right="1070"/>
              <w:spacing w:after="0"/>
              <w:rPr>
                <w:sz w:val="20"/>
                <w:szCs w:val="20"/>
                <w:color w:val="auto"/>
              </w:rPr>
            </w:pPr>
            <w:r>
              <w:rPr>
                <w:rFonts w:ascii="Arial" w:cs="Arial" w:eastAsia="Arial" w:hAnsi="Arial"/>
                <w:sz w:val="18"/>
                <w:szCs w:val="18"/>
                <w:i w:val="1"/>
                <w:iCs w:val="1"/>
                <w:color w:val="auto"/>
                <w:w w:val="93"/>
              </w:rPr>
              <w:t>duly authorized officer)</w:t>
            </w: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9040" w:type="dxa"/>
            <w:vAlign w:val="bottom"/>
            <w:gridSpan w:val="2"/>
          </w:tcPr>
          <w:p>
            <w:pPr>
              <w:ind w:left="4060"/>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Pr>
          <w:p>
            <w:pPr>
              <w:ind w:left="260"/>
              <w:spacing w:after="0"/>
              <w:rPr>
                <w:sz w:val="20"/>
                <w:szCs w:val="20"/>
                <w:color w:val="auto"/>
              </w:rPr>
            </w:pPr>
            <w:r>
              <w:rPr>
                <w:rFonts w:ascii="Arial" w:cs="Arial" w:eastAsia="Arial" w:hAnsi="Arial"/>
                <w:sz w:val="14"/>
                <w:szCs w:val="14"/>
                <w:b w:val="1"/>
                <w:bCs w:val="1"/>
                <w:color w:val="auto"/>
              </w:rPr>
              <w:t>Location</w:t>
            </w:r>
          </w:p>
        </w:tc>
      </w:tr>
      <w:tr>
        <w:trPr>
          <w:trHeight w:val="224"/>
        </w:trPr>
        <w:tc>
          <w:tcPr>
            <w:tcW w:w="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Letter Agreement dated as of July 27, 2012 by and between Tree.com, Inc. and Alexander Mandel.*</w:t>
            </w:r>
          </w:p>
        </w:tc>
        <w:tc>
          <w:tcPr>
            <w:tcW w:w="220" w:type="dxa"/>
            <w:vAlign w:val="bottom"/>
          </w:tcPr>
          <w:p>
            <w:pPr>
              <w:spacing w:after="0"/>
              <w:rPr>
                <w:sz w:val="19"/>
                <w:szCs w:val="19"/>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r>
        <w:trPr>
          <w:trHeight w:val="418"/>
        </w:trPr>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10.2</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Change in Control Letter dated as of July 27, 2012 by and between Tree.com, Inc. and Alexander Mandel.*</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18"/>
        </w:trPr>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31.1</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5"/>
              </w:rPr>
              <w:t>Certification of the Chief Executive Officer pursuant to Rule 13a-14(a) or Rule 15d-14(a) of the Securities Exchange Act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of 1934 as adopted pursuant to Section 302 of the Sarbanes-Oxley Act of 2002.</w:t>
            </w:r>
          </w:p>
        </w:tc>
        <w:tc>
          <w:tcPr>
            <w:tcW w:w="1060" w:type="dxa"/>
            <w:vAlign w:val="bottom"/>
          </w:tcPr>
          <w:p>
            <w:pPr>
              <w:spacing w:after="0"/>
              <w:rPr>
                <w:sz w:val="20"/>
                <w:szCs w:val="20"/>
                <w:color w:val="auto"/>
              </w:rPr>
            </w:pPr>
          </w:p>
        </w:tc>
      </w:tr>
      <w:tr>
        <w:trPr>
          <w:trHeight w:val="418"/>
        </w:trPr>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31.2</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5"/>
              </w:rPr>
              <w:t>Certification of the Chief Financial Officer pursuant to Rule 13a-14(a) or Rule 15d-14(a) of the Securities Exchange Act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of 1934 as adopted pursuant to Section 302 of the Sarbanes-Oxley Act of 2002.</w:t>
            </w:r>
          </w:p>
        </w:tc>
        <w:tc>
          <w:tcPr>
            <w:tcW w:w="1060" w:type="dxa"/>
            <w:vAlign w:val="bottom"/>
          </w:tcPr>
          <w:p>
            <w:pPr>
              <w:spacing w:after="0"/>
              <w:rPr>
                <w:sz w:val="20"/>
                <w:szCs w:val="20"/>
                <w:color w:val="auto"/>
              </w:rPr>
            </w:pPr>
          </w:p>
        </w:tc>
      </w:tr>
      <w:tr>
        <w:trPr>
          <w:trHeight w:val="418"/>
        </w:trPr>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32.1</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 Section 906 of the</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Sarbanes-Oxley Act of 2002.</w:t>
            </w:r>
          </w:p>
        </w:tc>
        <w:tc>
          <w:tcPr>
            <w:tcW w:w="1060" w:type="dxa"/>
            <w:vAlign w:val="bottom"/>
          </w:tcPr>
          <w:p>
            <w:pPr>
              <w:spacing w:after="0"/>
              <w:rPr>
                <w:sz w:val="20"/>
                <w:szCs w:val="20"/>
                <w:color w:val="auto"/>
              </w:rPr>
            </w:pPr>
          </w:p>
        </w:tc>
      </w:tr>
      <w:tr>
        <w:trPr>
          <w:trHeight w:val="418"/>
        </w:trPr>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32.2</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 Section 906 of the</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Sarbanes-Oxley Act of 2002.</w:t>
            </w:r>
          </w:p>
        </w:tc>
        <w:tc>
          <w:tcPr>
            <w:tcW w:w="10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660" w:right="60" w:hanging="652"/>
        <w:spacing w:after="0" w:line="264" w:lineRule="auto"/>
        <w:tabs>
          <w:tab w:leader="none" w:pos="6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81" w:lineRule="exact"/>
        <w:rPr>
          <w:sz w:val="20"/>
          <w:szCs w:val="20"/>
          <w:color w:val="auto"/>
        </w:rPr>
      </w:pPr>
    </w:p>
    <w:p>
      <w:pPr>
        <w:ind w:left="660" w:right="180" w:hanging="652"/>
        <w:spacing w:after="0" w:line="264" w:lineRule="auto"/>
        <w:tabs>
          <w:tab w:leader="none" w:pos="6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8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compensation plan or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154940</wp:posOffset>
            </wp:positionV>
            <wp:extent cx="1174750" cy="4800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7475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REVISED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Alexander E. Mandel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Alex,</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It is with great pleasure that I extend to you an offer of employment for the position of Chief Financial Officer with Tree.com, Inc. (“Company”) located in Charlotte, North Carolina. We are excited about having you join us! The terms of this offer are set forth below in this letter.</w:t>
      </w:r>
    </w:p>
    <w:p>
      <w:pPr>
        <w:spacing w:after="0" w:line="14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You will report directly to Doug Lebda, CEO, and you will be based primarily in New York City with periodic business travel. As discussed, we anticipate that you will initially target spending 20% - 40% of your time in the Charlotte office, subject to other business travel commitments, and, based on your findings, thereafter reduce your travel as appropriate. You will begin work on Monday, July 30, 2012 (your “</w:t>
      </w:r>
      <w:r>
        <w:rPr>
          <w:rFonts w:ascii="Arial" w:cs="Arial" w:eastAsia="Arial" w:hAnsi="Arial"/>
          <w:sz w:val="17"/>
          <w:szCs w:val="17"/>
          <w:u w:val="single" w:color="auto"/>
          <w:color w:val="auto"/>
        </w:rPr>
        <w:t>Start Date</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Highlights of your offer of employment are set forth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 will be paid on an exempt basis at a bi-weekly rate of $9,615.38 ($250,000 annualized) (your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Annual Bonus: </w:t>
      </w:r>
      <w:r>
        <w:rPr>
          <w:rFonts w:ascii="Arial" w:cs="Arial" w:eastAsia="Arial" w:hAnsi="Arial"/>
          <w:sz w:val="18"/>
          <w:szCs w:val="18"/>
          <w:color w:val="auto"/>
        </w:rPr>
        <w:t>You will be eligible to receive an annual incentive bonus with a target of 50% of your Base Salary (your “</w:t>
      </w:r>
      <w:r>
        <w:rPr>
          <w:rFonts w:ascii="Arial" w:cs="Arial" w:eastAsia="Arial" w:hAnsi="Arial"/>
          <w:sz w:val="18"/>
          <w:szCs w:val="18"/>
          <w:u w:val="single" w:color="auto"/>
          <w:color w:val="auto"/>
        </w:rPr>
        <w:t>Target Bonus</w:t>
      </w:r>
      <w:r>
        <w:rPr>
          <w:rFonts w:ascii="Arial" w:cs="Arial" w:eastAsia="Arial" w:hAnsi="Arial"/>
          <w:sz w:val="18"/>
          <w:szCs w:val="18"/>
          <w:color w:val="auto"/>
        </w:rPr>
        <w:t>”). For 2012, the</w:t>
      </w:r>
      <w:r>
        <w:rPr>
          <w:rFonts w:ascii="Arial" w:cs="Arial" w:eastAsia="Arial" w:hAnsi="Arial"/>
          <w:sz w:val="18"/>
          <w:szCs w:val="18"/>
          <w:b w:val="1"/>
          <w:bCs w:val="1"/>
          <w:color w:val="auto"/>
        </w:rPr>
        <w:t xml:space="preserve"> </w:t>
      </w:r>
      <w:r>
        <w:rPr>
          <w:rFonts w:ascii="Arial" w:cs="Arial" w:eastAsia="Arial" w:hAnsi="Arial"/>
          <w:sz w:val="18"/>
          <w:szCs w:val="18"/>
          <w:color w:val="auto"/>
        </w:rPr>
        <w:t>50% target will be applied to your total annual Base Salary and will not be prorated based on your start date. Payouts can be greater than or less than the Target Bonus and are a function of individual and company performance as well as management discretion and may not be awarded in each year (the amount actually awarded in any given year, the “</w:t>
      </w:r>
      <w:r>
        <w:rPr>
          <w:rFonts w:ascii="Arial" w:cs="Arial" w:eastAsia="Arial" w:hAnsi="Arial"/>
          <w:sz w:val="18"/>
          <w:szCs w:val="18"/>
          <w:u w:val="single" w:color="auto"/>
          <w:color w:val="auto"/>
        </w:rPr>
        <w:t>Bonus</w:t>
      </w:r>
      <w:r>
        <w:rPr>
          <w:rFonts w:ascii="Arial" w:cs="Arial" w:eastAsia="Arial" w:hAnsi="Arial"/>
          <w:sz w:val="18"/>
          <w:szCs w:val="18"/>
          <w:color w:val="auto"/>
        </w:rPr>
        <w:t>”). Please note that all applicable deductions will be made from your Bonus, such as 401k contributions (if any), Federal and State taxes, etc. In the event of a Change in Control (as defined in the letter from the Company to you dated May 25, 2012, regarding the benefits you would be entitled to in the event of a change in control (the “</w:t>
      </w:r>
      <w:r>
        <w:rPr>
          <w:rFonts w:ascii="Arial" w:cs="Arial" w:eastAsia="Arial" w:hAnsi="Arial"/>
          <w:sz w:val="18"/>
          <w:szCs w:val="18"/>
          <w:u w:val="single" w:color="auto"/>
          <w:color w:val="auto"/>
        </w:rPr>
        <w:t>CIC Letter</w:t>
      </w:r>
      <w:r>
        <w:rPr>
          <w:rFonts w:ascii="Arial" w:cs="Arial" w:eastAsia="Arial" w:hAnsi="Arial"/>
          <w:sz w:val="18"/>
          <w:szCs w:val="18"/>
          <w:color w:val="auto"/>
        </w:rPr>
        <w:t>”)), your Bonus for the year in which the Change in Control occurs will be equal to your Target Bonus for such year.</w:t>
      </w:r>
    </w:p>
    <w:p>
      <w:pPr>
        <w:spacing w:after="0" w:line="18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Additional Bonus</w:t>
      </w:r>
      <w:r>
        <w:rPr>
          <w:rFonts w:ascii="Arial" w:cs="Arial" w:eastAsia="Arial" w:hAnsi="Arial"/>
          <w:sz w:val="18"/>
          <w:szCs w:val="18"/>
          <w:color w:val="auto"/>
        </w:rPr>
        <w:t>: You will also be eligible to receive an additional bonus of up to 20% of your Base Salary in the event of unusual performance in excess</w:t>
      </w:r>
      <w:r>
        <w:rPr>
          <w:rFonts w:ascii="Arial" w:cs="Arial" w:eastAsia="Arial" w:hAnsi="Arial"/>
          <w:sz w:val="18"/>
          <w:szCs w:val="18"/>
          <w:b w:val="1"/>
          <w:bCs w:val="1"/>
          <w:color w:val="auto"/>
        </w:rPr>
        <w:t xml:space="preserve"> </w:t>
      </w:r>
      <w:r>
        <w:rPr>
          <w:rFonts w:ascii="Arial" w:cs="Arial" w:eastAsia="Arial" w:hAnsi="Arial"/>
          <w:sz w:val="18"/>
          <w:szCs w:val="18"/>
          <w:color w:val="auto"/>
        </w:rPr>
        <w:t>of targeted goals and outside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course of normal business as determined in the discretion of the CEO and/or Compensation Committee of the Board of Directors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w:t>
      </w:r>
      <w:r>
        <w:rPr>
          <w:rFonts w:ascii="Arial" w:cs="Arial" w:eastAsia="Arial" w:hAnsi="Arial"/>
          <w:sz w:val="17"/>
          <w:szCs w:val="17"/>
          <w:color w:val="auto"/>
        </w:rPr>
        <w:t>: You will be granted an award of 50,000 Restricted Stock Units (RSUs) under the Third Amended and Restated Tree.com, Inc. 2008 Stock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Annual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The grant date of this award will be as soon as practicable following your Start Date. Shortly after your Start Date, you</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receive an award notice providing the details of your grant (including the Terms and Conditions), and an account will be established for you at Smith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Barney, the Plan administrator. On the Smith Barney website, you can find detailed information on your award, as well as the Terms and Conditions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Plan. Your grant will be governed by the award notice and the Terms and Conditions and the Plan. Please review all of this documentation carefully 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complete description of your grant, and note that you will be required to acknowledge and accept the Terms and Conditions. Your failure to do so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 in the nullification of your award.</w:t>
      </w:r>
    </w:p>
    <w:p>
      <w:pPr>
        <w:spacing w:after="0" w:line="207"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 xml:space="preserve">Expense Reimbursement: </w:t>
      </w:r>
      <w:r>
        <w:rPr>
          <w:rFonts w:ascii="Arial" w:cs="Arial" w:eastAsia="Arial" w:hAnsi="Arial"/>
          <w:sz w:val="17"/>
          <w:szCs w:val="17"/>
          <w:color w:val="auto"/>
        </w:rPr>
        <w:t>You will be promptly reimbursed for all reasonable travel, lodging, meal and other expenses that you incur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performing your services under this Agreement, provided that you submit reasonable documentation evidencing such expenses to the Company in accordance with its expense reimbursement policy (or, if no such policy exists, in accordance with this paragraph).</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color w:val="auto"/>
        </w:rPr>
        <w:t>Benefits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to participate in the Company’s benefits plans, including medical, dental, vision, group life insurance, disability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effective the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your employment. Benefits for which you are eligible to participate in are the same as those that are available to other senior executives of the Company.</w:t>
      </w:r>
    </w:p>
    <w:p>
      <w:pPr>
        <w:spacing w:after="0" w:line="200"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b w:val="1"/>
          <w:bCs w:val="1"/>
          <w:color w:val="auto"/>
        </w:rPr>
        <w:t xml:space="preserve">Paid Time Off: </w:t>
      </w:r>
      <w:r>
        <w:rPr>
          <w:rFonts w:ascii="Arial" w:cs="Arial" w:eastAsia="Arial" w:hAnsi="Arial"/>
          <w:sz w:val="16"/>
          <w:szCs w:val="16"/>
          <w:color w:val="auto"/>
        </w:rPr>
        <w:t>You will accrue Paid Time Off (PTO) benefits at the rate of three (3) weeks per year during your first five years of service. Upon</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of your fifth year, you will begin to accrue PTO at the rate of four (4) weeks per year, and you will begin to accrue PTO at the rate of five</w:t>
      </w:r>
    </w:p>
    <w:p>
      <w:pPr>
        <w:spacing w:after="0" w:line="1" w:lineRule="exact"/>
        <w:rPr>
          <w:sz w:val="20"/>
          <w:szCs w:val="20"/>
          <w:color w:val="auto"/>
        </w:rPr>
      </w:pPr>
    </w:p>
    <w:p>
      <w:pPr>
        <w:ind w:right="20" w:firstLine="8"/>
        <w:spacing w:after="0" w:line="26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weeks per year after 11 years. PTO is to be used for vacation, sick and other personal reasons you may have to be away from work. You must obtain your manager’s approval in advance of taking PTO or other time off.</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You will be eligible to participate in the Company’s Retirement Savings Plan (a 401(k) plan) on your date of hire. You may contribute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one percent (1%) and 50 percent (50%) of pay on a pre-tax basis and between one percent (1%) and 10 percent (10%) on an after-tax basis. As a convenience, approximately 90 days after your date of hire, you will be automatically enrolled in the Plan with a pre-tax deferral rate of three percent (3%) of your eligible earnings, contributed via payroll deductions. You may opt out at any time, even before the first deduction is taken, by contacting the Company’s Benefits Department.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reserves the right to modify its compensation and benefits programs at any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640" w:gutter="0" w:footer="0" w:header="0"/>
        </w:sectPr>
      </w:pPr>
    </w:p>
    <w:bookmarkStart w:id="32" w:name="page33"/>
    <w:bookmarkEnd w:id="32"/>
    <w:p>
      <w:pPr>
        <w:spacing w:after="0" w:line="314" w:lineRule="auto"/>
        <w:rPr>
          <w:sz w:val="20"/>
          <w:szCs w:val="20"/>
          <w:color w:val="auto"/>
        </w:rPr>
      </w:pPr>
      <w:r>
        <w:rPr>
          <w:rFonts w:ascii="Arial" w:cs="Arial" w:eastAsia="Arial" w:hAnsi="Arial"/>
          <w:sz w:val="16"/>
          <w:szCs w:val="16"/>
          <w:b w:val="1"/>
          <w:bCs w:val="1"/>
          <w:color w:val="auto"/>
        </w:rPr>
        <w:t xml:space="preserve">At-Will Employment: </w:t>
      </w:r>
      <w:r>
        <w:rPr>
          <w:rFonts w:ascii="Arial" w:cs="Arial" w:eastAsia="Arial" w:hAnsi="Arial"/>
          <w:sz w:val="16"/>
          <w:szCs w:val="16"/>
          <w:color w:val="auto"/>
        </w:rPr>
        <w:t>The Company is an at-will employer, and it reserves the right to change the terms and conditions of employment, including but not</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to termination, demotion, promotion, transfer, compensation, benefits, duties and location of work. Neither this offer letter nor any other written or verbal communications are intended to create a contract of employment or a promise of long-term employment. All employment with the Company is at will.</w:t>
      </w:r>
    </w:p>
    <w:p>
      <w:pPr>
        <w:spacing w:after="0" w:line="142"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Termination of Employment; Severance: </w:t>
      </w:r>
      <w:r>
        <w:rPr>
          <w:rFonts w:ascii="Arial" w:cs="Arial" w:eastAsia="Arial" w:hAnsi="Arial"/>
          <w:sz w:val="17"/>
          <w:szCs w:val="17"/>
          <w:color w:val="auto"/>
        </w:rPr>
        <w:t>Your employment may be terminated by the Company with or without Cause (as defined in the CIC Letter) and</w:t>
      </w:r>
      <w:r>
        <w:rPr>
          <w:rFonts w:ascii="Arial" w:cs="Arial" w:eastAsia="Arial" w:hAnsi="Arial"/>
          <w:sz w:val="17"/>
          <w:szCs w:val="17"/>
          <w:b w:val="1"/>
          <w:bCs w:val="1"/>
          <w:color w:val="auto"/>
        </w:rPr>
        <w:t xml:space="preserve"> </w:t>
      </w:r>
      <w:r>
        <w:rPr>
          <w:rFonts w:ascii="Arial" w:cs="Arial" w:eastAsia="Arial" w:hAnsi="Arial"/>
          <w:sz w:val="17"/>
          <w:szCs w:val="17"/>
          <w:color w:val="auto"/>
        </w:rPr>
        <w:t>may be terminated by you with or without Good Reason (as defined in the CIC Letter). Except as set forth in the CIC Letter, if your employment is terminated by the Company without Cause or by you for Good Reason, (a) the Company will pay to you severance in an amount equal to the sum of 12 months of your annual Base Salary (the “</w:t>
      </w:r>
      <w:r>
        <w:rPr>
          <w:rFonts w:ascii="Arial" w:cs="Arial" w:eastAsia="Arial" w:hAnsi="Arial"/>
          <w:sz w:val="17"/>
          <w:szCs w:val="17"/>
          <w:u w:val="single" w:color="auto"/>
          <w:color w:val="auto"/>
        </w:rPr>
        <w:t>Base Salary Severance</w:t>
      </w:r>
      <w:r>
        <w:rPr>
          <w:rFonts w:ascii="Arial" w:cs="Arial" w:eastAsia="Arial" w:hAnsi="Arial"/>
          <w:sz w:val="17"/>
          <w:szCs w:val="17"/>
          <w:color w:val="auto"/>
        </w:rPr>
        <w:t>”) and (b) all unvested equity awards scheduled to vest within one year of your termination date will become immediately vested, so long as you execute a reasonable Waiver and Release provided by the Company. The Base Salary Severance will be paid on regularly scheduled pay dates for 12 months following the effective date of the Waiver and Release or until such time as you obtain other employment or are otherwise compensated for services during the period you are receiving severance payments. Once you obtain other employment, the Company’s obligation to make future severance payments shall be offset against any compensation you earn as a result of your employment with or services provided to a third party. You agree to inform the Company promptly of your employment status and any compensation earned during the time you are receiving severance pay.</w:t>
      </w:r>
    </w:p>
    <w:p>
      <w:pPr>
        <w:spacing w:after="0" w:line="17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Following your acceptance of this offer of employment, you will be reimbursed for your reasonable and documented expenses incurred by you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your acceptance of this offer, not to exceed $5,000.00.</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Section 280G Limitation: </w:t>
      </w:r>
      <w:r>
        <w:rPr>
          <w:rFonts w:ascii="Arial" w:cs="Arial" w:eastAsia="Arial" w:hAnsi="Arial"/>
          <w:sz w:val="17"/>
          <w:szCs w:val="17"/>
          <w:color w:val="auto"/>
        </w:rPr>
        <w:t>Notwithstanding anything in this Agreement to the contrary, in the event that any payment or benefit received or to be received by</w:t>
      </w:r>
      <w:r>
        <w:rPr>
          <w:rFonts w:ascii="Arial" w:cs="Arial" w:eastAsia="Arial" w:hAnsi="Arial"/>
          <w:sz w:val="17"/>
          <w:szCs w:val="17"/>
          <w:b w:val="1"/>
          <w:bCs w:val="1"/>
          <w:color w:val="auto"/>
        </w:rPr>
        <w:t xml:space="preserve"> </w:t>
      </w:r>
      <w:r>
        <w:rPr>
          <w:rFonts w:ascii="Arial" w:cs="Arial" w:eastAsia="Arial" w:hAnsi="Arial"/>
          <w:sz w:val="17"/>
          <w:szCs w:val="17"/>
          <w:color w:val="auto"/>
        </w:rPr>
        <w:t>you (all such payments and benefits being hereinafter referred to as the “</w:t>
      </w:r>
      <w:r>
        <w:rPr>
          <w:rFonts w:ascii="Arial" w:cs="Arial" w:eastAsia="Arial" w:hAnsi="Arial"/>
          <w:sz w:val="17"/>
          <w:szCs w:val="17"/>
          <w:u w:val="single" w:color="auto"/>
          <w:color w:val="auto"/>
        </w:rPr>
        <w:t>Total Payments</w:t>
      </w:r>
      <w:r>
        <w:rPr>
          <w:rFonts w:ascii="Arial" w:cs="Arial" w:eastAsia="Arial" w:hAnsi="Arial"/>
          <w:sz w:val="17"/>
          <w:szCs w:val="17"/>
          <w:color w:val="auto"/>
        </w:rPr>
        <w:t>”) would not be deductible (in whole or part) by the Company or any affiliates making such payment or providing such benefit as a result of section 280G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then, to the extent necessary to make such portion of the Total Payments deductible (and after taking into account any reduction in the Total Payments required by any similar reduction or elimination provision contained in such other plan, arrangement or agreement), the portion of the Total Payments that does not constitute “nonqualified deferred compensation” under section 409A of the Code shall first be reduced (if necessary, to zero), and all other Total Payments shall thereafter be reduced (if necessary, to zero) with, in each case, cash payments being reduced before non-cash payments (and, within each category, payments to be paid last being reduced first);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reduction shall only be made if the amount of such Total Payments, as so reduced (and after subtracting the net amount of federal, state and local income taxes on such reduced Total Payments) is greater than or equal to the amount of such Total Payments without such reduction (but after subtracting the net amount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federal, state and local income taxes on such Total Payments and the amount of the excise tax imposed under section 4999 of the Code on such unreduced Total Payments). Any determination required to be made under this paragraph shall be made by independent tax counsel reasonably acceptable to both you and the Company, and shall be paid for by the Company (“</w:t>
      </w:r>
      <w:r>
        <w:rPr>
          <w:rFonts w:ascii="Arial" w:cs="Arial" w:eastAsia="Arial" w:hAnsi="Arial"/>
          <w:sz w:val="18"/>
          <w:szCs w:val="18"/>
          <w:u w:val="single" w:color="auto"/>
          <w:color w:val="auto"/>
        </w:rPr>
        <w:t>Tax Counsel</w:t>
      </w:r>
      <w:r>
        <w:rPr>
          <w:rFonts w:ascii="Arial" w:cs="Arial" w:eastAsia="Arial" w:hAnsi="Arial"/>
          <w:sz w:val="18"/>
          <w:szCs w:val="18"/>
          <w:color w:val="auto"/>
        </w:rPr>
        <w:t>”).</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It is possible that, after the determinations and selections made pursuant to the foregoing paragraph, you will receive payments and/or benefits that are, in the aggregate, either more or less than the amount determined under such paragraph (hereafter referred to as an “</w:t>
      </w:r>
      <w:r>
        <w:rPr>
          <w:rFonts w:ascii="Arial" w:cs="Arial" w:eastAsia="Arial" w:hAnsi="Arial"/>
          <w:sz w:val="16"/>
          <w:szCs w:val="16"/>
          <w:u w:val="single" w:color="auto"/>
          <w:color w:val="auto"/>
        </w:rPr>
        <w:t>Excess Payment</w:t>
      </w:r>
      <w:r>
        <w:rPr>
          <w:rFonts w:ascii="Arial" w:cs="Arial" w:eastAsia="Arial" w:hAnsi="Arial"/>
          <w:sz w:val="16"/>
          <w:szCs w:val="16"/>
          <w:color w:val="auto"/>
        </w:rPr>
        <w:t>” or “</w:t>
      </w:r>
      <w:r>
        <w:rPr>
          <w:rFonts w:ascii="Arial" w:cs="Arial" w:eastAsia="Arial" w:hAnsi="Arial"/>
          <w:sz w:val="16"/>
          <w:szCs w:val="16"/>
          <w:u w:val="single" w:color="auto"/>
          <w:color w:val="auto"/>
        </w:rPr>
        <w:t>Underpayment</w:t>
      </w:r>
      <w:r>
        <w:rPr>
          <w:rFonts w:ascii="Arial" w:cs="Arial" w:eastAsia="Arial" w:hAnsi="Arial"/>
          <w:sz w:val="16"/>
          <w:szCs w:val="16"/>
          <w:color w:val="auto"/>
        </w:rPr>
        <w:t>”, as applicable). If Tax Counsel determines that an Excess Payment has been made, then you shall promptly repay the Excess Payment to the Company, together with interest on the Excess Payment at the applicable federal rate (as defined in section 1274(d) of the Code) from the date of your receipt of such Excess Payment until the date of such repayment. If Tax Counsel determines that an Underpayment has occurred, the Company shall promptly (but in any event within ten (10) days of such determination) pay to you an amount equal to the Underpayment, together with interest on such amount at the applicable federal rate from the date such amount would have been paid to you had the provisions of the foregoing paragraph not been applied until the date of payment.</w:t>
      </w:r>
    </w:p>
    <w:p>
      <w:pPr>
        <w:spacing w:after="0" w:line="16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 xml:space="preserve">Section 409A: </w:t>
      </w:r>
      <w:r>
        <w:rPr>
          <w:rFonts w:ascii="Arial" w:cs="Arial" w:eastAsia="Arial" w:hAnsi="Arial"/>
          <w:sz w:val="17"/>
          <w:szCs w:val="17"/>
          <w:color w:val="auto"/>
        </w:rPr>
        <w:t>The parties intend that any amounts payable hereunder shall comply with or be exempt from 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Agreement shall be deemed to be a separate payment. You and the Company agree to negotiate in good faith to make amendments to the Agreement, as the parties mutually agree are necessary or desirable to avoid the imposition of taxes, penalties or interest under Section 409A. Neither you nor the Company shall have the right to accelerate or defer the delivery of any such payments or benefits except (i) where payment may be made within a certain period of time, the timing of payment within such period will be in the sole discretion of Company, and (ii) to the extent specifically permitted or required by Section 409A. With respect to the time of payments of any amounts under the Agreement that are “deferred compensation” subject to Section 409A, references in the Agreement to “termination of employment” (and substantially similar phrases) shall mean “separation from service” within the meaning of Section 409A. Notwithstanding anything in this Agreement to the contrary, if you are considered a “specified employee” under Section 409A and if payment of any amounts under this Agreement is required to be delayed for a period of six months after separation from service in order to avoid taxation under Section 409A, payment of such amounts shall be delayed as required by Section 409A of the Code, and the accumulated amounts shall be paid in a lump sum payment within five business days after the end of the six-month period. If you die during the postponement period prior to the payment of benefits, the amounts withheld on account of Section 409A of the Code shall be paid to the personal representative of your estate within 60 days after the date of your death. For the avoidance of doubt, it is intended that any expense reimbursement made to you hereunder shall be exempt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Section 409A. Notwithstanding the foregoing, if any expense reimbursement made hereunder shall be determined to be “deferred compensation” within the meaning of Section 409A, then (i) the amount of the expense reimbursement during one taxable year shall not affect the amount of the expense reimbursement during any other taxable year, (ii) the expense reimbursement shall be made on or before the last day of your taxable year following the year in which the expense was incurred and (iii) the right to expense reimbursement hereunder shall not be subject to liquidation or exchange for another benefit. While it is intended that all payments and benefits provided to you will be exempt from or comply with Code Section 409A, the Company makes no representation or covenant to ensure that such payments and benefits are exempt from or compliant with Code Section 409A. The Company will have no liability to you or any other party if a payment or benefit under this Agreement or otherwise is challenged by any taxing authority or is ultimately determined not to be exempt or compliant. You further understand and agree that you will be entirely responsible for any and all taxes imposed on you as a result of this Agreement.</w:t>
      </w:r>
    </w:p>
    <w:p>
      <w:pPr>
        <w:sectPr>
          <w:pgSz w:w="11900" w:h="16838" w:orient="portrait"/>
          <w:cols w:equalWidth="0" w:num="1">
            <w:col w:w="11400"/>
          </w:cols>
          <w:pgMar w:left="240" w:top="121" w:right="259" w:bottom="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This offer of employment is contingent upon:</w:t>
      </w:r>
    </w:p>
    <w:p>
      <w:pPr>
        <w:spacing w:after="0" w:line="225" w:lineRule="exact"/>
        <w:rPr>
          <w:sz w:val="20"/>
          <w:szCs w:val="20"/>
          <w:color w:val="auto"/>
        </w:rPr>
      </w:pPr>
    </w:p>
    <w:p>
      <w:pPr>
        <w:ind w:left="660" w:right="220" w:hanging="328"/>
        <w:spacing w:after="0" w:line="277"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Full compliance with the Immigration Reform and Control Act of 1986 (I9) which requires new employees to provide documentation/identification to establish both identity and work authorization </w:t>
      </w:r>
      <w:r>
        <w:rPr>
          <w:rFonts w:ascii="Arial" w:cs="Arial" w:eastAsia="Arial" w:hAnsi="Arial"/>
          <w:sz w:val="18"/>
          <w:szCs w:val="18"/>
          <w:b w:val="1"/>
          <w:bCs w:val="1"/>
          <w:color w:val="auto"/>
        </w:rPr>
        <w:t>within 3 days of their start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Your agreement that you will not, while employed by the Company and for one (1) year thereafter:</w:t>
      </w:r>
    </w:p>
    <w:p>
      <w:pPr>
        <w:spacing w:after="0" w:line="225" w:lineRule="exact"/>
        <w:rPr>
          <w:sz w:val="20"/>
          <w:szCs w:val="20"/>
          <w:color w:val="auto"/>
        </w:rPr>
      </w:pPr>
    </w:p>
    <w:p>
      <w:pPr>
        <w:ind w:left="660" w:right="220" w:hanging="328"/>
        <w:spacing w:after="0" w:line="272" w:lineRule="auto"/>
        <w:tabs>
          <w:tab w:leader="none" w:pos="65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Work (as an employee, consultant or independent contractor) or own** greater than five percent of the outstanding shares in a publicly traded company or for any entity that competes with the Company’s (a) Internet-based loan origination, (b) Internet-based loan brokerage, (c) Internet-based real estate brokerage services and (d) online lead generation for education, home services and auto products or any other vertical that is a material business of the Company at the time of your termination or in the twelve (12) months preceding your termination. For purposes of the preceding sentence, “material” is defined as over $1 million of an annual revenue run rate (reasonably demonstrated). For the purposes of this restriction, “work” shall mean provide services similar to the services that you performed for the Company. Nothing herein shall prevent you from owning less than five percent (5%) of the outstanding shares of any publicly traded company.</w:t>
      </w:r>
    </w:p>
    <w:p>
      <w:pPr>
        <w:spacing w:after="0" w:line="177" w:lineRule="exact"/>
        <w:rPr>
          <w:rFonts w:ascii="Arial" w:cs="Arial" w:eastAsia="Arial" w:hAnsi="Arial"/>
          <w:sz w:val="17"/>
          <w:szCs w:val="17"/>
          <w:color w:val="auto"/>
        </w:rPr>
      </w:pPr>
    </w:p>
    <w:p>
      <w:pPr>
        <w:ind w:left="980" w:right="2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Solicit customers with whom you have direct business dealing with as part of your work for the Company to be customers of services that are competitive with the services of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Attempt to persuade other Company employees who you supervise or have direct contact with to leave the Company.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non-solicit clauses above (b. and c.) supersede any non-solicit language previously agreed upon in your consulting agreements.</w:t>
      </w:r>
    </w:p>
    <w:p>
      <w:pPr>
        <w:spacing w:after="0" w:line="23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above restrictions are intended to protect important legitimate business interests of the Company and are not meant to prevent you from obtaining future work or earning a living. You understand that if you do not adhere to these restrictions, the Company will have the right to seek enforcement and remedy.</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you choose to accept this offer of employment pursuant to the terms set forth above, please sign below and fax a copy to Talent Acquisition at 949-932-9204. Return the original, signed letter to Talent Acquisition on or before your first day of employment.</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excited to have you as a member of our team and know you will find your new role challenging, exciting and rewarding. Congratulations – and welcome to the team!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Sincerely,</w:t>
            </w:r>
          </w:p>
        </w:tc>
        <w:tc>
          <w:tcPr>
            <w:tcW w:w="2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Claudette Hampton</w:t>
            </w:r>
          </w:p>
        </w:tc>
        <w:tc>
          <w:tcPr>
            <w:tcW w:w="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5620" w:type="dxa"/>
            <w:vAlign w:val="bottom"/>
            <w:gridSpan w:val="3"/>
          </w:tcPr>
          <w:p>
            <w:pPr>
              <w:spacing w:after="0"/>
              <w:rPr>
                <w:sz w:val="20"/>
                <w:szCs w:val="20"/>
                <w:color w:val="auto"/>
              </w:rPr>
            </w:pPr>
            <w:r>
              <w:rPr>
                <w:rFonts w:ascii="Arial" w:cs="Arial" w:eastAsia="Arial" w:hAnsi="Arial"/>
                <w:sz w:val="18"/>
                <w:szCs w:val="18"/>
                <w:color w:val="auto"/>
              </w:rPr>
              <w:t>Claudette Hampton</w:t>
            </w:r>
          </w:p>
        </w:tc>
        <w:tc>
          <w:tcPr>
            <w:tcW w:w="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SVP, Human Resources &amp; Administration</w:t>
            </w:r>
          </w:p>
        </w:tc>
        <w:tc>
          <w:tcPr>
            <w:tcW w:w="2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Agreed and accepted:</w:t>
            </w:r>
          </w:p>
        </w:tc>
        <w:tc>
          <w:tcPr>
            <w:tcW w:w="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/s/ Alexander E. Mandel</w:t>
            </w:r>
          </w:p>
        </w:tc>
        <w:tc>
          <w:tcPr>
            <w:tcW w:w="5800" w:type="dxa"/>
            <w:vAlign w:val="bottom"/>
            <w:gridSpan w:val="2"/>
          </w:tcPr>
          <w:p>
            <w:pPr>
              <w:jc w:val="right"/>
              <w:ind w:right="4590"/>
              <w:spacing w:after="0"/>
              <w:rPr>
                <w:sz w:val="20"/>
                <w:szCs w:val="20"/>
                <w:color w:val="auto"/>
              </w:rPr>
            </w:pPr>
            <w:r>
              <w:rPr>
                <w:rFonts w:ascii="Arial" w:cs="Arial" w:eastAsia="Arial" w:hAnsi="Arial"/>
                <w:sz w:val="18"/>
                <w:szCs w:val="18"/>
                <w:color w:val="auto"/>
              </w:rPr>
              <w:t>7/27/12</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Alexander E. Mandel</w:t>
            </w:r>
          </w:p>
        </w:tc>
        <w:tc>
          <w:tcPr>
            <w:tcW w:w="280" w:type="dxa"/>
            <w:vAlign w:val="bottom"/>
          </w:tcPr>
          <w:p>
            <w:pPr>
              <w:spacing w:after="0"/>
              <w:rPr>
                <w:sz w:val="19"/>
                <w:szCs w:val="19"/>
                <w:color w:val="auto"/>
              </w:rPr>
            </w:pPr>
          </w:p>
        </w:tc>
        <w:tc>
          <w:tcPr>
            <w:tcW w:w="5520" w:type="dxa"/>
            <w:vAlign w:val="bottom"/>
            <w:tcBorders>
              <w:top w:val="single" w:sz="8" w:color="auto"/>
            </w:tcBorders>
          </w:tcPr>
          <w:p>
            <w:pPr>
              <w:jc w:val="right"/>
              <w:ind w:right="5090"/>
              <w:spacing w:after="0"/>
              <w:rPr>
                <w:sz w:val="20"/>
                <w:szCs w:val="20"/>
                <w:color w:val="auto"/>
              </w:rPr>
            </w:pPr>
            <w:r>
              <w:rPr>
                <w:rFonts w:ascii="Arial" w:cs="Arial" w:eastAsia="Arial" w:hAnsi="Arial"/>
                <w:sz w:val="18"/>
                <w:szCs w:val="18"/>
                <w:color w:val="auto"/>
                <w:w w:val="84"/>
              </w:rPr>
              <w:t>Date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4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4" w:name="page35"/>
    <w:bookmarkEnd w:id="34"/>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43330" cy="4546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4333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July 27,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Alexander E. Mandel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Alex:</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This letter is to notify you of a valuable additional benefit for certain employees of Tree.com, Inc.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was recently adopted by the Compensation Committee of our Board of Directors in the event there is a Change of Control at the Company.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Should a Change of Control occur, all Tree.com, Inc. equity issued to you would immediately fully vest. There is no action you need to take – the accelerated vesting would automatically occur upon a Change of Control.</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if there is a Change of Control and you (a) resign for Good Reason or (b) your employment is terminated without Cause and for reasons unrelated to performance (and other than as a result of your death or disability), during the twelve (12) month period following the Change of Control, you will receive a severance payment of two (2) years of base salary. For the purposes of a Change of Control, this severance payment would replace any payment under the Company’s general severance plan or other arrangement to which you would otherwise be entitled. There is no requirement to mitigate this severance payment.</w:t>
      </w:r>
    </w:p>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severance payment described above is contingent upon your signing a general release of claims in favor of the Company and such release of claims becoming irrevocable prior to the date of payment. Such release will contain restrictive covenants (substantially in the form attached) in effect for one year following your termination date including a non-compete provision and restrictions on solicitation of employees and customers.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letter does not create an employment contract or affect the right of the Company to terminate your employment, or change the terms and conditions of such employment, at any time and without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74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Claudette Hampton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Human Resources &amp;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letter, the following definitions apply:</w:t>
      </w:r>
    </w:p>
    <w:p>
      <w:pPr>
        <w:spacing w:after="0" w:line="225" w:lineRule="exact"/>
        <w:rPr>
          <w:sz w:val="20"/>
          <w:szCs w:val="20"/>
          <w:color w:val="auto"/>
        </w:rPr>
      </w:pPr>
    </w:p>
    <w:p>
      <w:pPr>
        <w:ind w:right="40" w:firstLine="5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gross negligence in carrying out your duties for the Company or any breach of fiduciary duties to the Company, conviction of, or plea of guilty or no contest to any felony, any act of fraud or embezzlement, material violation of a Company policy or any unauthorized use or disclosure of confidential information or trade secrets of the Company or its affiliates, or failure to cooperate in any Company investigation. Neither bad judgment nor mere negligence nor an act of omission reasonably believed by you to have been in, or not opposed to, the interests of the Company, shall constitute examples of gross negligence.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results when: (i) any person or entity who is not a controlling shareholder as of the date of this letter becomes a beneficial owner, directly or indirectly, of securities of the Company representing fifty percent or more of the total voting power of all of the Company’s then outstanding voting securities, (ii) a merger or consolidation of the Company in which the Company’s voting securities immediately prior to the merger or consolidation do not represent, or are not converted into securities that represent, a majority of the voting power of all voting securities of the surviving entity immediately after the merger or consolidation, or (iii) a sale of all or substantially all of the assets of the Company or a liquidation or dissolution of the Company. For purposes of defining Change of Control, “Company” refers to Tree.com, Inc. as a whole and does not apply to events only affecting specific businesses or subsidiaries of Tree.com, Inc.</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the occurrence of any of the following without your written consent: (i) a material adverse change in your title, duties, operational authorities or reporting responsibilities from those in effect immediately prior to the Change in Control, excluding for this purpose any such change that is an isolated and inadvertent action not taken in bad faith and that is remedied by the Company promptly after receipt of notice thereof and further excluding a change in your reporting officer due to internal restructuring, realignment, or the resignation, promotion, demotion, or a reorganization of managers within the Company, (ii) a material reduction in your annual base salary, or (iii) a relocation of your principal place of business more than 50 miles from your current office.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Restrictive Covenants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consideration of the compensation and other consideration given to you pursuant to the provisions of this letter, you understand and agree that the purpose of these covenants is to protect legitimate business interests of the Company, and is not intended to eliminate your post-employment competition with the</w:t>
      </w:r>
    </w:p>
    <w:p>
      <w:pPr>
        <w:sectPr>
          <w:pgSz w:w="11900" w:h="16840" w:orient="portrait"/>
          <w:cols w:equalWidth="0" w:num="1">
            <w:col w:w="11420"/>
          </w:cols>
          <w:pgMar w:left="240" w:top="121" w:right="239" w:bottom="0" w:gutter="0" w:footer="0" w:header="0"/>
        </w:sectPr>
      </w:pPr>
    </w:p>
    <w:bookmarkStart w:id="35" w:name="page36"/>
    <w:bookmarkEnd w:id="35"/>
    <w:p>
      <w:pPr>
        <w:ind w:right="40"/>
        <w:spacing w:after="0" w:line="312" w:lineRule="auto"/>
        <w:rPr>
          <w:sz w:val="20"/>
          <w:szCs w:val="20"/>
          <w:color w:val="auto"/>
        </w:rPr>
      </w:pPr>
      <w:r>
        <w:rPr>
          <w:rFonts w:ascii="Arial" w:cs="Arial" w:eastAsia="Arial" w:hAnsi="Arial"/>
          <w:sz w:val="16"/>
          <w:szCs w:val="16"/>
          <w:color w:val="auto"/>
        </w:rPr>
        <w:t>Company per se, nor is it intended to impair or infringe upon your right to work, earn a living, or acquire and possess property from the fruits of your labor. You hereby acknowledge that the post-employment restrictions set forth herein are reasonable and that they do not, and will not, unduly impair your ability to earn a living after the termination of your employment with Company. You shall be subject to and agree to abide by the restrictions set forth in this Section.</w:t>
      </w:r>
    </w:p>
    <w:p>
      <w:pPr>
        <w:spacing w:after="0" w:line="14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capitalized terms shall have the meanings assigned to them below:</w:t>
      </w:r>
    </w:p>
    <w:p>
      <w:pPr>
        <w:spacing w:after="0" w:line="225" w:lineRule="exact"/>
        <w:rPr>
          <w:rFonts w:ascii="Arial" w:cs="Arial" w:eastAsia="Arial" w:hAnsi="Arial"/>
          <w:sz w:val="18"/>
          <w:szCs w:val="18"/>
          <w:color w:val="auto"/>
        </w:rPr>
      </w:pPr>
    </w:p>
    <w:p>
      <w:pPr>
        <w:ind w:left="660" w:right="660" w:firstLine="1228"/>
        <w:spacing w:after="0" w:line="277" w:lineRule="auto"/>
        <w:tabs>
          <w:tab w:leader="none" w:pos="2162"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Competitive Services</w:t>
      </w:r>
      <w:r>
        <w:rPr>
          <w:rFonts w:ascii="Arial" w:cs="Arial" w:eastAsia="Arial" w:hAnsi="Arial"/>
          <w:sz w:val="18"/>
          <w:szCs w:val="18"/>
          <w:color w:val="auto"/>
        </w:rPr>
        <w:t>” means Internet-based loan origination, Internet-based loan brokerage, Internet-based real estate brokerage services, or any other services that Company is engaged in as of the Determination Date.</w:t>
      </w:r>
    </w:p>
    <w:p>
      <w:pPr>
        <w:spacing w:after="0" w:line="170" w:lineRule="exact"/>
        <w:rPr>
          <w:rFonts w:ascii="Arial" w:cs="Arial" w:eastAsia="Arial" w:hAnsi="Arial"/>
          <w:sz w:val="18"/>
          <w:szCs w:val="18"/>
          <w:color w:val="auto"/>
        </w:rPr>
      </w:pPr>
    </w:p>
    <w:p>
      <w:pPr>
        <w:ind w:left="660" w:right="80" w:firstLine="1228"/>
        <w:spacing w:after="0" w:line="277" w:lineRule="auto"/>
        <w:tabs>
          <w:tab w:leader="none" w:pos="2172" w:val="left"/>
        </w:tabs>
        <w:numPr>
          <w:ilvl w:val="1"/>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“Determination Date</w:t>
      </w:r>
      <w:r>
        <w:rPr>
          <w:rFonts w:ascii="Arial" w:cs="Arial" w:eastAsia="Arial" w:hAnsi="Arial"/>
          <w:sz w:val="18"/>
          <w:szCs w:val="18"/>
          <w:color w:val="auto"/>
        </w:rPr>
        <w:t>” means the date of termination of your employment with the Company for any reason whatsoever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earlier date (during your employment) of an alleged breach of the Restrictive Covenants by you.</w:t>
      </w:r>
    </w:p>
    <w:p>
      <w:pPr>
        <w:spacing w:after="0" w:line="170" w:lineRule="exact"/>
        <w:rPr>
          <w:rFonts w:ascii="Arial" w:cs="Arial" w:eastAsia="Arial" w:hAnsi="Arial"/>
          <w:sz w:val="18"/>
          <w:szCs w:val="18"/>
          <w:color w:val="auto"/>
        </w:rPr>
      </w:pPr>
    </w:p>
    <w:p>
      <w:pPr>
        <w:ind w:left="2180" w:hanging="292"/>
        <w:spacing w:after="0"/>
        <w:tabs>
          <w:tab w:leader="none" w:pos="2180" w:val="left"/>
        </w:tabs>
        <w:numPr>
          <w:ilvl w:val="1"/>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or any corporation, partnership, joint venture, limited liability company, association or other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entity or enterprise.</w:t>
      </w:r>
    </w:p>
    <w:p>
      <w:pPr>
        <w:spacing w:after="0" w:line="210" w:lineRule="exact"/>
        <w:rPr>
          <w:rFonts w:ascii="Arial" w:cs="Arial" w:eastAsia="Arial" w:hAnsi="Arial"/>
          <w:sz w:val="17"/>
          <w:szCs w:val="17"/>
          <w:color w:val="auto"/>
        </w:rPr>
      </w:pPr>
    </w:p>
    <w:p>
      <w:pPr>
        <w:ind w:left="660" w:right="20" w:firstLine="1228"/>
        <w:spacing w:after="0" w:line="277" w:lineRule="auto"/>
        <w:tabs>
          <w:tab w:leader="none" w:pos="21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Or Representative</w:t>
      </w:r>
      <w:r>
        <w:rPr>
          <w:rFonts w:ascii="Arial" w:cs="Arial" w:eastAsia="Arial" w:hAnsi="Arial"/>
          <w:sz w:val="18"/>
          <w:szCs w:val="18"/>
          <w:color w:val="auto"/>
        </w:rPr>
        <w:t>” means a principal, owner, partner, shareholder, joint venturer, investor, member, trustee, director, officer, manager, employee, agent, representative or consultant.</w:t>
      </w:r>
    </w:p>
    <w:p>
      <w:pPr>
        <w:spacing w:after="0" w:line="170" w:lineRule="exact"/>
        <w:rPr>
          <w:rFonts w:ascii="Arial" w:cs="Arial" w:eastAsia="Arial" w:hAnsi="Arial"/>
          <w:sz w:val="18"/>
          <w:szCs w:val="18"/>
          <w:color w:val="auto"/>
        </w:rPr>
      </w:pPr>
    </w:p>
    <w:p>
      <w:pPr>
        <w:ind w:left="660" w:right="120" w:firstLine="1228"/>
        <w:spacing w:after="0" w:line="312" w:lineRule="auto"/>
        <w:tabs>
          <w:tab w:leader="none" w:pos="2136"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Protected Customers</w:t>
      </w:r>
      <w:r>
        <w:rPr>
          <w:rFonts w:ascii="Arial" w:cs="Arial" w:eastAsia="Arial" w:hAnsi="Arial"/>
          <w:sz w:val="16"/>
          <w:szCs w:val="16"/>
          <w:color w:val="auto"/>
        </w:rPr>
        <w:t>” means any Person to whom the Company has sold its services or solicited to sell its services during the twelve (12) months prior to the Determination Date; provided, however, that Protected Customer shall not include any Person with which you can reasonably demonstrate that you had a pre-existing professional relationship prior to the commencement of your employment with the Company.</w:t>
      </w:r>
    </w:p>
    <w:p>
      <w:pPr>
        <w:spacing w:after="0" w:line="146" w:lineRule="exact"/>
        <w:rPr>
          <w:rFonts w:ascii="Arial" w:cs="Arial" w:eastAsia="Arial" w:hAnsi="Arial"/>
          <w:sz w:val="16"/>
          <w:szCs w:val="16"/>
          <w:color w:val="auto"/>
        </w:rPr>
      </w:pPr>
    </w:p>
    <w:p>
      <w:pPr>
        <w:ind w:left="660" w:right="100" w:firstLine="1228"/>
        <w:spacing w:after="0" w:line="264" w:lineRule="auto"/>
        <w:tabs>
          <w:tab w:leader="none" w:pos="21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Protected Employees</w:t>
      </w:r>
      <w:r>
        <w:rPr>
          <w:rFonts w:ascii="Arial" w:cs="Arial" w:eastAsia="Arial" w:hAnsi="Arial"/>
          <w:sz w:val="18"/>
          <w:szCs w:val="18"/>
          <w:color w:val="auto"/>
        </w:rPr>
        <w:t>” means employees of the Company who were employed by the Company at any time within six months prior to the Determination Date and with whom you had direct, personal and continuing dealings on behalf of the Company or whom you directly supervised.</w:t>
      </w:r>
    </w:p>
    <w:p>
      <w:pPr>
        <w:spacing w:after="0" w:line="181" w:lineRule="exact"/>
        <w:rPr>
          <w:rFonts w:ascii="Arial" w:cs="Arial" w:eastAsia="Arial" w:hAnsi="Arial"/>
          <w:sz w:val="18"/>
          <w:szCs w:val="18"/>
          <w:color w:val="auto"/>
        </w:rPr>
      </w:pPr>
    </w:p>
    <w:p>
      <w:pPr>
        <w:ind w:left="660" w:right="20" w:firstLine="1228"/>
        <w:spacing w:after="0" w:line="277" w:lineRule="auto"/>
        <w:tabs>
          <w:tab w:leader="none" w:pos="2167"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means the period of your employment with Company and a period extending one year from the termination of your employment with Company.</w:t>
      </w:r>
    </w:p>
    <w:p>
      <w:pPr>
        <w:spacing w:after="0" w:line="170" w:lineRule="exact"/>
        <w:rPr>
          <w:rFonts w:ascii="Arial" w:cs="Arial" w:eastAsia="Arial" w:hAnsi="Arial"/>
          <w:sz w:val="18"/>
          <w:szCs w:val="18"/>
          <w:color w:val="auto"/>
        </w:rPr>
      </w:pPr>
    </w:p>
    <w:p>
      <w:pPr>
        <w:ind w:left="660" w:right="60" w:hanging="328"/>
        <w:spacing w:after="0" w:line="30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Non-solicitation of Protected Employees</w:t>
      </w:r>
      <w:r>
        <w:rPr>
          <w:rFonts w:ascii="Arial" w:cs="Arial" w:eastAsia="Arial" w:hAnsi="Arial"/>
          <w:sz w:val="16"/>
          <w:szCs w:val="16"/>
          <w:color w:val="auto"/>
        </w:rPr>
        <w:t>. You understand and agree that the relationship between the Company and each of its Protected Employees constitutes a valuable asset of the Company and may not be converted to your own use. Accordingly, you hereby agree that during the Restricted Period you shall not directly or indirectly on your own behalf or as a Principal or Representative of any Person or otherwise solicit or induce any Protected Employee to terminate his or her employment relationship with the Company or to enter into employment with any other Person.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line="29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Restriction on Relationships with Protected Customers</w:t>
      </w:r>
      <w:r>
        <w:rPr>
          <w:rFonts w:ascii="Arial" w:cs="Arial" w:eastAsia="Arial" w:hAnsi="Arial"/>
          <w:sz w:val="16"/>
          <w:szCs w:val="16"/>
          <w:color w:val="auto"/>
        </w:rPr>
        <w:t>. You understand and agree that the relationship between the Company and each of its Protected Customers constitutes a valuable asset of the Company and may not be converted to your own use. Accordingly, you hereby agree that, during the Restricted Period, you shall not, without the prior written consent of the Company, directly or indirectly, on your own behalf or as a Principal or Representative of any Person, solicit, divert, take away or attempt to solicit, divert or take away a Protected Customer for the purpose of providing or selling Competitive Services; provided, however, that the prohibition of this covenant shall apply only to Protected Customers with whom you had Material Contact on the Company’s behalf during the twelve (12) months immediately preceding the Determination Date. For purposes of this Section, you had “</w:t>
      </w:r>
      <w:r>
        <w:rPr>
          <w:rFonts w:ascii="Arial" w:cs="Arial" w:eastAsia="Arial" w:hAnsi="Arial"/>
          <w:sz w:val="16"/>
          <w:szCs w:val="16"/>
          <w:b w:val="1"/>
          <w:bCs w:val="1"/>
          <w:i w:val="1"/>
          <w:iCs w:val="1"/>
          <w:color w:val="auto"/>
        </w:rPr>
        <w:t>Material Contact</w:t>
      </w:r>
      <w:r>
        <w:rPr>
          <w:rFonts w:ascii="Arial" w:cs="Arial" w:eastAsia="Arial" w:hAnsi="Arial"/>
          <w:sz w:val="16"/>
          <w:szCs w:val="16"/>
          <w:color w:val="auto"/>
        </w:rPr>
        <w:t>” with a Protected Customer if (a) you had direct business dealings with the Protected Customer on the Company’s behalf or (b) you were responsible for supervising or coordinating the dealings between the Company and the Protected Customer.</w:t>
      </w:r>
    </w:p>
    <w:p>
      <w:pPr>
        <w:spacing w:after="0" w:line="166" w:lineRule="exact"/>
        <w:rPr>
          <w:rFonts w:ascii="Arial" w:cs="Arial" w:eastAsia="Arial" w:hAnsi="Arial"/>
          <w:sz w:val="16"/>
          <w:szCs w:val="16"/>
          <w:color w:val="auto"/>
        </w:rPr>
      </w:pPr>
    </w:p>
    <w:p>
      <w:pPr>
        <w:ind w:left="660" w:right="10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 xml:space="preserve"> You agree and covenant that during the Restrictive Period you will not, without Company’s prior written consent, which may be granted or withheld in the sole discretion of the Company, directly or indirectly, (i) for yourself; (ii) as a consultant, manager, supervisor, employee or owner; or (iii) as an independent contractor, engage in activities related to Competitive Services for any Person which markets, sells or otherwise provides Competitive Services in the geographical areas in which the Company does business;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ownership by you of not more than five percent (5%) of the shares of any publicly traded class of stock of any corporation shall not be deemed, in and of itself, to violate the foregoing prohibitions.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ENFORCEMENT OF RESTRICTED COVENANTS.</w:t>
      </w:r>
    </w:p>
    <w:p>
      <w:pPr>
        <w:spacing w:after="0" w:line="225" w:lineRule="exact"/>
        <w:rPr>
          <w:rFonts w:ascii="Arial" w:cs="Arial" w:eastAsia="Arial" w:hAnsi="Arial"/>
          <w:sz w:val="18"/>
          <w:szCs w:val="18"/>
          <w:color w:val="auto"/>
        </w:rPr>
      </w:pPr>
    </w:p>
    <w:p>
      <w:pPr>
        <w:ind w:left="960" w:hanging="265"/>
        <w:spacing w:after="0" w:line="255" w:lineRule="auto"/>
        <w:tabs>
          <w:tab w:leader="none" w:pos="971"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Rights and Remedies upon Breach</w:t>
      </w:r>
      <w:r>
        <w:rPr>
          <w:rFonts w:ascii="Arial" w:cs="Arial" w:eastAsia="Arial" w:hAnsi="Arial"/>
          <w:sz w:val="18"/>
          <w:szCs w:val="18"/>
          <w:color w:val="auto"/>
        </w:rPr>
        <w:t>. In the event you breach, or threaten to commit a breach of, any of the provisions of the Restrictive Covenants, the Company shall have the right and remedy to enjoin, preliminarily and permanently, you from violating or threatening to violate the Restrictive Covenants and to have the Restrictive Covenants specifically enforced by any court of competent jurisdiction, it being agreed that any breach or threatened breach of the Restrictive Covenants would cause irreparable injury to the Company and that money damages would not provide an adequate remedy to the Company. Such right and remedy shall be in addition to, and not in lieu of, any other rights and remedies available to the Company at law or in equity. In addition, the Restricted Period shall be extended for the period of any such breach or threatened breach.</w:t>
      </w:r>
    </w:p>
    <w:p>
      <w:pPr>
        <w:spacing w:after="0" w:line="189" w:lineRule="exact"/>
        <w:rPr>
          <w:rFonts w:ascii="Arial" w:cs="Arial" w:eastAsia="Arial" w:hAnsi="Arial"/>
          <w:sz w:val="18"/>
          <w:szCs w:val="18"/>
          <w:color w:val="auto"/>
        </w:rPr>
      </w:pPr>
    </w:p>
    <w:p>
      <w:pPr>
        <w:ind w:left="960" w:hanging="265"/>
        <w:spacing w:after="0" w:line="273" w:lineRule="auto"/>
        <w:tabs>
          <w:tab w:leader="none" w:pos="981"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Severability of Covenants</w:t>
      </w:r>
      <w:r>
        <w:rPr>
          <w:rFonts w:ascii="Arial" w:cs="Arial" w:eastAsia="Arial" w:hAnsi="Arial"/>
          <w:sz w:val="17"/>
          <w:szCs w:val="17"/>
          <w:color w:val="auto"/>
        </w:rPr>
        <w:t>. You acknowledge and agree that the Restrictive Covenants are reasonable and valid in time and scope and in all other respects. The covenants set forth in this Section shall be considered and construed as separate and independent covenants. Should any part or provision of any covenant be held invalid, void or unenforceable in any court of competent jurisdiction, such invalidity, voidness or unenforceability shall not render invalid, void or unenforceable any other part or provision contained herein. If any portion of the foregoing provisions is found to be invalid or unenforceable by a court of competent jurisdiction because its duration, the territory, the definition of activities or the definition of information covered is considered to be invalid or unreasonable in scope, the</w:t>
      </w:r>
    </w:p>
    <w:p>
      <w:pPr>
        <w:sectPr>
          <w:pgSz w:w="11900" w:h="16838" w:orient="portrait"/>
          <w:cols w:equalWidth="0" w:num="1">
            <w:col w:w="11400"/>
          </w:cols>
          <w:pgMar w:left="240" w:top="125" w:right="259" w:bottom="111"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11" w:gutter="0" w:footer="0" w:header="0"/>
          <w:type w:val="continuous"/>
        </w:sectPr>
      </w:pPr>
    </w:p>
    <w:bookmarkStart w:id="36" w:name="page37"/>
    <w:bookmarkEnd w:id="36"/>
    <w:p>
      <w:pPr>
        <w:ind w:left="648" w:right="80"/>
        <w:spacing w:after="0" w:line="264" w:lineRule="auto"/>
        <w:rPr>
          <w:sz w:val="20"/>
          <w:szCs w:val="20"/>
          <w:color w:val="auto"/>
        </w:rPr>
      </w:pPr>
      <w:r>
        <w:rPr>
          <w:rFonts w:ascii="Arial" w:cs="Arial" w:eastAsia="Arial" w:hAnsi="Arial"/>
          <w:sz w:val="18"/>
          <w:szCs w:val="18"/>
          <w:color w:val="auto"/>
        </w:rPr>
        <w:t>invalid or unreasonable term shall be redefined, or a new enforceable term provided, such that the intent of the Company and you in agreeing to the provisions of this Agreement will not be impaired and the provision in question shall be enforceable to the fullest extent of the applicable laws.</w:t>
      </w:r>
    </w:p>
    <w:p>
      <w:pPr>
        <w:spacing w:after="0" w:line="181" w:lineRule="exact"/>
        <w:rPr>
          <w:sz w:val="20"/>
          <w:szCs w:val="20"/>
          <w:color w:val="auto"/>
        </w:rPr>
      </w:pPr>
    </w:p>
    <w:p>
      <w:pPr>
        <w:ind w:left="328" w:hanging="328"/>
        <w:spacing w:after="0" w:line="271" w:lineRule="auto"/>
        <w:tabs>
          <w:tab w:leader="none" w:pos="32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You agree to keep secret and retain in strictest confidence, and shall not use for the benefit of yourself or others or disclose to others, any confidential and proprietary information of the Company, including but not limited to information and materials relating to the internal operations of the Company, its processes and procedures, trade “know-how”, sales, marketing and distribution methods and strategies, suppliers, customers, prospective customers, services, terms of contracts, pricing policies, business plans, research and development projects and any and all other business affairs of the Company (collectively,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Confidential Information</w:t>
      </w:r>
      <w:r>
        <w:rPr>
          <w:rFonts w:ascii="Arial" w:cs="Arial" w:eastAsia="Arial" w:hAnsi="Arial"/>
          <w:sz w:val="17"/>
          <w:szCs w:val="17"/>
          <w:b w:val="1"/>
          <w:bCs w:val="1"/>
          <w:color w:val="auto"/>
        </w:rPr>
        <w:t>”</w:t>
      </w:r>
      <w:r>
        <w:rPr>
          <w:rFonts w:ascii="Arial" w:cs="Arial" w:eastAsia="Arial" w:hAnsi="Arial"/>
          <w:sz w:val="17"/>
          <w:szCs w:val="17"/>
          <w:color w:val="auto"/>
        </w:rPr>
        <w:t>). Confidential Information does not include any information or material generally available to the public. You agree that the existence of and the terms and provisions of this Agreement shall remain and be kept strictly confidential. This confidentiality provision applies to and expressly prohibits all communications to any person or entity, including, without limitation, communications to any present, former or future Company employee.</w:t>
      </w:r>
    </w:p>
    <w:p>
      <w:pPr>
        <w:spacing w:after="0" w:line="17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8"/>
          </w:cols>
          <w:pgMar w:left="572" w:top="34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2012 of Tree.com,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2012</w:t>
      </w:r>
    </w:p>
    <w:p>
      <w:pPr>
        <w:spacing w:after="0" w:line="22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DOUGLAS R. LEBDA</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Alexander Mandel,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2012 of Tree.com,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2012</w:t>
      </w:r>
    </w:p>
    <w:p>
      <w:pPr>
        <w:spacing w:after="0" w:line="22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ALEXANDER MANDEL</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70" w:lineRule="exact"/>
        <w:rPr>
          <w:sz w:val="20"/>
          <w:szCs w:val="20"/>
          <w:color w:val="auto"/>
        </w:rPr>
      </w:pPr>
    </w:p>
    <w:p>
      <w:pPr>
        <w:ind w:left="1300" w:right="220" w:hanging="644"/>
        <w:spacing w:after="0" w:line="264" w:lineRule="auto"/>
        <w:tabs>
          <w:tab w:leader="none" w:pos="1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September 30, 2012 of Tree.com, Inc. (the “Report”) which this statement accompanies fully complies with the requirements of Section 13(a) or 15(d) of the Securities Exchange Act of 1934 (15 U.S.C. 78m or 78o(d)); and</w:t>
      </w:r>
    </w:p>
    <w:p>
      <w:pPr>
        <w:spacing w:after="0" w:line="181" w:lineRule="exact"/>
        <w:rPr>
          <w:rFonts w:ascii="Arial" w:cs="Arial" w:eastAsia="Arial" w:hAnsi="Arial"/>
          <w:sz w:val="18"/>
          <w:szCs w:val="18"/>
          <w:color w:val="auto"/>
        </w:rPr>
      </w:pPr>
    </w:p>
    <w:p>
      <w:pPr>
        <w:ind w:left="1300" w:right="800" w:hanging="644"/>
        <w:spacing w:after="0" w:line="277" w:lineRule="auto"/>
        <w:tabs>
          <w:tab w:leader="none" w:pos="1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Tree.com,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14, 2012</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DOUGLAS R. LEBDA</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0"/>
              </w:rPr>
              <w:t>Douglas R. Lebda</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0" w:name="page41"/>
    <w:bookmarkEnd w:id="40"/>
    <w:p>
      <w:pPr>
        <w:ind w:left="1048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 Alexander Mandel, certify, pursuant to 18 U.S.C. Section 1350, as adopted pursuant to Section 906 of the Sarbanes-Oxley Act of 2002, that to my knowledge:</w:t>
      </w:r>
    </w:p>
    <w:p>
      <w:pPr>
        <w:spacing w:after="0" w:line="170" w:lineRule="exact"/>
        <w:rPr>
          <w:sz w:val="20"/>
          <w:szCs w:val="20"/>
          <w:color w:val="auto"/>
        </w:rPr>
      </w:pPr>
    </w:p>
    <w:p>
      <w:pPr>
        <w:ind w:left="1300" w:right="220" w:hanging="644"/>
        <w:spacing w:after="0" w:line="264" w:lineRule="auto"/>
        <w:tabs>
          <w:tab w:leader="none" w:pos="13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September 30, 2012 of Tree.com, Inc. (the “Report”) which this statement accompanies fully complies with the requirements of Section 13(a) or 15(d) of the Securities Exchange Act of 1934 (15 U.S.C. 78m or 78o(d)); and</w:t>
      </w:r>
    </w:p>
    <w:p>
      <w:pPr>
        <w:spacing w:after="0" w:line="181" w:lineRule="exact"/>
        <w:rPr>
          <w:rFonts w:ascii="Arial" w:cs="Arial" w:eastAsia="Arial" w:hAnsi="Arial"/>
          <w:sz w:val="18"/>
          <w:szCs w:val="18"/>
          <w:color w:val="auto"/>
        </w:rPr>
      </w:pPr>
    </w:p>
    <w:p>
      <w:pPr>
        <w:ind w:left="1300" w:right="800" w:hanging="644"/>
        <w:spacing w:after="0" w:line="277" w:lineRule="auto"/>
        <w:tabs>
          <w:tab w:leader="none" w:pos="13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Tree.com,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14, 2012</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ALEXANDER MANDEL</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Alexander Mandel</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5"/>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lvl w:ilvl="1">
      <w:lvlJc w:val="left"/>
      <w:lvlText w:val="%2."/>
      <w:numFmt w:val="lowerLetter"/>
      <w:start w:val="2"/>
    </w:lvl>
  </w:abstractNum>
  <w:abstractNum w:abstractNumId="16">
    <w:nsid w:val="436C6125"/>
    <w:multiLevelType w:val="hybridMultilevel"/>
    <w:lvl w:ilvl="0">
      <w:lvlJc w:val="left"/>
      <w:lvlText w:val="%1."/>
      <w:numFmt w:val="lowerLetter"/>
      <w:start w:val="4"/>
    </w:lvl>
  </w:abstractNum>
  <w:abstractNum w:abstractNumId="17">
    <w:nsid w:val="628C895D"/>
    <w:multiLevelType w:val="hybridMultilevel"/>
    <w:lvl w:ilvl="0">
      <w:lvlJc w:val="left"/>
      <w:lvlText w:val="%1."/>
      <w:numFmt w:val="decimal"/>
      <w:start w:val="1"/>
    </w:lvl>
    <w:lvl w:ilvl="1">
      <w:lvlJc w:val="left"/>
      <w:lvlText w:val="%2."/>
      <w:numFmt w:val="lowerRoman"/>
      <w:start w:val="1"/>
    </w:lvl>
  </w:abstractNum>
  <w:abstractNum w:abstractNumId="18">
    <w:nsid w:val="333AB105"/>
    <w:multiLevelType w:val="hybridMultilevel"/>
    <w:lvl w:ilvl="0">
      <w:lvlJc w:val="left"/>
      <w:lvlText w:val="%1."/>
      <w:numFmt w:val="decimal"/>
      <w:start w:val="3"/>
    </w:lvl>
    <w:lvl w:ilvl="1">
      <w:lvlJc w:val="left"/>
      <w:lvlText w:val="%2."/>
      <w:numFmt w:val="lowerRoman"/>
      <w:start w:val="1"/>
    </w:lvl>
  </w:abstractNum>
  <w:abstractNum w:abstractNumId="19">
    <w:nsid w:val="721DA317"/>
    <w:multiLevelType w:val="hybridMultilevel"/>
    <w:lvl w:ilvl="0">
      <w:lvlJc w:val="left"/>
      <w:lvlText w:val="%1."/>
      <w:numFmt w:val="decimal"/>
      <w:start w:val="6"/>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2019-12-09T19:13:05Z</dcterms:created>
  <dcterms:modified xsi:type="dcterms:W3CDTF">2019-12-09T19:13:05Z</dcterms:modified>
</cp:coreProperties>
</file>