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006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006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-207645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186055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20" w:hanging="554"/>
        <w:spacing w:after="0"/>
        <w:tabs>
          <w:tab w:leader="none" w:pos="9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73" w:lineRule="exact"/>
        <w:rPr>
          <w:rFonts w:ascii="MS PGothic" w:cs="MS PGothic" w:eastAsia="MS PGothic" w:hAnsi="MS PGothic"/>
          <w:sz w:val="19"/>
          <w:szCs w:val="19"/>
          <w:color w:val="auto"/>
        </w:rPr>
      </w:pPr>
    </w:p>
    <w:p>
      <w:pPr>
        <w:ind w:left="370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Quarterly Period Ended September 30, 2016</w:t>
      </w:r>
    </w:p>
    <w:p>
      <w:pPr>
        <w:spacing w:after="0" w:line="15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920" w:right="1180" w:hanging="520"/>
        <w:spacing w:after="0" w:line="243" w:lineRule="auto"/>
        <w:tabs>
          <w:tab w:leader="none" w:pos="92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 w:lineRule="exact"/>
        <w:rPr>
          <w:sz w:val="24"/>
          <w:szCs w:val="24"/>
          <w:color w:val="auto"/>
        </w:rPr>
      </w:pPr>
    </w:p>
    <w:p>
      <w:pPr>
        <w:ind w:left="360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102870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334645</wp:posOffset>
            </wp:positionV>
            <wp:extent cx="126936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936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380"/>
        <w:spacing w:after="0"/>
        <w:rPr>
          <w:sz w:val="20"/>
          <w:szCs w:val="20"/>
          <w:color w:val="auto"/>
        </w:rPr>
      </w:pPr>
      <w:r>
        <w:rPr>
          <w:rFonts w:ascii="Arial" w:cs="Arial" w:eastAsia="Arial" w:hAnsi="Arial"/>
          <w:sz w:val="17"/>
          <w:szCs w:val="17"/>
          <w:color w:val="auto"/>
        </w:rPr>
        <w:t>Identification No.)</w:t>
      </w:r>
    </w:p>
    <w:p>
      <w:pPr>
        <w:spacing w:after="0" w:line="137"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91440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8" w:lineRule="exact"/>
        <w:rPr>
          <w:sz w:val="24"/>
          <w:szCs w:val="24"/>
          <w:color w:val="auto"/>
        </w:rPr>
      </w:pPr>
    </w:p>
    <w:p>
      <w:pPr>
        <w:jc w:val="both"/>
        <w:ind w:firstLine="21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1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16"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spacing w:after="0" w:line="50"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2" w:lineRule="exact"/>
        <w:rPr>
          <w:sz w:val="24"/>
          <w:szCs w:val="24"/>
          <w:color w:val="auto"/>
        </w:rPr>
      </w:pPr>
    </w:p>
    <w:p>
      <w:pPr>
        <w:sectPr>
          <w:pgSz w:w="11900" w:h="16838" w:orient="portrait"/>
          <w:cols w:equalWidth="0" w:num="2">
            <w:col w:w="6600" w:space="720"/>
            <w:col w:w="410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256"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October 24, 2016, there were 11,789,606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006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65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006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21">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29">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29">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30">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0">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0">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EE"/>
              </w:rPr>
            </w:pPr>
            <w:hyperlink w:anchor="page31">
              <w:r>
                <w:rPr>
                  <w:rFonts w:ascii="Arial" w:cs="Arial" w:eastAsia="Arial" w:hAnsi="Arial"/>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Arial" w:cs="Arial" w:eastAsia="Arial" w:hAnsi="Arial"/>
                <w:sz w:val="18"/>
                <w:szCs w:val="18"/>
                <w:b w:val="1"/>
                <w:bCs w:val="1"/>
                <w:i w:val="1"/>
                <w:iCs w:val="1"/>
                <w:color w:val="0000FF"/>
              </w:rPr>
            </w:pPr>
            <w:hyperlink w:anchor="page31">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08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2015</w:t>
            </w:r>
          </w:p>
        </w:tc>
      </w:tr>
      <w:tr>
        <w:trPr>
          <w:trHeight w:val="147"/>
        </w:trPr>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80" w:type="dxa"/>
            <w:vAlign w:val="bottom"/>
            <w:gridSpan w:val="4"/>
          </w:tcPr>
          <w:p>
            <w:pPr>
              <w:jc w:val="right"/>
              <w:ind w:right="332"/>
              <w:spacing w:after="0" w:line="148" w:lineRule="exact"/>
              <w:rPr>
                <w:sz w:val="20"/>
                <w:szCs w:val="20"/>
                <w:color w:val="auto"/>
              </w:rPr>
            </w:pPr>
            <w:r>
              <w:rPr>
                <w:rFonts w:ascii="Arial" w:cs="Arial" w:eastAsia="Arial" w:hAnsi="Arial"/>
                <w:sz w:val="13"/>
                <w:szCs w:val="13"/>
                <w:b w:val="1"/>
                <w:bCs w:val="1"/>
                <w:i w:val="1"/>
                <w:iCs w:val="1"/>
                <w:color w:val="auto"/>
                <w:w w:val="88"/>
              </w:rPr>
              <w:t>(in thousands, except per share</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8"/>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3"/>
                <w:szCs w:val="13"/>
                <w:b w:val="1"/>
                <w:bCs w:val="1"/>
                <w:i w:val="1"/>
                <w:iCs w:val="1"/>
                <w:color w:val="auto"/>
              </w:rPr>
              <w:t>amounts)</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58"/>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94,558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69,804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283,561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175,875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3,392</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10,329</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62,819</w:t>
            </w: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48,901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192,416</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118,615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9,008</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26,820</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3,718</w:t>
            </w: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11,384</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7,238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1,286</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3,458</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263</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80,408</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62,031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244,851</w:t>
            </w:r>
          </w:p>
        </w:tc>
        <w:tc>
          <w:tcPr>
            <w:tcW w:w="4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155,609</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14,150</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7,773</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38,710</w:t>
            </w:r>
          </w:p>
        </w:tc>
        <w:tc>
          <w:tcPr>
            <w:tcW w:w="4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20,266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(424)</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14,009</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7,772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38,286</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20,203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(6,729)</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(15,099)</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7,280</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23,187</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19,235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(3,017)</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(3,238)</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6,616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6,088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20,170</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15,997</w:t>
            </w:r>
          </w:p>
        </w:tc>
      </w:tr>
      <w:tr>
        <w:trPr>
          <w:trHeight w:val="270"/>
        </w:trPr>
        <w:tc>
          <w:tcPr>
            <w:tcW w:w="65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11,754</w:t>
            </w: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11,445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11,827</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11,378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12,742</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12,782</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0.62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0.57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1.81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(0.26)</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0.52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1.58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3"/>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147"/>
        </w:trPr>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3"/>
          </w:tcPr>
          <w:p>
            <w:pPr>
              <w:jc w:val="right"/>
              <w:ind w:right="131"/>
              <w:spacing w:after="0" w:line="148" w:lineRule="exact"/>
              <w:rPr>
                <w:sz w:val="20"/>
                <w:szCs w:val="20"/>
                <w:color w:val="auto"/>
              </w:rPr>
            </w:pPr>
            <w:r>
              <w:rPr>
                <w:rFonts w:ascii="Arial" w:cs="Arial" w:eastAsia="Arial" w:hAnsi="Arial"/>
                <w:sz w:val="13"/>
                <w:szCs w:val="13"/>
                <w:b w:val="1"/>
                <w:bCs w:val="1"/>
                <w:i w:val="1"/>
                <w:iCs w:val="1"/>
                <w:color w:val="auto"/>
                <w:w w:val="86"/>
              </w:rPr>
              <w:t>(in thousands, except par value and share</w:t>
            </w:r>
          </w:p>
        </w:tc>
      </w:tr>
      <w:tr>
        <w:trPr>
          <w:trHeight w:val="168"/>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3"/>
          </w:tcPr>
          <w:p>
            <w:pPr>
              <w:jc w:val="right"/>
              <w:ind w:right="971"/>
              <w:spacing w:after="0"/>
              <w:rPr>
                <w:sz w:val="20"/>
                <w:szCs w:val="20"/>
                <w:color w:val="auto"/>
              </w:rPr>
            </w:pPr>
            <w:r>
              <w:rPr>
                <w:rFonts w:ascii="Arial" w:cs="Arial" w:eastAsia="Arial" w:hAnsi="Arial"/>
                <w:sz w:val="13"/>
                <w:szCs w:val="13"/>
                <w:b w:val="1"/>
                <w:bCs w:val="1"/>
                <w:i w:val="1"/>
                <w:iCs w:val="1"/>
                <w:color w:val="auto"/>
              </w:rPr>
              <w:t>amounts)</w:t>
            </w:r>
          </w:p>
        </w:tc>
      </w:tr>
      <w:tr>
        <w:trPr>
          <w:trHeight w:val="25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176,925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206,975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4,091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$1,026 and $606, respectively)</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38,185</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29,873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3,925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223,126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245,584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13,399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9,415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4,007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15,229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10,992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16,341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1,039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4,142</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4,142</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277,099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295,781</w:t>
            </w:r>
          </w:p>
        </w:tc>
      </w:tr>
      <w:tr>
        <w:trPr>
          <w:trHeight w:val="34"/>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37,719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34,885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14)</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11,978</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13,401</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52,512</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54,027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1,753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54,292</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54,639</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12)</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$.01 par value; 50,000,000 shares authorized; 13,953,351 and 13,865,620 shares issued, respectively,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11,789,606 and 12,392,093 shares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1,016,706</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1,006,688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(729,954)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(750,124)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Treasury stock 2,163,745 and 1,473,527 shares, respectively</w:t>
            </w: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(64,085)</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(15,561)</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222,807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241,142</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277,099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295,781</w:t>
            </w:r>
          </w:p>
        </w:tc>
      </w:tr>
      <w:tr>
        <w:trPr>
          <w:trHeight w:val="34"/>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197"/>
              <w:spacing w:after="0" w:line="13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1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02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Deficit</w:t>
            </w: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i w:val="1"/>
                <w:iCs w:val="1"/>
                <w:color w:val="auto"/>
                <w:w w:val="89"/>
              </w:rPr>
              <w:t>(in thousands)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241,142</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13,866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1,006,688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(750,124)</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(15,561)</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9"/>
              </w:rPr>
              <w:t>Net income and comprehensive income</w:t>
            </w:r>
          </w:p>
        </w:tc>
        <w:tc>
          <w:tcPr>
            <w:tcW w:w="22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20,170</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20,170</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7,410</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7,410</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(48,524)</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(48,524)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for stock</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restricted stock awards and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restricted stock units, net of withholding</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(3,092)</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Tax benefit from stock-based award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activity</w:t>
            </w:r>
          </w:p>
        </w:tc>
        <w:tc>
          <w:tcPr>
            <w:tcW w:w="22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5,701</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5,701</w:t>
            </w:r>
          </w:p>
        </w:tc>
        <w:tc>
          <w:tcPr>
            <w:tcW w:w="20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September 30, 2016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222,807</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13,953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1,016,706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(729,954)</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(64,085)</w:t>
            </w:r>
          </w:p>
        </w:tc>
        <w:tc>
          <w:tcPr>
            <w:tcW w:w="0" w:type="dxa"/>
            <w:vAlign w:val="bottom"/>
          </w:tcPr>
          <w:p>
            <w:pPr>
              <w:spacing w:after="0"/>
              <w:rPr>
                <w:sz w:val="1"/>
                <w:szCs w:val="1"/>
                <w:color w:val="auto"/>
              </w:rPr>
            </w:pPr>
          </w:p>
        </w:tc>
      </w:tr>
      <w:tr>
        <w:trPr>
          <w:trHeight w:val="27"/>
        </w:trPr>
        <w:tc>
          <w:tcPr>
            <w:tcW w:w="3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80" w:type="dxa"/>
            <w:vAlign w:val="bottom"/>
            <w:gridSpan w:val="3"/>
          </w:tcPr>
          <w:p>
            <w:pPr>
              <w:jc w:val="right"/>
              <w:ind w:right="175"/>
              <w:spacing w:after="0"/>
              <w:rPr>
                <w:sz w:val="20"/>
                <w:szCs w:val="20"/>
                <w:color w:val="auto"/>
              </w:rPr>
            </w:pPr>
            <w:r>
              <w:rPr>
                <w:rFonts w:ascii="Arial" w:cs="Arial" w:eastAsia="Arial" w:hAnsi="Arial"/>
                <w:sz w:val="17"/>
                <w:szCs w:val="17"/>
                <w:b w:val="1"/>
                <w:bCs w:val="1"/>
                <w:color w:val="auto"/>
                <w:w w:val="92"/>
              </w:rPr>
              <w:t>Nine Months Ended September 30,</w:t>
            </w:r>
          </w:p>
        </w:tc>
      </w:tr>
      <w:tr>
        <w:trPr>
          <w:trHeight w:val="31"/>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8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535"/>
              <w:spacing w:after="0"/>
              <w:rPr>
                <w:sz w:val="20"/>
                <w:szCs w:val="20"/>
                <w:color w:val="auto"/>
              </w:rPr>
            </w:pPr>
            <w:r>
              <w:rPr>
                <w:rFonts w:ascii="Arial" w:cs="Arial" w:eastAsia="Arial" w:hAnsi="Arial"/>
                <w:sz w:val="17"/>
                <w:szCs w:val="17"/>
                <w:b w:val="1"/>
                <w:bCs w:val="1"/>
                <w:color w:val="auto"/>
              </w:rPr>
              <w:t>2016</w:t>
            </w:r>
          </w:p>
        </w:tc>
        <w:tc>
          <w:tcPr>
            <w:tcW w:w="580" w:type="dxa"/>
            <w:vAlign w:val="bottom"/>
          </w:tcPr>
          <w:p>
            <w:pPr>
              <w:spacing w:after="0"/>
              <w:rPr>
                <w:sz w:val="20"/>
                <w:szCs w:val="20"/>
                <w:color w:val="auto"/>
              </w:rPr>
            </w:pPr>
          </w:p>
        </w:tc>
        <w:tc>
          <w:tcPr>
            <w:tcW w:w="960" w:type="dxa"/>
            <w:vAlign w:val="bottom"/>
          </w:tcPr>
          <w:p>
            <w:pPr>
              <w:jc w:val="right"/>
              <w:ind w:right="495"/>
              <w:spacing w:after="0"/>
              <w:rPr>
                <w:sz w:val="20"/>
                <w:szCs w:val="20"/>
                <w:color w:val="auto"/>
              </w:rPr>
            </w:pPr>
            <w:r>
              <w:rPr>
                <w:rFonts w:ascii="Arial" w:cs="Arial" w:eastAsia="Arial" w:hAnsi="Arial"/>
                <w:sz w:val="17"/>
                <w:szCs w:val="17"/>
                <w:b w:val="1"/>
                <w:bCs w:val="1"/>
                <w:color w:val="auto"/>
                <w:w w:val="95"/>
              </w:rPr>
              <w:t>2015</w:t>
            </w:r>
          </w:p>
        </w:tc>
      </w:tr>
      <w:tr>
        <w:trPr>
          <w:trHeight w:val="31"/>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8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7"/>
                <w:szCs w:val="17"/>
                <w:b w:val="1"/>
                <w:bCs w:val="1"/>
                <w:i w:val="1"/>
                <w:iCs w:val="1"/>
                <w:color w:val="auto"/>
              </w:rPr>
              <w:t>(in thousands)</w:t>
            </w:r>
          </w:p>
        </w:tc>
        <w:tc>
          <w:tcPr>
            <w:tcW w:w="960" w:type="dxa"/>
            <w:vAlign w:val="bottom"/>
          </w:tcPr>
          <w:p>
            <w:pPr>
              <w:spacing w:after="0"/>
              <w:rPr>
                <w:sz w:val="19"/>
                <w:szCs w:val="19"/>
                <w:color w:val="auto"/>
              </w:rPr>
            </w:pP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 attributable to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b w:val="1"/>
                <w:bCs w:val="1"/>
                <w:color w:val="auto"/>
              </w:rPr>
              <w:t>Net income and comprehensive income</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75"/>
              <w:spacing w:after="0"/>
              <w:rPr>
                <w:sz w:val="20"/>
                <w:szCs w:val="20"/>
                <w:color w:val="auto"/>
              </w:rPr>
            </w:pPr>
            <w:r>
              <w:rPr>
                <w:rFonts w:ascii="Arial" w:cs="Arial" w:eastAsia="Arial" w:hAnsi="Arial"/>
                <w:sz w:val="17"/>
                <w:szCs w:val="17"/>
                <w:b w:val="1"/>
                <w:bCs w:val="1"/>
                <w:color w:val="auto"/>
              </w:rPr>
              <w:t>20,170</w:t>
            </w:r>
          </w:p>
        </w:tc>
        <w:tc>
          <w:tcPr>
            <w:tcW w:w="580" w:type="dxa"/>
            <w:vAlign w:val="bottom"/>
          </w:tcPr>
          <w:p>
            <w:pPr>
              <w:jc w:val="right"/>
              <w:ind w:right="31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15,997</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Less: Loss from discontinued operations,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3,017</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3,238</w:t>
            </w:r>
          </w:p>
        </w:tc>
      </w:tr>
      <w:tr>
        <w:trPr>
          <w:trHeight w:val="233"/>
        </w:trPr>
        <w:tc>
          <w:tcPr>
            <w:tcW w:w="832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Income from continuing operations</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23,187</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19,235</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2"/>
        </w:trPr>
        <w:tc>
          <w:tcPr>
            <w:tcW w:w="83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Adjustments to reconcile income from continuing operations to net cash provided by operating activities attributable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7"/>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 continuing operations:</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Loss on disposal of fixed assets</w:t>
            </w:r>
          </w:p>
        </w:tc>
        <w:tc>
          <w:tcPr>
            <w:tcW w:w="200" w:type="dxa"/>
            <w:vAlign w:val="bottom"/>
          </w:tcPr>
          <w:p>
            <w:pPr>
              <w:spacing w:after="0"/>
              <w:rPr>
                <w:sz w:val="20"/>
                <w:szCs w:val="20"/>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388</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102</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263</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124</w:t>
            </w: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Depreciation</w:t>
            </w:r>
          </w:p>
        </w:tc>
        <w:tc>
          <w:tcPr>
            <w:tcW w:w="200" w:type="dxa"/>
            <w:vAlign w:val="bottom"/>
          </w:tcPr>
          <w:p>
            <w:pPr>
              <w:spacing w:after="0"/>
              <w:rPr>
                <w:sz w:val="20"/>
                <w:szCs w:val="20"/>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3,458</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2,135</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Non-cash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7,410</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6,371</w:t>
            </w: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20"/>
                <w:szCs w:val="20"/>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333</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Excess tax benefit from stock-based award activity</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(5,701)</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(485)</w:t>
            </w: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Bad debt expense</w:t>
            </w:r>
          </w:p>
        </w:tc>
        <w:tc>
          <w:tcPr>
            <w:tcW w:w="200" w:type="dxa"/>
            <w:vAlign w:val="bottom"/>
          </w:tcPr>
          <w:p>
            <w:pPr>
              <w:spacing w:after="0"/>
              <w:rPr>
                <w:sz w:val="20"/>
                <w:szCs w:val="20"/>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378</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236</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183</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r>
      <w:tr>
        <w:trPr>
          <w:trHeight w:val="226"/>
        </w:trPr>
        <w:tc>
          <w:tcPr>
            <w:tcW w:w="8320" w:type="dxa"/>
            <w:vAlign w:val="bottom"/>
          </w:tcPr>
          <w:p>
            <w:pPr>
              <w:ind w:left="180"/>
              <w:spacing w:after="0"/>
              <w:rPr>
                <w:sz w:val="20"/>
                <w:szCs w:val="20"/>
                <w:color w:val="auto"/>
              </w:rPr>
            </w:pPr>
            <w:r>
              <w:rPr>
                <w:rFonts w:ascii="Arial" w:cs="Arial" w:eastAsia="Arial" w:hAnsi="Arial"/>
                <w:sz w:val="17"/>
                <w:szCs w:val="17"/>
                <w:color w:val="auto"/>
              </w:rPr>
              <w:t>Changes in current assets and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5"/>
        </w:trPr>
        <w:tc>
          <w:tcPr>
            <w:tcW w:w="8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(8,565)</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(11,805)</w:t>
            </w: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Prepaid and other current assets</w:t>
            </w:r>
          </w:p>
        </w:tc>
        <w:tc>
          <w:tcPr>
            <w:tcW w:w="20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(2,051)</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(756)</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 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15,272</w:t>
            </w: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Income taxes payable</w:t>
            </w:r>
          </w:p>
        </w:tc>
        <w:tc>
          <w:tcPr>
            <w:tcW w:w="200" w:type="dxa"/>
            <w:vAlign w:val="bottom"/>
          </w:tcPr>
          <w:p>
            <w:pPr>
              <w:spacing w:after="0"/>
              <w:rPr>
                <w:sz w:val="20"/>
                <w:szCs w:val="20"/>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13,261</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460</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645</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207</w:t>
            </w:r>
          </w:p>
        </w:tc>
      </w:tr>
      <w:tr>
        <w:trPr>
          <w:trHeight w:val="233"/>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Net cash provided by operating activities attributable to continuing operations</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33,184</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31,096</w:t>
            </w:r>
          </w:p>
        </w:tc>
      </w:tr>
      <w:tr>
        <w:trPr>
          <w:trHeight w:val="31"/>
        </w:trPr>
        <w:tc>
          <w:tcPr>
            <w:tcW w:w="8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 attributable to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color w:val="auto"/>
              </w:rPr>
              <w:t>Capital expenditures</w:t>
            </w:r>
          </w:p>
        </w:tc>
        <w:tc>
          <w:tcPr>
            <w:tcW w:w="20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(8,017)</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(4,265)</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 of a business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(4,500)</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color w:val="auto"/>
              </w:rPr>
              <w:t>Decrease in restricted cash</w:t>
            </w:r>
          </w:p>
        </w:tc>
        <w:tc>
          <w:tcPr>
            <w:tcW w:w="200" w:type="dxa"/>
            <w:vAlign w:val="bottom"/>
          </w:tcPr>
          <w:p>
            <w:pPr>
              <w:spacing w:after="0"/>
              <w:rPr>
                <w:sz w:val="20"/>
                <w:szCs w:val="20"/>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2,450</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95</w:t>
            </w:r>
          </w:p>
        </w:tc>
      </w:tr>
      <w:tr>
        <w:trPr>
          <w:trHeight w:val="31"/>
        </w:trPr>
        <w:tc>
          <w:tcPr>
            <w:tcW w:w="8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investing activities attributable to continuing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(10,067)</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(4,207)</w:t>
            </w:r>
          </w:p>
        </w:tc>
      </w:tr>
      <w:tr>
        <w:trPr>
          <w:trHeight w:val="219"/>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flows from financing activities attributable to continuing operations:</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5"/>
        </w:trPr>
        <w:tc>
          <w:tcPr>
            <w:tcW w:w="8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0"/>
              </w:rPr>
              <w:t>Payments related to net-share settlement of stock-based compensation, net of proceeds from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(3,093)</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(6,127)</w:t>
            </w: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color w:val="auto"/>
              </w:rPr>
              <w:t>Payment of equity offering costs</w:t>
            </w:r>
          </w:p>
        </w:tc>
        <w:tc>
          <w:tcPr>
            <w:tcW w:w="20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(23)</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color w:val="auto"/>
              </w:rPr>
              <w:t>Excess tax benefit from stock-based award activity</w:t>
            </w:r>
          </w:p>
        </w:tc>
        <w:tc>
          <w:tcPr>
            <w:tcW w:w="200" w:type="dxa"/>
            <w:vAlign w:val="bottom"/>
          </w:tcPr>
          <w:p>
            <w:pPr>
              <w:spacing w:after="0"/>
              <w:rPr>
                <w:sz w:val="20"/>
                <w:szCs w:val="20"/>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5,701</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485</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treasury stock</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(48,524)</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(218)</w:t>
            </w: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color w:val="auto"/>
              </w:rPr>
              <w:t>Dividends</w:t>
            </w:r>
          </w:p>
        </w:tc>
        <w:tc>
          <w:tcPr>
            <w:tcW w:w="200" w:type="dxa"/>
            <w:vAlign w:val="bottom"/>
          </w:tcPr>
          <w:p>
            <w:pPr>
              <w:spacing w:after="0"/>
              <w:rPr>
                <w:sz w:val="20"/>
                <w:szCs w:val="20"/>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31"/>
        </w:trPr>
        <w:tc>
          <w:tcPr>
            <w:tcW w:w="8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financing activities attributable to continuing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(45,947)</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(5,965)</w:t>
            </w:r>
          </w:p>
        </w:tc>
      </w:tr>
      <w:tr>
        <w:trPr>
          <w:trHeight w:val="233"/>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Total cash (used in) provided by continuing operations</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(22,830)</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20,924</w:t>
            </w:r>
          </w:p>
        </w:tc>
      </w:tr>
      <w:tr>
        <w:trPr>
          <w:trHeight w:val="31"/>
        </w:trPr>
        <w:tc>
          <w:tcPr>
            <w:tcW w:w="8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operating activities attributable to discontinued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(7,220)</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(885)</w:t>
            </w:r>
          </w:p>
        </w:tc>
      </w:tr>
      <w:tr>
        <w:trPr>
          <w:trHeight w:val="233"/>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Total cash used in discontinued operations</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(7,220)</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(885)</w:t>
            </w:r>
          </w:p>
        </w:tc>
      </w:tr>
      <w:tr>
        <w:trPr>
          <w:trHeight w:val="31"/>
        </w:trPr>
        <w:tc>
          <w:tcPr>
            <w:tcW w:w="8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(decrease) increase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(30,050)</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20,039</w:t>
            </w:r>
          </w:p>
        </w:tc>
      </w:tr>
      <w:tr>
        <w:trPr>
          <w:trHeight w:val="239"/>
        </w:trPr>
        <w:tc>
          <w:tcPr>
            <w:tcW w:w="832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200" w:type="dxa"/>
            <w:vAlign w:val="bottom"/>
          </w:tcPr>
          <w:p>
            <w:pPr>
              <w:spacing w:after="0"/>
              <w:rPr>
                <w:sz w:val="20"/>
                <w:szCs w:val="20"/>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206,975</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86,212</w:t>
            </w:r>
          </w:p>
        </w:tc>
      </w:tr>
      <w:tr>
        <w:trPr>
          <w:trHeight w:val="31"/>
        </w:trPr>
        <w:tc>
          <w:tcPr>
            <w:tcW w:w="8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176,925</w:t>
            </w:r>
          </w:p>
        </w:tc>
        <w:tc>
          <w:tcPr>
            <w:tcW w:w="5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106,251</w:t>
            </w:r>
          </w:p>
        </w:tc>
      </w:tr>
      <w:tr>
        <w:trPr>
          <w:trHeight w:val="27"/>
        </w:trPr>
        <w:tc>
          <w:tcPr>
            <w:tcW w:w="8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("LendingTree" or the "Company"), is the parent of LendingTree, LLC and several companies owned by LendingTree, LLC.</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LendingTree operates what it believes to be the leading online marketplace for consumers seeking a broad array of loan types and other credit-based offerings. The Company offers consumers tools and resources, including free credit scores, that help them to comparison-shop for mortgage loans, home equity, reverse mortgage, auto loans, credit cards, personal loans, student loans and small business loans and other related offerings. The Company primarily seeks to match in-market consumers with multiple lenders on its marketplace who can provide them with competing quotes for the loans or credit-based offerings they are seeking. The Company also serves as a valued partner to lenders seeking an efficient, scalable and flexible source of customer acquisition with directly measurable benefits, by matching the consumer loan inquiries it generates with these lenders.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September 30, 2016 and for the three and nine months ended September 30, 2016 and 2015,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nine months ended September 30, 2016 are not necessarily indicative of the results to be expected for the year ending December 31, 2016, or any other period. The accompanying consolidated balance sheet as of December 31, 2015 was derived from audited financial statements included in the Company's annual report on Form 10-K for the year ended December 31, 2015 (the "2015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2015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various other allowances, reserves and accruals; and assumptions related to the determination of stock-based compensation.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September 30, 2016,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nature of the mortgage lending industry, interest rate fluctuations may negatively impact future revenue from the Company's lender marketplace.</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August 2016, the Financial Accounting Standards Board ("FASB") issued Accounting Standards Update ("ASU") 2016-15 which addresses eight cash flow classification issues, eliminating the diversity in practice. This ASU is effective for annual and interim reporting periods beginning after December 15, 2017, with early adoption permitted. The retrospective transition method, requiring adjustment to all comparative periods presented, is required unless it is impracticable for some of the amendments, in which case those amendments would be prospectively applied as of the earliest date practicable. The Company is evaluating the impact this ASU will have on its consolidated financial statements and whether to early adopt.</w:t>
      </w:r>
    </w:p>
    <w:p>
      <w:pPr>
        <w:spacing w:after="0" w:line="11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March 2016, the FASB issued ASU 2016-09 which simplifies various aspects related to how share-based payments are accounted for and presented in the financial statements, including the income tax consequences, classification of awards as either equity or liabilities, forfeitures and classification of excess tax benefits on the statement of cash flows. This ASU is effective for annual and interim reporting periods beginning after December 15, 2016, with early adoption permitted. Upon adoption, any adjustments are to be reflected as of the beginning of the fiscal year of adoption. The Company is evaluating the impact this ASU will have on its consolidated financial statements and whether to early adopt.</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2016, the FASB issued ASU 2016-02 related to leases. This ASU requires the recognition of a right-of-use lease asset and a lease liability by lessees for all leases greater than one year in duration. This ASU is effective for annual and interim reporting periods beginning after December 15, 2018, with early adoption permitted. The guidance must be adopted using a modified retrospective transition. The Company is evaluating the impact this ASU will have on its consolidated financial statements and whether to early adopt.</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May 2014, the FASB issued ASU 2014-09 related to revenue recognition. This ASU was initiated as a joint project between the FASB and the International Accounting Standards Board ("IASB") to clarify the principles for recognizing revenue and to develop a common revenue standard for GAAP and international financial reporting standards ("IFRS"). This guidance will supersede the existing revenue recognition requirements in Accounting Standards Codification ("ASC") Topic 605, Revenue Recognition and was set to be effective for annual reporting periods beginning after December 15, 2016. However, in July 2015, the FASB deferred the effective date by one year, such that the standard will be effective for annual reporting periods beginning after December 15, 2017. Early adoption is permitted as of the original effective date of December 15, 2016. The ASU can be applied (i) retrospectively to each prior period presented or (ii) retrospectively with the cumulative effect of initially adopting the ASU recognized at the date of initial application. In March 2016, the FASB issued ASU 2016-08, which clarifies the principal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versus agent guidance under ASU 2014-09. In April 2016, the FASB issued ASU 2016-10, which clarifies the identification of distinct performance obligations in a contract. In May 2016, the FASB issued ASU 2016-12, which clarifies the guidance on assessing collectibility, presenting sales taxes, measuring noncash consideration and certain other transition matters. The clarification ASU's must be adopted concurrently with the adoption of ASU 2014-</w:t>
      </w:r>
    </w:p>
    <w:p>
      <w:pPr>
        <w:ind w:firstLine="8"/>
        <w:spacing w:after="0" w:line="261" w:lineRule="auto"/>
        <w:tabs>
          <w:tab w:leader="none" w:pos="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evaluating the impact these ASU's will have on its consolidated financial statements, whether to early adopt and which implementation method to apply.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for surety bonds </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2,453</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(b)</w:t>
            </w:r>
          </w:p>
        </w:tc>
        <w:tc>
          <w:tcPr>
            <w:tcW w:w="200" w:type="dxa"/>
            <w:vAlign w:val="bottom"/>
          </w:tcPr>
          <w:p>
            <w:pPr>
              <w:spacing w:after="0"/>
              <w:rPr>
                <w:sz w:val="23"/>
                <w:szCs w:val="23"/>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4,032</w:t>
            </w:r>
          </w:p>
        </w:tc>
        <w:tc>
          <w:tcPr>
            <w:tcW w:w="30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4,028</w:t>
            </w: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4,091</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6,541</w:t>
            </w:r>
          </w:p>
        </w:tc>
      </w:tr>
      <w:tr>
        <w:trPr>
          <w:trHeight w:val="34"/>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left="660" w:hanging="328"/>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 In February 2016, $2.5 million in escrow for the surety bonds was released due to a reduction in collateral requirements.</w:t>
      </w:r>
    </w:p>
    <w:p>
      <w:pPr>
        <w:spacing w:after="0" w:line="11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4—BUSINESS ACQUISITION</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2016, the Company acquired certain assets of SimpleTuition, Inc. ("SimpleTuition"), a leading online marketing platform for student loans, for $5.0 million of cash consideration. Of the purchase price, $4.5 million was funded with available cash on hand and $0.5 million was held-back in satisfaction of any potential claims.</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acquisition has been accounted for as a business combination. During the quarter ended September 30, 2016, the Company completed its determination of the final allocation of the purchase price with respect to the acquired assets. The Company has recorded the $5.0 million paid to the tangible and identifiable intangible assets based on their fair value, with the residual recorded to goodwill in the Company's one reportable segment. No liabilities were assumed. Acquisition-related costs were $0.1 million for the nine months ended September 30, 2016 and are included in general and administrative expense on the consolidated statements of operations and comprehensive income. The allocation of the purchase price to the assets acquired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Fair Value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0" w:type="dxa"/>
            <w:vAlign w:val="bottom"/>
          </w:tcPr>
          <w:p>
            <w:pPr>
              <w:spacing w:after="0"/>
              <w:rPr>
                <w:sz w:val="1"/>
                <w:szCs w:val="1"/>
                <w:color w:val="auto"/>
              </w:rPr>
            </w:pPr>
          </w:p>
        </w:tc>
      </w:tr>
      <w:tr>
        <w:trPr>
          <w:trHeight w:val="190"/>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125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Total intangible assets with definite lives,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4,500</w:t>
            </w:r>
          </w:p>
        </w:tc>
        <w:tc>
          <w:tcPr>
            <w:tcW w:w="1580" w:type="dxa"/>
            <w:vAlign w:val="bottom"/>
          </w:tcPr>
          <w:p>
            <w:pPr>
              <w:jc w:val="right"/>
              <w:spacing w:after="0"/>
              <w:rPr>
                <w:sz w:val="20"/>
                <w:szCs w:val="20"/>
                <w:color w:val="auto"/>
              </w:rPr>
            </w:pPr>
            <w:r>
              <w:rPr>
                <w:rFonts w:ascii="Arial" w:cs="Arial" w:eastAsia="Arial" w:hAnsi="Arial"/>
                <w:sz w:val="18"/>
                <w:szCs w:val="18"/>
                <w:color w:val="auto"/>
              </w:rPr>
              <w:t>9.2 years</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375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8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treated the purchase as an asset acquisition for income tax purposes and is deducting the recognized goodwill for income tax purposes.</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of SimpleTuition was not considered significant to the accompanying consolidated financial statements. Accordingly, the revenue and earnings of SimpleTuition for the current reporting period is not presented on a stand-alone basis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property and equipment,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13,893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3,052</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2,096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848</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Aircraft and automobile</w:t>
            </w:r>
          </w:p>
        </w:tc>
        <w:tc>
          <w:tcPr>
            <w:tcW w:w="20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1,988</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Projects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2,438</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3,612</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gross property and equipment</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22,219</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16,355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property and equipment,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13,399</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9,415</w:t>
            </w:r>
          </w:p>
        </w:tc>
      </w:tr>
      <w:tr>
        <w:trPr>
          <w:trHeight w:val="34"/>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18"/>
                <w:szCs w:val="18"/>
                <w:b w:val="1"/>
                <w:bCs w:val="1"/>
                <w:color w:val="auto"/>
              </w:rPr>
              <w:t>NOTE 6—GOODWILL AND INTANGIBLE ASSETS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8340" w:type="dxa"/>
            <w:vAlign w:val="bottom"/>
          </w:tcPr>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487,095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(483,088)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4,007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r>
      <w:tr>
        <w:trPr>
          <w:trHeight w:val="324"/>
        </w:trPr>
        <w:tc>
          <w:tcPr>
            <w:tcW w:w="8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0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5,087</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850</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15,229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10,992</w:t>
            </w:r>
          </w:p>
        </w:tc>
      </w:tr>
      <w:tr>
        <w:trPr>
          <w:trHeight w:val="27"/>
        </w:trPr>
        <w:tc>
          <w:tcPr>
            <w:tcW w:w="8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goodwill is associated with its one reportable segment. Intangible assets with indefinite lives relate to the Company's trademarks.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94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4,900</w:t>
            </w:r>
          </w:p>
        </w:tc>
        <w:tc>
          <w:tcPr>
            <w:tcW w:w="3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(356)</w:t>
            </w:r>
          </w:p>
        </w:tc>
        <w:tc>
          <w:tcPr>
            <w:tcW w:w="4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1,287</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(1,100)</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3940" w:type="dxa"/>
            <w:vAlign w:val="bottom"/>
            <w:tcBorders>
              <w:top w:val="single" w:sz="8" w:color="auto"/>
            </w:tcBorders>
            <w:gridSpan w:val="2"/>
          </w:tcPr>
          <w:p>
            <w:pPr>
              <w:jc w:val="right"/>
              <w:ind w:right="668"/>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6,587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(1,500)</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5,087</w:t>
            </w:r>
          </w:p>
        </w:tc>
        <w:tc>
          <w:tcPr>
            <w:tcW w:w="0" w:type="dxa"/>
            <w:vAlign w:val="bottom"/>
          </w:tcPr>
          <w:p>
            <w:pPr>
              <w:spacing w:after="0"/>
              <w:rPr>
                <w:sz w:val="1"/>
                <w:szCs w:val="1"/>
                <w:color w:val="auto"/>
              </w:rPr>
            </w:pPr>
          </w:p>
        </w:tc>
      </w:tr>
      <w:tr>
        <w:trPr>
          <w:trHeight w:val="34"/>
        </w:trPr>
        <w:tc>
          <w:tcPr>
            <w:tcW w:w="40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24"/>
                <w:szCs w:val="2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394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1,087</w:t>
            </w:r>
          </w:p>
        </w:tc>
        <w:tc>
          <w:tcPr>
            <w:tcW w:w="3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(1,087)</w:t>
            </w:r>
          </w:p>
        </w:tc>
        <w:tc>
          <w:tcPr>
            <w:tcW w:w="4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394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2,087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(1,237)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850</w:t>
            </w:r>
          </w:p>
        </w:tc>
        <w:tc>
          <w:tcPr>
            <w:tcW w:w="0" w:type="dxa"/>
            <w:vAlign w:val="bottom"/>
          </w:tcPr>
          <w:p>
            <w:pPr>
              <w:spacing w:after="0"/>
              <w:rPr>
                <w:sz w:val="1"/>
                <w:szCs w:val="1"/>
                <w:color w:val="auto"/>
              </w:rPr>
            </w:pPr>
          </w:p>
        </w:tc>
      </w:tr>
      <w:tr>
        <w:trPr>
          <w:trHeight w:val="459"/>
        </w:trPr>
        <w:tc>
          <w:tcPr>
            <w:tcW w:w="400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color w:val="auto"/>
              </w:rPr>
              <w:t>10</w:t>
            </w:r>
          </w:p>
        </w:tc>
        <w:tc>
          <w:tcPr>
            <w:tcW w:w="8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September 30, 2016,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Amortization Expense</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Year ending December 31, 2017</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664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Year ending December 31, 2019</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586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2,477</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5,087</w:t>
            </w:r>
          </w:p>
        </w:tc>
      </w:tr>
      <w:tr>
        <w:trPr>
          <w:trHeight w:val="702"/>
        </w:trPr>
        <w:tc>
          <w:tcPr>
            <w:tcW w:w="8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7—ACCRUED EXPENSES AND OTHER CURRENT LIABILITIES</w:t>
            </w: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378"/>
        </w:trPr>
        <w:tc>
          <w:tcPr>
            <w:tcW w:w="8340" w:type="dxa"/>
            <w:vAlign w:val="bottom"/>
          </w:tcPr>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33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736</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200" w:type="dxa"/>
            <w:vAlign w:val="bottom"/>
          </w:tcPr>
          <w:p>
            <w:pPr>
              <w:spacing w:after="0"/>
              <w:rPr>
                <w:sz w:val="21"/>
                <w:szCs w:val="21"/>
                <w:color w:val="auto"/>
              </w:rPr>
            </w:pP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21,153</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20,841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4,189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21"/>
                <w:szCs w:val="21"/>
                <w:color w:val="auto"/>
              </w:rPr>
            </w:pP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1,884</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711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and escrows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4,952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4,805</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3,762</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37,719</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34,885</w:t>
            </w:r>
          </w:p>
        </w:tc>
      </w:tr>
      <w:tr>
        <w:trPr>
          <w:trHeight w:val="27"/>
        </w:trPr>
        <w:tc>
          <w:tcPr>
            <w:tcW w:w="8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31115</wp:posOffset>
            </wp:positionV>
            <wp:extent cx="1938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5" w:lineRule="exact"/>
        <w:rPr>
          <w:sz w:val="20"/>
          <w:szCs w:val="20"/>
          <w:color w:val="auto"/>
        </w:rPr>
      </w:pPr>
    </w:p>
    <w:p>
      <w:pPr>
        <w:sectPr>
          <w:pgSz w:w="11900" w:h="16838" w:orient="portrait"/>
          <w:cols w:equalWidth="0" w:num="2">
            <w:col w:w="8120" w:space="720"/>
            <w:col w:w="25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9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11,754</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11,827</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913</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877</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841</w:t>
            </w:r>
          </w:p>
        </w:tc>
      </w:tr>
      <w:tr>
        <w:trPr>
          <w:trHeight w:val="27"/>
        </w:trPr>
        <w:tc>
          <w:tcPr>
            <w:tcW w:w="5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78</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9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12,742</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12,489</w:t>
            </w:r>
          </w:p>
        </w:tc>
        <w:tc>
          <w:tcPr>
            <w:tcW w:w="1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12,782</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12,379</w:t>
            </w:r>
          </w:p>
        </w:tc>
      </w:tr>
      <w:tr>
        <w:trPr>
          <w:trHeight w:val="34"/>
        </w:trPr>
        <w:tc>
          <w:tcPr>
            <w:tcW w:w="5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shares related to potentially dilutive securities were excluded from the calculation of diluted income per share for the three and nine months ended September 30,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each of January 2010, May 2014, January 2016 and February 2016, the board of directors authorized and the Company announced the repurchase of up to $10.0 million, $10.0 million, $50.0 million and $40.0 million, respectively, of LendingTree's common stock. During the nine months ended September 30, 2016 and 2015, the Company purchased 690,218 and 5,250 shares, respectively, of its common stock pursuant to this stock repurchase program. At September 30, 2016, approximately $48.7 million of the previous authorizations to repurchase common stock remain available for the Company to purchase its common stock.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9—STOCK-BASED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right"/>
              <w:ind w:right="8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jc w:val="center"/>
              <w:ind w:left="541"/>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737</w:t>
            </w: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2,118</w:t>
            </w:r>
          </w:p>
        </w:tc>
        <w:tc>
          <w:tcPr>
            <w:tcW w:w="26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1,072</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3,511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510</w:t>
            </w: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1,682</w:t>
            </w:r>
          </w:p>
        </w:tc>
        <w:tc>
          <w:tcPr>
            <w:tcW w:w="26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severance</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2,348</w:t>
            </w:r>
          </w:p>
        </w:tc>
        <w:tc>
          <w:tcPr>
            <w:tcW w:w="1020" w:type="dxa"/>
            <w:vAlign w:val="bottom"/>
            <w:tcBorders>
              <w:top w:val="single" w:sz="8" w:color="auto"/>
            </w:tcBorders>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1,978</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7,410</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6,371</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stock options is as follows: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Number of Options</w:t>
            </w:r>
          </w:p>
        </w:tc>
        <w:tc>
          <w:tcPr>
            <w:tcW w:w="1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ind w:left="541"/>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9"/>
              </w:rPr>
              <w:t>(per option)</w:t>
            </w:r>
          </w:p>
        </w:tc>
        <w:tc>
          <w:tcPr>
            <w:tcW w:w="240" w:type="dxa"/>
            <w:vAlign w:val="bottom"/>
          </w:tcPr>
          <w:p>
            <w:pPr>
              <w:spacing w:after="0"/>
              <w:rPr>
                <w:sz w:val="16"/>
                <w:szCs w:val="16"/>
                <w:color w:val="auto"/>
              </w:rPr>
            </w:pP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1,918,182</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2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73,639</w:t>
            </w:r>
          </w:p>
        </w:tc>
        <w:tc>
          <w:tcPr>
            <w:tcW w:w="10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75.20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(2,199)</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(6,329)</w:t>
            </w: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74.48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2016</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1,983,293</w:t>
            </w: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20.74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151,223</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973,407</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84,906</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$96.91 on the last trading day of the quarter ended September 30, 2016 and the exercise price, multiplied by the number of shares covered by in-the-money options) that would have been received by the option holders had all option holders exercised their options on September 30, 2016.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nine months ended September 30, 2016, the Company granted stock options to certain employees and the board of directors with a weighted average grant date fair value per share of $37.75, calculated using the Black-Scholes option pricing model, which vesting periods include</w:t>
      </w:r>
    </w:p>
    <w:p>
      <w:pPr>
        <w:ind w:left="900" w:hanging="244"/>
        <w:spacing w:after="0"/>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three years from the grant date, (b) two years from the grant date, (c) 25% and 75% over a period of two years and three years, respectively and</w:t>
      </w:r>
    </w:p>
    <w:p>
      <w:pPr>
        <w:spacing w:after="0" w:line="32" w:lineRule="exact"/>
        <w:rPr>
          <w:rFonts w:ascii="Arial" w:cs="Arial" w:eastAsia="Arial" w:hAnsi="Arial"/>
          <w:sz w:val="16"/>
          <w:szCs w:val="16"/>
          <w:color w:val="auto"/>
        </w:rPr>
      </w:pPr>
    </w:p>
    <w:p>
      <w:pPr>
        <w:ind w:left="920" w:hanging="264"/>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five months from the grant date.</w:t>
      </w:r>
    </w:p>
    <w:p>
      <w:pPr>
        <w:spacing w:after="0" w:line="15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7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5.22 - 6.38 years</w:t>
            </w:r>
          </w:p>
        </w:tc>
      </w:tr>
      <w:tr>
        <w:trPr>
          <w:trHeight w:val="270"/>
        </w:trPr>
        <w:tc>
          <w:tcPr>
            <w:tcW w:w="33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7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7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 - 53%</w:t>
            </w:r>
          </w:p>
        </w:tc>
      </w:tr>
      <w:tr>
        <w:trPr>
          <w:trHeight w:val="270"/>
        </w:trPr>
        <w:tc>
          <w:tcPr>
            <w:tcW w:w="330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730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1.10% - 1.90%</w:t>
            </w:r>
          </w:p>
        </w:tc>
      </w:tr>
      <w:tr>
        <w:trPr>
          <w:trHeight w:val="453"/>
        </w:trPr>
        <w:tc>
          <w:tcPr>
            <w:tcW w:w="3300" w:type="dxa"/>
            <w:vAlign w:val="bottom"/>
          </w:tcPr>
          <w:p>
            <w:pPr>
              <w:spacing w:after="0"/>
              <w:rPr>
                <w:sz w:val="24"/>
                <w:szCs w:val="24"/>
                <w:color w:val="auto"/>
              </w:rPr>
            </w:pPr>
          </w:p>
        </w:tc>
        <w:tc>
          <w:tcPr>
            <w:tcW w:w="7300" w:type="dxa"/>
            <w:vAlign w:val="bottom"/>
          </w:tcPr>
          <w:p>
            <w:pPr>
              <w:jc w:val="right"/>
              <w:ind w:right="553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all stock options granted in 2016,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units ("RSUs") and restricted stock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2016</w:t>
            </w:r>
          </w:p>
        </w:tc>
        <w:tc>
          <w:tcPr>
            <w:tcW w:w="1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237,377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43.13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6"/>
              <w:spacing w:after="0"/>
              <w:rPr>
                <w:sz w:val="20"/>
                <w:szCs w:val="20"/>
                <w:color w:val="auto"/>
              </w:rPr>
            </w:pPr>
            <w:r>
              <w:rPr>
                <w:rFonts w:ascii="Arial" w:cs="Arial" w:eastAsia="Arial" w:hAnsi="Arial"/>
                <w:sz w:val="18"/>
                <w:szCs w:val="18"/>
                <w:color w:val="auto"/>
              </w:rPr>
              <w:t>68,884</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(133,255)</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(17,452)</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2016</w:t>
            </w:r>
          </w:p>
        </w:tc>
        <w:tc>
          <w:tcPr>
            <w:tcW w:w="1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155,554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63.68</w:t>
            </w:r>
          </w:p>
        </w:tc>
        <w:tc>
          <w:tcPr>
            <w:tcW w:w="0" w:type="dxa"/>
            <w:vAlign w:val="bottom"/>
          </w:tcPr>
          <w:p>
            <w:pPr>
              <w:spacing w:after="0"/>
              <w:rPr>
                <w:sz w:val="1"/>
                <w:szCs w:val="1"/>
                <w:color w:val="auto"/>
              </w:rPr>
            </w:pPr>
          </w:p>
        </w:tc>
      </w:tr>
      <w:tr>
        <w:trPr>
          <w:trHeight w:val="548"/>
        </w:trPr>
        <w:tc>
          <w:tcPr>
            <w:tcW w:w="7660" w:type="dxa"/>
            <w:vAlign w:val="bottom"/>
            <w:tcBorders>
              <w:top w:val="single" w:sz="8" w:color="auto"/>
            </w:tcBorders>
          </w:tcPr>
          <w:p>
            <w:pPr>
              <w:spacing w:after="0"/>
              <w:rPr>
                <w:sz w:val="24"/>
                <w:szCs w:val="24"/>
                <w:color w:val="auto"/>
              </w:rPr>
            </w:pPr>
          </w:p>
        </w:tc>
        <w:tc>
          <w:tcPr>
            <w:tcW w:w="3760" w:type="dxa"/>
            <w:vAlign w:val="bottom"/>
            <w:tcBorders>
              <w:top w:val="single" w:sz="8" w:color="auto"/>
              <w:bottom w:val="single" w:sz="8" w:color="auto"/>
            </w:tcBorders>
            <w:gridSpan w:val="3"/>
          </w:tcPr>
          <w:p>
            <w:pPr>
              <w:jc w:val="right"/>
              <w:ind w:right="1277"/>
              <w:spacing w:after="0"/>
              <w:rPr>
                <w:sz w:val="20"/>
                <w:szCs w:val="20"/>
                <w:color w:val="auto"/>
              </w:rPr>
            </w:pPr>
            <w:r>
              <w:rPr>
                <w:rFonts w:ascii="Arial" w:cs="Arial" w:eastAsia="Arial" w:hAnsi="Arial"/>
                <w:sz w:val="14"/>
                <w:szCs w:val="14"/>
                <w:b w:val="1"/>
                <w:bCs w:val="1"/>
                <w:color w:val="auto"/>
              </w:rPr>
              <w:t>Restricted Stock</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1"/>
              </w:rPr>
              <w:t>(per share)</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2016</w:t>
            </w:r>
          </w:p>
        </w:tc>
        <w:tc>
          <w:tcPr>
            <w:tcW w:w="1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68,762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23.60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(35,297)</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2016</w:t>
            </w:r>
          </w:p>
        </w:tc>
        <w:tc>
          <w:tcPr>
            <w:tcW w:w="1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33,465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26.73</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with Performance Conditions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nine months ended September 30, 2016, the Company granted RSUs with performance conditions to certain employees, of which vesting periods include: (a) 33.3% over a period of 0.33 years, 33.3% over a period of 1.33 years and 33.4% over a period of 2.33 years, each pending the attainment of certain performance targets set at the time of grant (b) 100% after 2.33 years from the grant date, pending the attainment of certain performance targets set at the time of grant and (c) 33.3% upon the completion of certain performance criteria, 33.3% on the first anniversary of the initial vesting and 33.4% on the second anniversary of the initial vesting.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RSUs with performance conditions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8"/>
          </w:tcPr>
          <w:p>
            <w:pPr>
              <w:jc w:val="right"/>
              <w:ind w:right="164"/>
              <w:spacing w:after="0"/>
              <w:rPr>
                <w:sz w:val="20"/>
                <w:szCs w:val="20"/>
                <w:color w:val="auto"/>
              </w:rPr>
            </w:pPr>
            <w:r>
              <w:rPr>
                <w:rFonts w:ascii="Arial" w:cs="Arial" w:eastAsia="Arial" w:hAnsi="Arial"/>
                <w:sz w:val="14"/>
                <w:szCs w:val="14"/>
                <w:b w:val="1"/>
                <w:bCs w:val="1"/>
                <w:color w:val="auto"/>
              </w:rPr>
              <w:t>RSUs with Performance Conditions</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4"/>
            <w:vMerge w:val="restart"/>
          </w:tcPr>
          <w:p>
            <w:pPr>
              <w:jc w:val="right"/>
              <w:ind w:right="213"/>
              <w:spacing w:after="0"/>
              <w:rPr>
                <w:sz w:val="20"/>
                <w:szCs w:val="20"/>
                <w:color w:val="auto"/>
              </w:rPr>
            </w:pPr>
            <w:r>
              <w:rPr>
                <w:rFonts w:ascii="Arial" w:cs="Arial" w:eastAsia="Arial" w:hAnsi="Arial"/>
                <w:sz w:val="14"/>
                <w:szCs w:val="14"/>
                <w:b w:val="1"/>
                <w:bCs w:val="1"/>
                <w:color w:val="auto"/>
                <w:w w:val="97"/>
              </w:rPr>
              <w:t>Number of Units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jc w:val="center"/>
              <w:ind w:right="27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center"/>
              <w:ind w:left="104"/>
              <w:spacing w:after="0"/>
              <w:rPr>
                <w:sz w:val="20"/>
                <w:szCs w:val="20"/>
                <w:color w:val="auto"/>
              </w:rPr>
            </w:pPr>
            <w:r>
              <w:rPr>
                <w:rFonts w:ascii="Arial" w:cs="Arial" w:eastAsia="Arial" w:hAnsi="Arial"/>
                <w:sz w:val="14"/>
                <w:szCs w:val="14"/>
                <w:b w:val="1"/>
                <w:bCs w:val="1"/>
                <w:i w:val="1"/>
                <w:iCs w:val="1"/>
                <w:color w:val="auto"/>
                <w:w w:val="95"/>
              </w:rPr>
              <w:t>(per unit)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60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Granted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44,052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83.92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2016</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44,052</w:t>
            </w:r>
          </w:p>
        </w:tc>
        <w:tc>
          <w:tcPr>
            <w:tcW w:w="5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83.92</w:t>
            </w:r>
          </w:p>
        </w:tc>
        <w:tc>
          <w:tcPr>
            <w:tcW w:w="0" w:type="dxa"/>
            <w:vAlign w:val="bottom"/>
          </w:tcPr>
          <w:p>
            <w:pPr>
              <w:spacing w:after="0"/>
              <w:rPr>
                <w:sz w:val="1"/>
                <w:szCs w:val="1"/>
                <w:color w:val="auto"/>
              </w:rPr>
            </w:pPr>
          </w:p>
        </w:tc>
      </w:tr>
      <w:tr>
        <w:trPr>
          <w:trHeight w:val="486"/>
        </w:trPr>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10—INCOME TAXES</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4"/>
          </w:tcPr>
          <w:p>
            <w:pPr>
              <w:jc w:val="right"/>
              <w:ind w:right="164"/>
              <w:spacing w:after="0"/>
              <w:rPr>
                <w:sz w:val="20"/>
                <w:szCs w:val="20"/>
                <w:color w:val="auto"/>
              </w:rPr>
            </w:pPr>
            <w:r>
              <w:rPr>
                <w:rFonts w:ascii="Arial" w:cs="Arial" w:eastAsia="Arial" w:hAnsi="Arial"/>
                <w:sz w:val="14"/>
                <w:szCs w:val="14"/>
                <w:b w:val="1"/>
                <w:bCs w:val="1"/>
                <w:color w:val="auto"/>
                <w:w w:val="94"/>
              </w:rPr>
              <w:t>Nine Months Ended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4"/>
                <w:szCs w:val="14"/>
                <w:b w:val="1"/>
                <w:bCs w:val="1"/>
                <w:color w:val="auto"/>
                <w:w w:val="93"/>
              </w:rPr>
              <w:t>September 30,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60" w:type="dxa"/>
            <w:vAlign w:val="bottom"/>
            <w:gridSpan w:val="9"/>
          </w:tcPr>
          <w:p>
            <w:pPr>
              <w:jc w:val="right"/>
              <w:ind w:right="328"/>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4"/>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(6,729)</w:t>
            </w:r>
          </w:p>
        </w:tc>
        <w:tc>
          <w:tcPr>
            <w:tcW w:w="58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0"/>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(15,099)</w:t>
            </w:r>
          </w:p>
        </w:tc>
        <w:tc>
          <w:tcPr>
            <w:tcW w:w="960" w:type="dxa"/>
            <w:vAlign w:val="bottom"/>
            <w:tcBorders>
              <w:bottom w:val="single" w:sz="8" w:color="CCEEFF"/>
            </w:tcBorders>
            <w:shd w:val="clear" w:color="auto" w:fill="CCEEFF"/>
          </w:tcPr>
          <w:p>
            <w:pPr>
              <w:jc w:val="right"/>
              <w:ind w:right="60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(968)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i w:val="1"/>
                <w:iCs w:val="1"/>
                <w:color w:val="auto"/>
              </w:rPr>
              <w:t>48.0%</w:t>
            </w: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i w:val="1"/>
                <w:iCs w:val="1"/>
                <w:color w:val="auto"/>
              </w:rPr>
              <w:t>39.4%</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58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80" w:type="dxa"/>
            <w:vAlign w:val="bottom"/>
            <w:tcBorders>
              <w:bottom w:val="single" w:sz="8" w:color="999999"/>
            </w:tcBorders>
          </w:tcPr>
          <w:p>
            <w:pPr>
              <w:spacing w:after="0"/>
              <w:rPr>
                <w:sz w:val="2"/>
                <w:szCs w:val="2"/>
                <w:color w:val="auto"/>
              </w:rPr>
            </w:pPr>
          </w:p>
        </w:tc>
        <w:tc>
          <w:tcPr>
            <w:tcW w:w="560" w:type="dxa"/>
            <w:vAlign w:val="bottom"/>
            <w:tcBorders>
              <w:bottom w:val="single" w:sz="8" w:color="999999"/>
            </w:tcBorders>
          </w:tcPr>
          <w:p>
            <w:pPr>
              <w:spacing w:after="0"/>
              <w:rPr>
                <w:sz w:val="2"/>
                <w:szCs w:val="2"/>
                <w:color w:val="auto"/>
              </w:rPr>
            </w:pPr>
          </w:p>
        </w:tc>
        <w:tc>
          <w:tcPr>
            <w:tcW w:w="8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September 30, 2016, the effective tax rate varied from the federal statutory rate of 35% primarily due to state taxes, including the impact of a reduction in North Carolina state income tax rates which reduced the value of its deferred tax assets.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nine months ended September 30, 2016, the effective tax rate varied from the federal statutory rate of 35% primarily due to the benefit derived from the federal research tax credit, partially offset by state taxes, including the impact of state tax reductions. The federal research tax credit benefit is the result of a study completed during the second quarter for the open tax years of 2011 through 2015, plus an estimate of the benefit from current research activities.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nine months ended September 30, 2015, the effective tax rate varied from the federal statutory rate of 35% primarily due to the existence of a valuation allowance that was previously provided to offset the Company's net deferred tax asset and state taxes. During the fourth quarter of 2015, the Company released the majority of the valuation allowance.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the Company's wholly-owned subsidiary, LendingTree, LLC, entered into a $125.0 million five-year senior secured revolving credit facility which matures on October 22, 2020 (the “Revolving Credit Facility”). The proceeds of the Revolving Credit Facility can be used to finance the working capital needs, capital expenditures and general corporate purposes, including to finance permitted acquisitions. As of September 30, 2016, the Company does not have any borrowings outstanding under the Revolving Credit Facility.</w:t>
      </w:r>
    </w:p>
    <w:p>
      <w:pPr>
        <w:spacing w:after="0" w:line="13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 the Revolving Credit Facility up to an aggregate amount of $50.0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month plus 1.0% and (ii) an applicable percentage of 1.0% to 2.0% based on the funded debt to consolidated EBITDA ratio; or</w:t>
      </w:r>
    </w:p>
    <w:p>
      <w:pPr>
        <w:spacing w:after="0" w:line="18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2.0% to 3.0% based on the funded debt to consolidated EBITDA ratio.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Revolving Credit Facility contains certain restrictive financial covenants, which include a funded debt to consolidated EBITDA ratio and a consolidated EBITDA to interest expense ratio.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September 30, 2016.</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Revolving Credit Facility requires LendingTree, LLC to pledge as collateral, subject to certain customary exclusions, 100% of its assets, including 100% of its equity in all of its subsidiaries. The obligations under this facility are unconditionally guaranteed on a senior basis by LendingTree, Inc. and specific subsidiaries of LendingTree, LLC, which guaranties are secured by a pledge as collateral, subject to certain customary exclusions, of 100% of each of such guarantor's assets, including 100% of its equity in all of its subsidiaries.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0.5% per annum based on a funded debt to consolidated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2.0% to 3.0% based on the funded debt to consolidated EBITDA ratio. The letter of credit fronting fee is .125% per annum on the face amount of each letter of credit.</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incurred debt issuance costs of $1.2 million for the Revolving Credit Facility, which is included in prepaid and other current assets and other non-current assets in the Company's consolidated balance sheet and is being amortized to interest expense over the life of the Revolving Credit Facility of five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12,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September 30, 2016 and December 31, 2015, the Company had a litigation settlement accrual of $0.7 million and $0.6 million, respectively, in continuing operations and $4.0 million and $3.6 million, respectively, in discontinued operations. The litigation settlement accrual relates to litigation matters that were either settled or a firm offer for settlement was extended, thereby establishing an accrual amount that is both probable and reasonably estimable.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LendingTree v. Zillow, Inc., et al. Civil Action No. 3:10-cv-439</w:t>
      </w:r>
      <w:r>
        <w:rPr>
          <w:rFonts w:ascii="Arial" w:cs="Arial" w:eastAsia="Arial" w:hAnsi="Arial"/>
          <w:sz w:val="18"/>
          <w:szCs w:val="18"/>
          <w:color w:val="auto"/>
        </w:rPr>
        <w:t>. On September 8, 2010, the Company filed an action for patent infringement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Court for the Western District of North Carolina against Zillow, Inc., NexTag, Inc., Quinstreet,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Quinstreet Media, Inc. and Adchemy, Inc. The complaint was amended to include Leadpoint, Inc. d/b/a Securerights on September 24, 2010. The complaint alleged that each of the defendants infringed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defense of laches and 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 a portion of its attorney's fees and costs totaling $2.3 million, plus interest. The trial and post-trial motion process is now complete.</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review by such court of the laches defense in an unrelated patent infringement matter and ruled in favor of Zillow, Inc. on an immaterial amount of costs related to the trial process. In June 2015, the Company reached a settlement agreement for $1.1 million with defendant NexTag pursuant to which the Company dismissed its appeal of the jury verdict and the award of attorney's fees concerning NexTag, and NexTag dismissed its cross-appeal and claims relating to the jury verdict and the award of attorneys' fees. In July 2015, the stay was lifted on the Company's appeal with respect to the jury verdict concerning Zillow, Inc. The appeal was heard by the U.S. Court of Appeals for the Federal Circuit in June 2016, and in July 2016 the Court determined that certain of the claims of the two patents referenced above were directed to ineligible subject matter and thus such claims were invalid under 35 U.S.C. Section 101. With respect to the remaining claims that the Court did not hold were ineligible, the Court granted a remand to the federal district court to allow LendingTree to file a motion to vacate the judgment of invalidity for incorrect inventorship.</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Next Advisor, Inc.</w:t>
      </w:r>
    </w:p>
    <w:p>
      <w:pPr>
        <w:spacing w:after="0" w:line="171"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i w:val="1"/>
          <w:iCs w:val="1"/>
          <w:color w:val="auto"/>
        </w:rPr>
        <w:t>Next Advisor, Inc. v. LendingTree, Inc. and LendingTree, LLC, No. 15-cvs-20775 (N.C. Super. Ct.)</w:t>
      </w:r>
      <w:r>
        <w:rPr>
          <w:rFonts w:ascii="Arial" w:cs="Arial" w:eastAsia="Arial" w:hAnsi="Arial"/>
          <w:sz w:val="18"/>
          <w:szCs w:val="18"/>
          <w:color w:val="auto"/>
        </w:rPr>
        <w:t>. On November 6, 2015, the plaintiff filed this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LendingTree, Inc. and LendingTree, LLC (together "LendingTree"). The plaintiff generally alleges that LendingTree breached a non-disclosure agreement and misappropriated trade secrets in the context of a potential business acquisition of the plaintiff by LendingTree. Based upon these allegations, the plaintiff asserts claims for breach of contract, misappropriation of trade secrets and violation of North Carolina Unfair and Deceptive Trade Practices Act. The plaintiff seeks damages, attorneys' fees and injunctive relief.</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16, 2015, LendingTree filed its answer to the plaintiff's complaint, denying the material allegations and asserting numerous defenses thereto. In June 2016, the Court granted plaintiff's motion for preliminary injunction and ordered that LendingTree cease any utilization of confidential and trade secret information of plaintiff and cease marketing its credit card product via certain third party content marketing platforms until the judge finally determines the facts in this matter and the appropriate relief, if any, to be granted with respect thereto. Discovery is ongoing in this matter. LendingTree believes that the plaintiff's allegations lack merit and intends to vigorously defend this action. In July 2016, LendingTree filed a notice of appeal with respect to the order granting plaintiff's motion for preliminary injunction to the North Carolina Supreme Court. An estimated liability of $0.1 million for this matter is included in the accompanying consolidated balance sheet as of September 30, 2016.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None of the Joining Regulators have asserted any such allegations.</w:t>
      </w:r>
    </w:p>
    <w:p>
      <w:pPr>
        <w:spacing w:after="0" w:line="85" w:lineRule="exact"/>
        <w:rPr>
          <w:sz w:val="20"/>
          <w:szCs w:val="20"/>
          <w:color w:val="auto"/>
        </w:rPr>
      </w:pPr>
    </w:p>
    <w:p>
      <w:pPr>
        <w:jc w:val="both"/>
        <w:ind w:firstLine="368"/>
        <w:spacing w:after="0" w:line="272" w:lineRule="auto"/>
        <w:rPr>
          <w:sz w:val="20"/>
          <w:szCs w:val="20"/>
          <w:color w:val="auto"/>
        </w:rPr>
      </w:pPr>
      <w:r>
        <w:rPr>
          <w:rFonts w:ascii="Arial" w:cs="Arial" w:eastAsia="Arial" w:hAnsi="Arial"/>
          <w:sz w:val="17"/>
          <w:szCs w:val="17"/>
          <w:color w:val="auto"/>
        </w:rPr>
        <w:t>The proposed Consent Agreement and Order calls for a fine to be allocated among the Division and the Joining Regulators and for LendingTree, LLC to adopt various new procedures and practices. The Company has commenced negotiations toward an acceptable Consent Agreement and Order. It does not believe its mortgage marketplace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an estimated liability of $0.5 million has been established for this matter in the accompanying consolidated balance sheet as of September 30, 2016.</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Lijkel Dijkstra v. Harry Carenbauer, Home Loan Center, Inc. et al., No. 5:11-cv-152-JPB (U.S. Dist. Ct., N.D.WV). </w:t>
      </w:r>
      <w:r>
        <w:rPr>
          <w:rFonts w:ascii="Arial" w:cs="Arial" w:eastAsia="Arial" w:hAnsi="Arial"/>
          <w:sz w:val="16"/>
          <w:szCs w:val="16"/>
          <w:color w:val="auto"/>
        </w:rPr>
        <w:t>In November 2008, the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filed a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included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In February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HLC and the plaintiff settled the remaining Individual Claims in June 2014.</w:t>
      </w:r>
    </w:p>
    <w:p>
      <w:pPr>
        <w:spacing w:after="0" w:line="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July 2014, the court awarded damages to plaintiffs in the amount of $2.8 million (the "Class Damages Award"). HLC filed a notice of appeal in August 2014 and in September 2014, plaintiffs filed a motion to dismiss the appeal. In December 2014, the U.S. Court of Appeals for the Fourth Circuit determined that the district court's order was not yet final, and, accordingly, HLC's appeal was dismissed. In July 2015, the district court ordered that the Class Damages Award be allocated such that two-thirds of the Class Damages Award would be paid to the class members and one-third of the Class Damages would be paid to the plaintiffs' attorneys. In addition, the court ordered that HLC reimburse the class for attorneys' fees by making an incremental payment of $389,500 attorneys' fee award be paid by HLC to the plaintiffs' attorneys. The judge also awarded prejudgment interest to Plaintiffs. On July 30, 2015, the district court judge entered a final judgment order in this matter. On August 27, 2015, HLC filed its notice of appeal to the U.S. Court of Appeals for the Fourth Circuit with respect to the final judgment, the order granting attorneys' fees, and the orders on class damages, the pretrial conference, motions and class certification. In June 2016, the parties executed a settlement agreement for $1.9 million with respect to such matters. Such settlement was approved by the district court judge in the third quarter of 2016 and class notice and administration requirements are now complete. During the three months ended September 30, 2016, the Company reversed $1.3 million of the originally established liability for this matter.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9, 2015, HLC filed its answer to RFC’s complaint, denying the material allegations of the complaint and asserting numerous defenses thereto. Discovery is ongoing in this matter. An estimated liability of $3.0 million for this matter is included in the accompanying consolidated balance sheet as of September 30, 2016. HLC intends to vigorously defend this action.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Lehman Brothers Holdings Inc. v. 1st Advantage Mortgage, LLC et al., Case No. 08-13555 (SCC) (Bankr. S.D.N.Y.). </w:t>
      </w:r>
      <w:r>
        <w:rPr>
          <w:rFonts w:ascii="Arial" w:cs="Arial" w:eastAsia="Arial" w:hAnsi="Arial"/>
          <w:sz w:val="17"/>
          <w:szCs w:val="17"/>
          <w:color w:val="auto"/>
        </w:rPr>
        <w:t>In February 2016, Lehman Brothers</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Inc. (“LBHI”) filed an Adversary Complaint against Home Loan Center and approximately 149 other defendants (the "Complaint"). The Complaint generally seeks (1) a declaratory judgment that the settlements entered into by LBHI with Fannie Mae and Freddie Mac as part of LBHI's bankruptcy proceedings gave rise to LBHI's contractual indemnification claims against defendants alleged in the Complaint; (2) indemnification from HLC and the other defendants for losses allegedly incurred by LBHI in respect of defective mortgage loans sold by defendants to LBHI or its affiliates; and (3) interest, attorneys' fees and costs incurred by LBHI in the litigation. HLC intends to defend this action vigorously. HLC had previously received a demand letter (the "Letter") from LBHI in December 2014 with respect to 64 loans (the “Loans”) that LBHI alleges were sold by HLC to Lehman Brothers Bank, FSB (“LBB”) between 2004 and 2008 pursuant to a loan purchase agreement (the “LPA”) between HLC and LBB. The Letter generally sought indemnification from HLC in accordance with the LPA for certain claims that LBHI alleged it allowed in its bankruptcy with respect to the Loans. An estimated liability of $1.0 million for this matter is included in the accompanying consolidated balance sheet as of September 30,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250"/>
        </w:trPr>
        <w:tc>
          <w:tcPr>
            <w:tcW w:w="368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3"/>
              </w:rPr>
              <w:t>2015</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2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53,523</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44,171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164,571</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118,367</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2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41,035</w:t>
            </w:r>
          </w:p>
        </w:tc>
        <w:tc>
          <w:tcPr>
            <w:tcW w:w="5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25,633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118,990</w:t>
            </w:r>
          </w:p>
        </w:tc>
        <w:tc>
          <w:tcPr>
            <w:tcW w:w="5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57,508</w:t>
            </w:r>
          </w:p>
        </w:tc>
      </w:tr>
      <w:tr>
        <w:trPr>
          <w:trHeight w:val="27"/>
        </w:trPr>
        <w:tc>
          <w:tcPr>
            <w:tcW w:w="3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6"/>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2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94,558</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69,804</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283,561</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175,875</w:t>
            </w:r>
          </w:p>
        </w:tc>
      </w:tr>
      <w:tr>
        <w:trPr>
          <w:trHeight w:val="459"/>
        </w:trPr>
        <w:tc>
          <w:tcPr>
            <w:tcW w:w="36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2015</w:t>
            </w: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1,834</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1,835</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r>
      <w:tr>
        <w:trPr>
          <w:trHeight w:val="318"/>
        </w:trPr>
        <w:tc>
          <w:tcPr>
            <w:tcW w:w="6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(1,021)</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(4,640)</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357</w:t>
            </w:r>
          </w:p>
        </w:tc>
        <w:tc>
          <w:tcPr>
            <w:tcW w:w="50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1,623</w:t>
            </w:r>
          </w:p>
        </w:tc>
        <w:tc>
          <w:tcPr>
            <w:tcW w:w="5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131</w:t>
            </w:r>
          </w:p>
        </w:tc>
      </w:tr>
      <w:tr>
        <w:trPr>
          <w:trHeight w:val="27"/>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(664)</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(3,017)</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(3,238)</w:t>
            </w:r>
          </w:p>
        </w:tc>
      </w:tr>
      <w:tr>
        <w:trPr>
          <w:trHeight w:val="27"/>
        </w:trPr>
        <w:tc>
          <w:tcPr>
            <w:tcW w:w="6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6, 2012, the Company sold substantially all of the operating assets of its LendingTree Loans business for $55.9 million in cash to a wholly-owned subsidiary of Discover Financial Services ("Discover"). Discover generally did not assume liabilities of the LendingTree Loans business that arose before the closing date, except for certain liabilities directly related to assets Discover acquired. Of the purchase price paid, as of September 30, 2016, $4.0 million is being held in escrow in accordance with the agreement with Discover for certain loan loss obligations that remain with the Company following the sale. The escrowed amount is recorded as restricted cash as of September 30, 2016.</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Discover participated as a marketplace lender from closing of the transaction through July 2015.</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paying off and then terminating the warehouse lines of credit and settling derivative obligations, all of which have been completed. Liability for losses on previously sold loans will remain with LendingTree Loans and are discussed below.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 As of September 30, 2016, approximately $4.0 million is being held in escrow pending resolution of certain of these contingent liabilities.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sale of substantially all of the operating assets of LendingTree Loans in June 2012, it originated approximately 234,000 loans with an original issue balance of $38.9 billion.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remaining unsettled loans.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color w:val="auto"/>
                <w:w w:val="92"/>
              </w:rPr>
              <w:t>Number of Loans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jc w:val="right"/>
              <w:ind w:right="274"/>
              <w:spacing w:after="0"/>
              <w:rPr>
                <w:sz w:val="20"/>
                <w:szCs w:val="20"/>
                <w:color w:val="auto"/>
              </w:rPr>
            </w:pPr>
            <w:r>
              <w:rPr>
                <w:rFonts w:ascii="Arial" w:cs="Arial" w:eastAsia="Arial" w:hAnsi="Arial"/>
                <w:sz w:val="16"/>
                <w:szCs w:val="16"/>
                <w:b w:val="1"/>
                <w:bCs w:val="1"/>
                <w:color w:val="auto"/>
                <w:w w:val="96"/>
              </w:rPr>
              <w:t>Original Issue Balance</w:t>
            </w:r>
          </w:p>
        </w:tc>
      </w:tr>
      <w:tr>
        <w:trPr>
          <w:trHeight w:val="33"/>
        </w:trPr>
        <w:tc>
          <w:tcPr>
            <w:tcW w:w="67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i w:val="1"/>
                <w:iCs w:val="1"/>
                <w:color w:val="auto"/>
                <w:w w:val="88"/>
              </w:rPr>
              <w:t>(in thousands)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jc w:val="right"/>
              <w:ind w:right="674"/>
              <w:spacing w:after="0"/>
              <w:rPr>
                <w:sz w:val="20"/>
                <w:szCs w:val="20"/>
                <w:color w:val="auto"/>
              </w:rPr>
            </w:pPr>
            <w:r>
              <w:rPr>
                <w:rFonts w:ascii="Arial" w:cs="Arial" w:eastAsia="Arial" w:hAnsi="Arial"/>
                <w:sz w:val="16"/>
                <w:szCs w:val="16"/>
                <w:b w:val="1"/>
                <w:bCs w:val="1"/>
                <w:i w:val="1"/>
                <w:iCs w:val="1"/>
                <w:color w:val="auto"/>
              </w:rPr>
              <w:t>(in billions)</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sold by HLC</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Subsequent settlements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(172)</w:t>
            </w:r>
          </w:p>
        </w:tc>
        <w:tc>
          <w:tcPr>
            <w:tcW w:w="3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Remaining unsettled loans as of September 30, 2016</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r>
      <w:tr>
        <w:trPr>
          <w:trHeight w:val="27"/>
        </w:trPr>
        <w:tc>
          <w:tcPr>
            <w:tcW w:w="674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as well as LendingTree Loans' non-operating status, in order to estimate a range of potential obligation.</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$4.4 million to $7.9 million at September 30, 2016. The reserve balance recorded as of September 30, 2016 was $6.3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8,127</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8,127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8,750</w:t>
            </w: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Provisions </w:t>
            </w:r>
            <w:r>
              <w:rPr>
                <w:rFonts w:ascii="Arial" w:cs="Arial" w:eastAsia="Arial" w:hAnsi="Arial"/>
                <w:sz w:val="25"/>
                <w:szCs w:val="25"/>
                <w:color w:val="auto"/>
                <w:vertAlign w:val="superscript"/>
              </w:rPr>
              <w:t>(a)</w:t>
            </w:r>
          </w:p>
        </w:tc>
        <w:tc>
          <w:tcPr>
            <w:tcW w:w="300" w:type="dxa"/>
            <w:vAlign w:val="bottom"/>
          </w:tcPr>
          <w:p>
            <w:pPr>
              <w:spacing w:after="0"/>
              <w:rPr>
                <w:sz w:val="23"/>
                <w:szCs w:val="23"/>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(1,834)</w:t>
            </w:r>
          </w:p>
        </w:tc>
        <w:tc>
          <w:tcPr>
            <w:tcW w:w="5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6,293</w:t>
            </w:r>
          </w:p>
        </w:tc>
        <w:tc>
          <w:tcPr>
            <w:tcW w:w="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8,750</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6,293</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8,750</w:t>
            </w:r>
          </w:p>
        </w:tc>
      </w:tr>
      <w:tr>
        <w:trPr>
          <w:trHeight w:val="34"/>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third quarter of 2016, the Company adjusted the loan loss reserve to remove the estimated liability for loans sold to RFC. The Company is in litigation with RFC and reserved the loss for this litigation in the legal reserve. See Note 12—Contingencies for additional information about the RFC litigation.</w:t>
      </w:r>
    </w:p>
    <w:p>
      <w:pPr>
        <w:spacing w:after="0" w:line="1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September 30, 2016 and December 31,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2015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we believe to be the leading online loan marketplace for consumers seeking loans and other credit-based offerings. Our online marketplace provides consumers with access to product offerings from our Network Lenders, including mortgage loans, home equity, reverse mortgage, auto loans, credit cards, personal loans, student loans and small business loans and other related offerings. In addition, we offer tools and resources, including free credit scores, that facilitate comparison shopping for these loan and other credit-based offerings. We seek to match consumers with multiple lenders, who can provide them with competing quotes for the product they are seeking. We also serve as a valued partner to lenders seeking an efficient, scalable and flexible source of customer acquisition with directly measurable benefits, by matching the consumer inquiries we generate with these lenders.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 and other credit-based opportunities on our marketplace that may be more favorable than the loans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operating our core mortgage business, we are focused on growing our non-mortgage lending businesses and developing new product offerings and enhancements to improve the experiences that consumers and lenders have as they interact with us. By expanding our portfolio of loan and credit-based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activity is principally driven by mortgage interest rates as well as real estate values. However, these trends in our business are not absolute and there have been exceptions to them. For example, in recent periods additional factors affecting the mortgage and real estate markets have impacted customary seasonal trends.</w:t>
      </w:r>
    </w:p>
    <w:p>
      <w:pPr>
        <w:spacing w:after="0" w:line="12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anticipate revenue in our newer products to be cyclical as well; however, we have limited historical data to predict the nature and magnitude of this cyclicality. Other factors affecting our business include macro factors such as credit availability in the market, the strength of the economy and employment.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Freddie Mac, mortgage interest rates have continued to stay low, at a monthly average of 3.46% in September 2016. On a quarterly basis, mortgage interest rates in the third quarter of 2016 averaged 3.45%, as compared to 3.59% in the second quarter of 2016 and 3.95% in the third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193040</wp:posOffset>
            </wp:positionV>
            <wp:extent cx="4922520" cy="2504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22520"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Typically, as mortgage interest rates drop, there are more consumers in the marketplace seeking refinancings and, accordingly, the mix of mortgage origination dollars moves towards refinance mortgages. Total refinance origination dollars increased slightly to 47% of total mortgage origination dollars in the third quarter of 2016 over the second quarter of 2016.</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Looking forward, Mortgage Bankers Association ("MBA") is projecting mortgage interest rates to remain low through the end of the year, at which MBA projects interest rates to remain steady at an average 3.7% on 30-year fixed rate mortgages. According to MBA projections, the refinance share of total mortgage originations will represent 51% in the fourth quarter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the National Association of Realtors ("NAR"), in the third quarter of 2016, existing home sales decreased approximately 3% from the second quarter of 2016 and decreased approximately 1% from the third quarter of 2015, due to limited supply, with existing housing inventory down approximately 7% from a year ago. The NAR expects inventory to remain extremely tight for the remainder of the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2016 and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w w:val="92"/>
              </w:rPr>
              <w:t>Three Months Ended September 30,</w:t>
            </w:r>
          </w:p>
        </w:tc>
        <w:tc>
          <w:tcPr>
            <w:tcW w:w="348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6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60" w:type="dxa"/>
            <w:vAlign w:val="bottom"/>
          </w:tcPr>
          <w:p>
            <w:pPr>
              <w:jc w:val="right"/>
              <w:ind w:right="440"/>
              <w:spacing w:after="0" w:line="147"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61"/>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740" w:type="dxa"/>
            <w:vAlign w:val="bottom"/>
          </w:tcPr>
          <w:p>
            <w:pPr>
              <w:jc w:val="right"/>
              <w:ind w:right="360"/>
              <w:spacing w:after="0" w:line="147"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300"/>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00" w:type="dxa"/>
            <w:vAlign w:val="bottom"/>
            <w:gridSpan w:val="3"/>
          </w:tcPr>
          <w:p>
            <w:pPr>
              <w:jc w:val="right"/>
              <w:ind w:right="359"/>
              <w:spacing w:after="0"/>
              <w:rPr>
                <w:sz w:val="20"/>
                <w:szCs w:val="20"/>
                <w:color w:val="auto"/>
              </w:rPr>
            </w:pPr>
            <w:r>
              <w:rPr>
                <w:rFonts w:ascii="Arial" w:cs="Arial" w:eastAsia="Arial" w:hAnsi="Arial"/>
                <w:sz w:val="13"/>
                <w:szCs w:val="13"/>
                <w:b w:val="1"/>
                <w:bCs w:val="1"/>
                <w:i w:val="1"/>
                <w:iCs w:val="1"/>
                <w:color w:val="auto"/>
              </w:rPr>
              <w:t>(Dollars 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53,523</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44,171</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9,352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164,571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118,367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46,204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41,035</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25,633</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15,402</w:t>
            </w:r>
          </w:p>
        </w:tc>
        <w:tc>
          <w:tcPr>
            <w:tcW w:w="920" w:type="dxa"/>
            <w:vAlign w:val="bottom"/>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118,990</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57,508</w:t>
            </w:r>
          </w:p>
        </w:tc>
        <w:tc>
          <w:tcPr>
            <w:tcW w:w="14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61,482</w:t>
            </w:r>
          </w:p>
        </w:tc>
        <w:tc>
          <w:tcPr>
            <w:tcW w:w="820" w:type="dxa"/>
            <w:vAlign w:val="bottom"/>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94,558</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69,804</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24,754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283,561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175,875</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107,686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61 %</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Cost of revenue (exclusive of depreciation shown separately</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below)</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2,436</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956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10,329</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6,402</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3,927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62,819</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48,901</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13,918</w:t>
            </w:r>
          </w:p>
        </w:tc>
        <w:tc>
          <w:tcPr>
            <w:tcW w:w="92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192,416</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118,615</w:t>
            </w:r>
          </w:p>
        </w:tc>
        <w:tc>
          <w:tcPr>
            <w:tcW w:w="14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73,801</w:t>
            </w:r>
          </w:p>
        </w:tc>
        <w:tc>
          <w:tcPr>
            <w:tcW w:w="820" w:type="dxa"/>
            <w:vAlign w:val="bottom"/>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7,069</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1,939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26,820</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21,336</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5,484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3,718</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2,675</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1,043</w:t>
            </w:r>
          </w:p>
        </w:tc>
        <w:tc>
          <w:tcPr>
            <w:tcW w:w="92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11,384</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7,238</w:t>
            </w:r>
          </w:p>
        </w:tc>
        <w:tc>
          <w:tcPr>
            <w:tcW w:w="14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4,146</w:t>
            </w:r>
          </w:p>
        </w:tc>
        <w:tc>
          <w:tcPr>
            <w:tcW w:w="820" w:type="dxa"/>
            <w:vAlign w:val="bottom"/>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2,135</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1,323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166</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141</w:t>
            </w:r>
          </w:p>
        </w:tc>
        <w:tc>
          <w:tcPr>
            <w:tcW w:w="920" w:type="dxa"/>
            <w:vAlign w:val="bottom"/>
          </w:tcPr>
          <w:p>
            <w:pPr>
              <w:jc w:val="right"/>
              <w:spacing w:after="0"/>
              <w:rPr>
                <w:sz w:val="20"/>
                <w:szCs w:val="20"/>
                <w:color w:val="auto"/>
              </w:rPr>
            </w:pPr>
            <w:r>
              <w:rPr>
                <w:rFonts w:ascii="Arial" w:cs="Arial" w:eastAsia="Arial" w:hAnsi="Arial"/>
                <w:sz w:val="16"/>
                <w:szCs w:val="16"/>
                <w:color w:val="auto"/>
              </w:rPr>
              <w:t>564 %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139</w:t>
            </w:r>
          </w:p>
        </w:tc>
        <w:tc>
          <w:tcPr>
            <w:tcW w:w="820" w:type="dxa"/>
            <w:vAlign w:val="bottom"/>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and severance</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60" w:type="dxa"/>
            <w:vAlign w:val="bottom"/>
          </w:tcPr>
          <w:p>
            <w:pPr>
              <w:spacing w:after="0"/>
              <w:rPr>
                <w:sz w:val="20"/>
                <w:szCs w:val="20"/>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(114)</w:t>
            </w:r>
          </w:p>
        </w:tc>
        <w:tc>
          <w:tcPr>
            <w:tcW w:w="920" w:type="dxa"/>
            <w:vAlign w:val="bottom"/>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(663)</w:t>
            </w:r>
          </w:p>
        </w:tc>
        <w:tc>
          <w:tcPr>
            <w:tcW w:w="14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772</w:t>
            </w:r>
          </w:p>
        </w:tc>
        <w:tc>
          <w:tcPr>
            <w:tcW w:w="820" w:type="dxa"/>
            <w:vAlign w:val="bottom"/>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80,408</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62,031</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18,377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30 %</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244,851</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155,609</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89,242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57 %</w:t>
            </w:r>
          </w:p>
        </w:tc>
        <w:tc>
          <w:tcPr>
            <w:tcW w:w="0" w:type="dxa"/>
            <w:vAlign w:val="bottom"/>
          </w:tcPr>
          <w:p>
            <w:pPr>
              <w:spacing w:after="0"/>
              <w:rPr>
                <w:sz w:val="1"/>
                <w:szCs w:val="1"/>
                <w:color w:val="auto"/>
              </w:rPr>
            </w:pP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14,150</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7,773</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6,377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82 %</w:t>
            </w: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38,710</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20,266</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18,444</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140</w:t>
            </w:r>
          </w:p>
        </w:tc>
        <w:tc>
          <w:tcPr>
            <w:tcW w:w="920" w:type="dxa"/>
            <w:vAlign w:val="bottom"/>
          </w:tcPr>
          <w:p>
            <w:pPr>
              <w:jc w:val="right"/>
              <w:spacing w:after="0"/>
              <w:rPr>
                <w:sz w:val="20"/>
                <w:szCs w:val="20"/>
                <w:color w:val="auto"/>
              </w:rPr>
            </w:pPr>
            <w:r>
              <w:rPr>
                <w:rFonts w:ascii="Arial" w:cs="Arial" w:eastAsia="Arial" w:hAnsi="Arial"/>
                <w:sz w:val="16"/>
                <w:szCs w:val="16"/>
                <w:color w:val="auto"/>
              </w:rPr>
              <w:t>14,000 %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(424)</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361</w:t>
            </w:r>
          </w:p>
        </w:tc>
        <w:tc>
          <w:tcPr>
            <w:tcW w:w="820" w:type="dxa"/>
            <w:vAlign w:val="bottom"/>
          </w:tcPr>
          <w:p>
            <w:pPr>
              <w:jc w:val="right"/>
              <w:spacing w:after="0"/>
              <w:rPr>
                <w:sz w:val="20"/>
                <w:szCs w:val="20"/>
                <w:color w:val="auto"/>
              </w:rPr>
            </w:pPr>
            <w:r>
              <w:rPr>
                <w:rFonts w:ascii="Arial" w:cs="Arial" w:eastAsia="Arial" w:hAnsi="Arial"/>
                <w:sz w:val="16"/>
                <w:szCs w:val="16"/>
                <w:color w:val="auto"/>
              </w:rPr>
              <w:t>573 %</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14,009</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7,772</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6,237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38,286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20,203</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18,083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90 %</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(6,729)</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(389)</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6,340</w:t>
            </w:r>
          </w:p>
        </w:tc>
        <w:tc>
          <w:tcPr>
            <w:tcW w:w="920" w:type="dxa"/>
            <w:vAlign w:val="bottom"/>
          </w:tcPr>
          <w:p>
            <w:pPr>
              <w:jc w:val="right"/>
              <w:spacing w:after="0"/>
              <w:rPr>
                <w:sz w:val="20"/>
                <w:szCs w:val="20"/>
                <w:color w:val="auto"/>
              </w:rPr>
            </w:pPr>
            <w:r>
              <w:rPr>
                <w:rFonts w:ascii="Arial" w:cs="Arial" w:eastAsia="Arial" w:hAnsi="Arial"/>
                <w:sz w:val="16"/>
                <w:szCs w:val="16"/>
                <w:color w:val="auto"/>
              </w:rPr>
              <w:t>1,630 %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(15,099)</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(968)</w:t>
            </w:r>
          </w:p>
        </w:tc>
        <w:tc>
          <w:tcPr>
            <w:tcW w:w="14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14,131</w:t>
            </w:r>
          </w:p>
        </w:tc>
        <w:tc>
          <w:tcPr>
            <w:tcW w:w="820" w:type="dxa"/>
            <w:vAlign w:val="bottom"/>
          </w:tcPr>
          <w:p>
            <w:pPr>
              <w:jc w:val="right"/>
              <w:spacing w:after="0"/>
              <w:rPr>
                <w:sz w:val="20"/>
                <w:szCs w:val="20"/>
                <w:color w:val="auto"/>
              </w:rPr>
            </w:pPr>
            <w:r>
              <w:rPr>
                <w:rFonts w:ascii="Arial" w:cs="Arial" w:eastAsia="Arial" w:hAnsi="Arial"/>
                <w:sz w:val="16"/>
                <w:szCs w:val="16"/>
                <w:color w:val="auto"/>
              </w:rPr>
              <w:t>1,460 %</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7,280</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7,383</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23,187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19,235</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3,952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21 %</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Loss from discontinued operations, net of tax</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(664)</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(1,295)</w:t>
            </w:r>
          </w:p>
        </w:tc>
        <w:tc>
          <w:tcPr>
            <w:tcW w:w="160" w:type="dxa"/>
            <w:vAlign w:val="bottom"/>
          </w:tcPr>
          <w:p>
            <w:pPr>
              <w:spacing w:after="0"/>
              <w:rPr>
                <w:sz w:val="20"/>
                <w:szCs w:val="20"/>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(631)</w:t>
            </w:r>
          </w:p>
        </w:tc>
        <w:tc>
          <w:tcPr>
            <w:tcW w:w="9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(3,017)</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(3,238)</w:t>
            </w:r>
          </w:p>
        </w:tc>
        <w:tc>
          <w:tcPr>
            <w:tcW w:w="140" w:type="dxa"/>
            <w:vAlign w:val="bottom"/>
          </w:tcPr>
          <w:p>
            <w:pPr>
              <w:spacing w:after="0"/>
              <w:rPr>
                <w:sz w:val="20"/>
                <w:szCs w:val="20"/>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(221)</w:t>
            </w: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and comprehensive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6,616</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6,088</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528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20,170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15,997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4,173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26 %</w:t>
            </w:r>
          </w:p>
        </w:tc>
        <w:tc>
          <w:tcPr>
            <w:tcW w:w="0" w:type="dxa"/>
            <w:vAlign w:val="bottom"/>
          </w:tcPr>
          <w:p>
            <w:pPr>
              <w:spacing w:after="0"/>
              <w:rPr>
                <w:sz w:val="1"/>
                <w:szCs w:val="1"/>
                <w:color w:val="auto"/>
              </w:rPr>
            </w:pPr>
          </w:p>
        </w:tc>
      </w:tr>
      <w:tr>
        <w:trPr>
          <w:trHeight w:val="27"/>
        </w:trPr>
        <w:tc>
          <w:tcPr>
            <w:tcW w:w="4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Revenue increased in the third quarter and first nine months of 2016 compared to the third quarter and first nine months of 2015 due to increases in our non-mortgage products of $15.4 million and $61.5 million, respectively, and in our mortgage products of $9.4 million and $46.2 million, respectively.</w:t>
      </w:r>
    </w:p>
    <w:p>
      <w:pPr>
        <w:spacing w:after="0" w:line="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non-mortgage products include the following non-mortgage lending products: personal loans, home equity, reverse mortgage, credit cards, auto loans, student loans and small business loans. Our non-mortgage products also include home improvement referrals and other credit products such as credit repair and debt settlement. Many of our non-mortgage products are not individually significant to revenue. The increase in revenue from our non-mortgage products in the third quarter and first nine months of 2016 from the third quarter and first nine months of 2015 is primarily due to an increase in lenders on our exchange, increased marketing efforts and a small acquisition. This resulted in an increase in the number of consumers completing request forms for the non-mortgage products in the third quarter and first nine months of 2016 compared to the third quarter and first nine months of 2015.</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our personal loans product increased $2.0 million to $17.6 million in the third quarter of 2016 from $15.6 million in the third quarter of 2015, or 13%, and increased $16.8 million to $51.9 million in the first nine months of 2016 from $35.1 million in the first nine months of 2015, or 48%. Revenue from our personal loans product increased in the third quarter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first nine months of 2016 compared to the third quarter and first nine months of 2015 due to an increase in lenders on our exchange and increased marketing efforts, partially offset by decreases in revenue earned per consumer. Certain of our online personal loan lenders experienced well-publicized challenges in the first nine months of 2016, in particular increased pricing demanded by investors of personal loans, which in some cases led to reductions in marketing spend, and tightening in underwriting standards. We believe the market for our non-mortgage products, including personal loans, remains under-penetrated and we believe long-term growth prospects are strong for non-mortgage products. A significant industry-wide contraction in the availability of capital for non-mortgage lending products would likely adversely affect our non-mortgage product revenues. We expect more moderate year-over-year growth in non-mortgage revenue for the fourth quarter of 2016 compared to the year-over-year growth we have seen in the first three quarters of 2016. We expect our personal loan revenue to decrease in the fourth quarter of 2016 compared to the fourth quarter of 2015, while we expect growth in our other non-mortgage products.</w:t>
      </w:r>
    </w:p>
    <w:p>
      <w:pPr>
        <w:spacing w:after="0" w:line="14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the periods presented, no other non-mortgage product represented more than 10% of revenue, however certain other non-mortgage products experienced notable increases. Revenue from our credit cards product increased by $3.9 million and $20.2 million in the third quarter and first nine months of 2016 compared to the third quarter and first nine months of 2015, respectively, due to increases in payouts from issuers in addition to increased marketing efforts. Revenue from our home equity product increased by $3.7 million and $10.4 million in the third quarter and first nine months of 2016 compared to the third quarter and first nine months of 2015, respectively, due to an increase in lender coverage and an increase in revenue earned per consumer combined with increased marketing efforts. Student loan revenue increased approximately $2.4 million in the third quarter of 2016 compared to the third quarter of 2015 due to additional lenders on the student loan network and increased marketing efforts, primarily due to a small acquisition.</w:t>
      </w:r>
    </w:p>
    <w:p>
      <w:pPr>
        <w:spacing w:after="0" w:line="11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increase in revenue from our mortgage products in the third quarter and first nine months of 2016 compared to the third quarter and first nine months of 2015 is primarily due to an increase in revenue from our refinance product. The revenue from our refinance product increased $10.4 million, in the third quarter of 2016 from the third quarter of 2015, and increased $42.2 million, in the first nine months of 2016 from the first nine months of 2015, primarily due to an increase in lender demand and an increase in marketing efforts. The number of consumers completing a request form increased in the third quarter and first nine months of 2016 compared to the third quarter and first nine months of 2015, partially offset by a decrease in revenue earned per consumer in the third quarter and first nine months of 2016 compared to the third quarter and first nine months of 2015. We expect more moderate year-over-year growth in mortgage revenue in the fourth quarter of 2016 compared to the year-over-year growth we have seen in the first three quarters of 2016.</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Cost of revenue consists primarily of costs associated with compensation and other employee-related costs (including stock-based compensation) relating to internally-operated call centers, third-party customer call center fees, credit scoring fees, credit card fees, website network hosting and server fees.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the third quarter of 2016 from the third quarter of 2015, primarily due to increases of $0.2 million in compensation and benefits as a result of increases in headcount, $0.2 million in credit scoring fees, $0.2 million in lead technology fees and $0.2 million in lead verification fees.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increased from 3% for the third quarter of 2015 to 4% for the third quarter of 2016.</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the first nine months of 2016 from the first nine months of 2015, primarily due to increases of $1.0 million in compensation and benefits as a result of increases in headcount, $0.7 million in credit card fees, $0.6 million in lead technology fees, $0.6 million in credit scoring fees, $0.4 million in third-party call center fees and $0.4 million in lead verification fees.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remained flat at 4% for the first nine months of 2015 and the first nine months of 2016.</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for consumer inquiries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increases in selling and marketing expense in the third quarter and first nine months of 2016 compared to the third quarter and first nine months of 2015 were primarily due to increases in advertising and promotional expense of $12.8 million and $70.2 million, respectively, as discussed below. In addition, selling and marketing expense increased in the third quarter and first nine months of 2016 compared to the third quarter and first nine months of 2015 due to an increase in compensation and benefits of $1.2 million and $3.6 million, respectively, as a result of increases in headcount.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95"/>
              </w:rPr>
              <w:t>Three Months Ended 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6"/>
              </w:rPr>
              <w:t>Nine Months Ended 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1000" w:type="dxa"/>
            <w:vAlign w:val="bottom"/>
          </w:tcPr>
          <w:p>
            <w:pPr>
              <w:jc w:val="right"/>
              <w:ind w:right="556"/>
              <w:spacing w:after="0" w:line="153"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98"/>
              <w:spacing w:after="0" w:line="15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3"/>
                <w:szCs w:val="13"/>
                <w:color w:val="auto"/>
              </w:rPr>
            </w:pPr>
          </w:p>
        </w:tc>
        <w:tc>
          <w:tcPr>
            <w:tcW w:w="940" w:type="dxa"/>
            <w:vAlign w:val="bottom"/>
          </w:tcPr>
          <w:p>
            <w:pPr>
              <w:jc w:val="right"/>
              <w:ind w:right="516"/>
              <w:spacing w:after="0" w:line="153" w:lineRule="exact"/>
              <w:rPr>
                <w:sz w:val="20"/>
                <w:szCs w:val="20"/>
                <w:color w:val="auto"/>
              </w:rPr>
            </w:pPr>
            <w:r>
              <w:rPr>
                <w:rFonts w:ascii="Arial" w:cs="Arial" w:eastAsia="Arial" w:hAnsi="Arial"/>
                <w:sz w:val="14"/>
                <w:szCs w:val="14"/>
                <w:b w:val="1"/>
                <w:bCs w:val="1"/>
                <w:color w:val="auto"/>
              </w:rPr>
              <w:t>$</w:t>
            </w:r>
          </w:p>
        </w:tc>
        <w:tc>
          <w:tcPr>
            <w:tcW w:w="880" w:type="dxa"/>
            <w:vAlign w:val="bottom"/>
          </w:tcPr>
          <w:p>
            <w:pPr>
              <w:ind w:left="36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60" w:type="dxa"/>
            <w:vAlign w:val="bottom"/>
            <w:gridSpan w:val="4"/>
          </w:tcPr>
          <w:p>
            <w:pPr>
              <w:jc w:val="right"/>
              <w:ind w:right="334"/>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48,982</w:t>
            </w:r>
          </w:p>
        </w:tc>
        <w:tc>
          <w:tcPr>
            <w:tcW w:w="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34,412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14,570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150,075</w:t>
            </w:r>
          </w:p>
        </w:tc>
        <w:tc>
          <w:tcPr>
            <w:tcW w:w="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85,135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64,940</w:t>
            </w:r>
          </w:p>
        </w:tc>
        <w:tc>
          <w:tcPr>
            <w:tcW w:w="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8,251</w:t>
            </w:r>
          </w:p>
        </w:tc>
        <w:tc>
          <w:tcPr>
            <w:tcW w:w="38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9,736</w:t>
            </w:r>
          </w:p>
        </w:tc>
        <w:tc>
          <w:tcPr>
            <w:tcW w:w="280" w:type="dxa"/>
            <w:vAlign w:val="bottom"/>
          </w:tcPr>
          <w:p>
            <w:pPr>
              <w:spacing w:after="0"/>
              <w:rPr>
                <w:sz w:val="21"/>
                <w:szCs w:val="21"/>
                <w:color w:val="auto"/>
              </w:rPr>
            </w:pPr>
          </w:p>
        </w:tc>
        <w:tc>
          <w:tcPr>
            <w:tcW w:w="1000" w:type="dxa"/>
            <w:vAlign w:val="bottom"/>
          </w:tcPr>
          <w:p>
            <w:pPr>
              <w:jc w:val="right"/>
              <w:ind w:right="136"/>
              <w:spacing w:after="0"/>
              <w:rPr>
                <w:sz w:val="20"/>
                <w:szCs w:val="20"/>
                <w:color w:val="auto"/>
              </w:rPr>
            </w:pPr>
            <w:r>
              <w:rPr>
                <w:rFonts w:ascii="Arial" w:cs="Arial" w:eastAsia="Arial" w:hAnsi="Arial"/>
                <w:sz w:val="18"/>
                <w:szCs w:val="18"/>
                <w:color w:val="auto"/>
              </w:rPr>
              <w:t>(1,485)</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25,888</w:t>
            </w:r>
          </w:p>
        </w:tc>
        <w:tc>
          <w:tcPr>
            <w:tcW w:w="3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21,069</w:t>
            </w:r>
          </w:p>
        </w:tc>
        <w:tc>
          <w:tcPr>
            <w:tcW w:w="300" w:type="dxa"/>
            <w:vAlign w:val="bottom"/>
          </w:tcPr>
          <w:p>
            <w:pPr>
              <w:spacing w:after="0"/>
              <w:rPr>
                <w:sz w:val="21"/>
                <w:szCs w:val="21"/>
                <w:color w:val="auto"/>
              </w:rPr>
            </w:pP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4,819</w:t>
            </w:r>
          </w:p>
        </w:tc>
        <w:tc>
          <w:tcPr>
            <w:tcW w:w="880" w:type="dxa"/>
            <w:vAlign w:val="bottom"/>
          </w:tcPr>
          <w:p>
            <w:pPr>
              <w:ind w:left="4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1,337</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(334)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2,712</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455</w:t>
            </w:r>
          </w:p>
        </w:tc>
        <w:tc>
          <w:tcPr>
            <w:tcW w:w="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2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58,236</w:t>
            </w:r>
          </w:p>
        </w:tc>
        <w:tc>
          <w:tcPr>
            <w:tcW w:w="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45,485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12,751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28 %</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179,130</w:t>
            </w:r>
          </w:p>
        </w:tc>
        <w:tc>
          <w:tcPr>
            <w:tcW w:w="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108,916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70,214</w:t>
            </w:r>
          </w:p>
        </w:tc>
        <w:tc>
          <w:tcPr>
            <w:tcW w:w="88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increased our advertising expenditures in the third quarter of 2016 compared to the third quarter of 2015 and the first nine months of 2016 compared to the first nine months of 2015 in order to generate additional consumer inquiries to meet the increased demand of lenders on our marketplace.</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3" w:lineRule="exact"/>
        <w:rPr>
          <w:sz w:val="20"/>
          <w:szCs w:val="20"/>
          <w:color w:val="auto"/>
        </w:rPr>
      </w:pPr>
    </w:p>
    <w:p>
      <w:pPr>
        <w:jc w:val="both"/>
        <w:ind w:firstLine="371"/>
        <w:spacing w:after="0" w:line="264" w:lineRule="auto"/>
        <w:rPr>
          <w:sz w:val="20"/>
          <w:szCs w:val="20"/>
          <w:color w:val="auto"/>
        </w:rPr>
      </w:pPr>
      <w:r>
        <w:rPr>
          <w:rFonts w:ascii="Arial" w:cs="Arial" w:eastAsia="Arial" w:hAnsi="Arial"/>
          <w:sz w:val="18"/>
          <w:szCs w:val="18"/>
          <w:color w:val="auto"/>
        </w:rPr>
        <w:t>General and administrative expense increased in the third quarter of 2016 from the third quarter of 2015, primarily due to increases in compensation and benefits of $0.5 million as a result of increases in headcount, increases in professional fees of $1.2 million and increases in travel and entertainment expenses of employees of $0.2 million.</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General and administrative expense as a percentage of revenue remained flat at 10% in the third quarter of 2016 and the third quarter of 2015.</w:t>
      </w:r>
    </w:p>
    <w:p>
      <w:pPr>
        <w:spacing w:after="0" w:line="12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General and administrative expense increased in the first nine months of 2016 from the first nine months of 2015, primarily due to increases in compensation and benefits of $0.9 million as a result of increases in headcount, increases in professional fees of $5.0 million, increases in technology fees of $1.6 million and increases in other fees and charges of $0.9 million, partially offset by decreases in corporate and employee expenses of $1.5 million and decreases in facility fees of $1.2 million.</w:t>
      </w:r>
    </w:p>
    <w:p>
      <w:pPr>
        <w:spacing w:after="0" w:line="7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General and administrative expense as a percentage of revenue decreased to 9% in the first nine months of 2016 compared to 12% in the first nine months of 2015.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Product development expense increased in the third quarter and first nine months of 2016 compared to the third quarter and first nine months of 2015, as we continued to invest in internal development of new and enhanced features, functionality and business opportunities that we believe will enable us to better and more fully serve consumers and lenders. Product development expenses are comprised primarily of compensation and other employee-related costs. We increased headcount in the third quarter and first nine months of 2016 compared to the third quarter and first nine months of 2015 in order to support planned product launches.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third quarter of 2016, the effective tax rate varied from the federal statutory rate of 35% primarily due to state taxes, including the impact of a reduction in th North Carolina state income tax rates which reduced the value of our deferred tax assets.</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the first nine months of 2016, the effective tax rate varied from the federal statutory rate of 35% primarily due to the benefit derived from the federal research tax credit, partially offset by state taxes, including the impact of state tax reductions. The federal research tax credit benefit is the result of a study completed during the second quarter for the open tax years of 2011 through 2015, plus an estimate of the benefit from current research activities.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third quarter and first nine months of 2015, the effective tax rate varied from the federal statutory rate of 35% primarily due to the existence of a valuation allowance that has been provided to offset our net deferred tax asset and state taxes. During the fourth quarter of 2015, we released the majority of the valuation allowance.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third quarter and first nine months of 2016.</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impairment charges, (3) gain/loss on disposal of assets,</w:t>
      </w:r>
    </w:p>
    <w:p>
      <w:pPr>
        <w:jc w:val="both"/>
        <w:ind w:firstLine="8"/>
        <w:spacing w:after="0" w:line="252" w:lineRule="auto"/>
        <w:tabs>
          <w:tab w:leader="none" w:pos="2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and legal fees for certain patent litigation, (6) adjustments for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$0.1 million related to an estimated settlement for unclaimed property in the first nine months of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Adjusted EBITDA to net income from continuing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3"/>
          </w:tcPr>
          <w:p>
            <w:pPr>
              <w:jc w:val="right"/>
              <w:ind w:right="41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4"/>
          </w:tcPr>
          <w:p>
            <w:pPr>
              <w:ind w:left="48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120" w:type="dxa"/>
            <w:vAlign w:val="bottom"/>
            <w:gridSpan w:val="3"/>
          </w:tcPr>
          <w:p>
            <w:pPr>
              <w:jc w:val="right"/>
              <w:ind w:right="57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18,452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10,999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50,909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28,837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Adjustments to reconcile to net income from continuing operations: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(1,286)</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(3,458)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Estimated settlement for unclaimed property</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663</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(6,729)</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(15,099)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7"/>
        </w:trPr>
        <w:tc>
          <w:tcPr>
            <w:tcW w:w="6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7,280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7,383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23,187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19,235</w:t>
            </w:r>
          </w:p>
        </w:tc>
      </w:tr>
      <w:tr>
        <w:trPr>
          <w:trHeight w:val="27"/>
        </w:trPr>
        <w:tc>
          <w:tcPr>
            <w:tcW w:w="6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2016, we had $176.9 million of cash and cash equivalents and $4.1 million of restricted cash and cash equivalents, compared to $207.0 million of cash and cash equivalents and $6.5 million of restricted cash and cash equivalents as of December 31, 2015.</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nine months of 2016, the Company purchased 690,218 shares of its common stock pursuant to a stock repurchase program for $48.5 million.</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November 2015, the Company completed an equity offering of 852,500 shares of its common stock. The Company received net proceeds of $91.5 million, after deducting approximately $5.9 million in underwriting discounts and $0.7 million in offering expenses. The Company expects to use the net proceeds of the offering for general corporate purposes, including but not limited to, working capital and potential acquisitions.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we established a $125.0 million five-year Senior Secured Revolving Credit Facility which matures on October 22, 2020 (the “Revolving Credit Facility”). The proceeds of the Revolving Credit Facility can be used to finance working capital needs, capital expenditures and general corporate purposes, including to finance permitted acquisitions. As of October 27, 2016, we do not have any borrowings outstanding under the Revolving Credit Facility.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additional information on the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11—Revolving Credit Facility,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8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196"/>
        </w:trPr>
        <w:tc>
          <w:tcPr>
            <w:tcW w:w="8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center"/>
              <w:ind w:left="63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33,184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31,096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(10,067)</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(45,947)</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r>
      <w:tr>
        <w:trPr>
          <w:trHeight w:val="20"/>
        </w:trPr>
        <w:tc>
          <w:tcPr>
            <w:tcW w:w="8320" w:type="dxa"/>
            <w:vAlign w:val="bottom"/>
            <w:shd w:val="clear" w:color="auto" w:fill="999999"/>
          </w:tcPr>
          <w:p>
            <w:pPr>
              <w:spacing w:after="0" w:line="20" w:lineRule="exact"/>
              <w:rPr>
                <w:sz w:val="1"/>
                <w:szCs w:val="1"/>
                <w:color w:val="auto"/>
              </w:rPr>
            </w:pPr>
          </w:p>
        </w:tc>
        <w:tc>
          <w:tcPr>
            <w:tcW w:w="300" w:type="dxa"/>
            <w:vAlign w:val="bottom"/>
            <w:shd w:val="clear" w:color="auto" w:fill="999999"/>
          </w:tcPr>
          <w:p>
            <w:pPr>
              <w:spacing w:after="0" w:line="20" w:lineRule="exact"/>
              <w:rPr>
                <w:sz w:val="1"/>
                <w:szCs w:val="1"/>
                <w:color w:val="auto"/>
              </w:rPr>
            </w:pPr>
          </w:p>
        </w:tc>
        <w:tc>
          <w:tcPr>
            <w:tcW w:w="124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largest source of cash provided by our operating activities is revenues generated by our mortgage and non-mortgage products. Our primary uses of cash from our operating activities include advertising and promotional payments and fees paid for consumer inquiries. In addition, our uses of cash from operating activities include compensation and other employee-related costs, other general corporate expenditures, litigation settlements and contingencies and income taxes.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attributable to continuing operations increased in the first nine months of 2016 from the first nine months of 2015 primarily due to an increase in revenue, partially offset by an increase in cost of revenue and selling marketing. Additionally, there was a net decrease in cash from changes in working capital primarily driven by changes in accounts receivable, income taxes payable and accounts payable, accrued expenses and other current liabilities.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2016 of $10.1 million consisted primarily of capital expenditures of $8.0 million primarily related to internally developed software and the acquisition of an aircraft and $4.5 million for the acquisition of SimpleTuition, partially offset by a $2.5 million decrease in restricted cash due to the release of funds in escrow for the surety bonds due to a reduction in collateral requirements.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2015 of $4.2 million consisted primarily of capital expenditures of $4.3 million primarily related to internally developed software.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attributable to continuing operations in the first nine months of 2016 of $45.9 million consisted primarily of the repurchase of our stock of $48.5 million and $3.1 million in withholding taxes paid by us upon surrender of shares to satisfy obligations on equity awards; offset by $5.7 million in excess tax benefits from stock-based award activity.</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Net cash used in financing activities attributable to continuing operations in the first nine months of 2015 of $6.0 million consisted primarily of $6.1 million in employee withholding taxes paid by us upon employees' surrender of shares to satisfy withholding obligations on equity awards, $0.2 million for the repurchase of our common stock and $0.1 million in dividend payments; offset by $0.5 million in excess tax benefits from stock-based award activity.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 off-balance sheet arrangements other than our operating lease obligations and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 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than our Revolving Credit Facility, which currently has no borrowings outstanding, we do not have any financial instruments that are exposed to significant market risk. We maintain our cash and cash equivalents in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September 30, 2016,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September 30, 2016 that has materially affected, or is reasonably likely to materially affect, our internal controls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2015 Annual Report and updated that information in Note 12—Contingencies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the risk factor set forth below, there have been no material changes to the risk factors included in Part II, Item 1A. Risk Factors of our quarterly report on Form 10-Q for the quarter ended June 30, 2016 and Part I, Item 1A. Risk Factors of our 2015 Annual Report.</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revenue is derived from two Network Lenders, and our results from operations could be adversely affected and stockholder value harmed if we lose significant business from either of these Network Lenders.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years ended December 31, 2015, 2014 and 2013, one Network Lender accounted for 12%, 13% and 12%, respectively, of total revenue and another Network Lender accounted for 11%, 11% and 12%, respectively, of total revenue. If either of these significant Network Lenders were to cease purchasing loan requests and the Company were unable to replace the associated demand, the loss could have a material adverse effect on our results of operations in the short term and potentially also the longer term. Also, if either Network Lender reduces its volume of loan requests for any reason, our business could be adversely affected.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each of January 2010, May 2014, January 2016 and February 2016, the board of directors authorized and we announced a stock repurchase program which allowed for the repurchase of up to $10.0 million, $10.0 million, $50.0 million and $40.0 million, respectively, of our common stock. At September 30, 2016, approximately $48.7 million remains authorized for share repurchase under this program.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September 30, 2016, 3,591 shares of common stock were repurchased under the stock repurchase program.</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the LendingTree Fourth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September 30, 2016, 3,242 shares were purchased related to these obligations under the LendingTree Fourth Amended and Restated 2008 Stock and Award Incentive Plan. The withholding of those shares does not affect the dollar amount or number of shares that may be purchased under the stock repurchase program described above.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September 30,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7/1/16 - 7/31/16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93.58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48,752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8/1/16 - 8/31/16</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107.95</w:t>
            </w:r>
          </w:p>
        </w:tc>
        <w:tc>
          <w:tcPr>
            <w:tcW w:w="12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48,752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9/1/16 - 9/30/16</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94.99</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48,748</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6,833</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100.37</w:t>
            </w: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3,591</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48,748</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July 2016, August 2016 and September 2016, 16 shares, 3,226 shares and 0 shares, respectively (totaling 3,242 shares), were purchased to satisfy federal and state withholding obligations of our employees upon the settlement of restricted stock unit awards, all in accordance with our Fourth Amended and Restated 2008 Stock and Award Incentive Plan, as described above.</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Exhibit</w:t>
            </w:r>
          </w:p>
        </w:tc>
        <w:tc>
          <w:tcPr>
            <w:tcW w:w="65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06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Amended and Restated Certificate of Incorporation of LendingTree, Inc.</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6560" w:type="dxa"/>
            <w:vAlign w:val="bottom"/>
          </w:tcPr>
          <w:p>
            <w:pPr>
              <w:ind w:left="140"/>
              <w:spacing w:after="0"/>
              <w:rPr>
                <w:sz w:val="20"/>
                <w:szCs w:val="20"/>
                <w:color w:val="auto"/>
              </w:rPr>
            </w:pPr>
            <w:r>
              <w:rPr>
                <w:rFonts w:ascii="Arial" w:cs="Arial" w:eastAsia="Arial" w:hAnsi="Arial"/>
                <w:sz w:val="18"/>
                <w:szCs w:val="18"/>
                <w:color w:val="auto"/>
              </w:rPr>
              <w:t>Third Amended and Restated By-laws of LendingTree, Inc.</w:t>
            </w:r>
          </w:p>
        </w:tc>
        <w:tc>
          <w:tcPr>
            <w:tcW w:w="3800" w:type="dxa"/>
            <w:vAlign w:val="bottom"/>
          </w:tcPr>
          <w:p>
            <w:pPr>
              <w:ind w:left="80"/>
              <w:spacing w:after="0"/>
              <w:rPr>
                <w:sz w:val="20"/>
                <w:szCs w:val="20"/>
                <w:color w:val="auto"/>
              </w:rPr>
            </w:pPr>
            <w:r>
              <w:rPr>
                <w:rFonts w:ascii="Arial" w:cs="Arial" w:eastAsia="Arial" w:hAnsi="Arial"/>
                <w:sz w:val="18"/>
                <w:szCs w:val="18"/>
                <w:color w:val="auto"/>
                <w:w w:val="96"/>
              </w:rPr>
              <w:t>Exhibit 3.2 to the Registrant's Current Report on</w:t>
            </w:r>
          </w:p>
        </w:tc>
      </w:tr>
      <w:tr>
        <w:trPr>
          <w:trHeight w:val="230"/>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8-K filed December 31, 2014</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Certification of the Chief Executive Officer pursuant to Rule 13a-14(a) or Rule 15d-</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31.2</w:t>
            </w:r>
          </w:p>
        </w:tc>
        <w:tc>
          <w:tcPr>
            <w:tcW w:w="6560" w:type="dxa"/>
            <w:vAlign w:val="bottom"/>
          </w:tcPr>
          <w:p>
            <w:pPr>
              <w:ind w:left="140"/>
              <w:spacing w:after="0"/>
              <w:rPr>
                <w:sz w:val="20"/>
                <w:szCs w:val="20"/>
                <w:color w:val="auto"/>
              </w:rPr>
            </w:pPr>
            <w:r>
              <w:rPr>
                <w:rFonts w:ascii="Arial" w:cs="Arial" w:eastAsia="Arial" w:hAnsi="Arial"/>
                <w:sz w:val="18"/>
                <w:szCs w:val="18"/>
                <w:color w:val="auto"/>
                <w:w w:val="98"/>
              </w:rPr>
              <w:t>Certification of the Chief Financial Officer pursuant to Rule 13a-14(a) or Rule 15d-</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Certification of the Chief Executive Officer pursuant to 18 U.S.C. Section 1350 as</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32.2</w:t>
            </w:r>
          </w:p>
        </w:tc>
        <w:tc>
          <w:tcPr>
            <w:tcW w:w="6560" w:type="dxa"/>
            <w:vAlign w:val="bottom"/>
          </w:tcPr>
          <w:p>
            <w:pPr>
              <w:ind w:left="140"/>
              <w:spacing w:after="0"/>
              <w:rPr>
                <w:sz w:val="20"/>
                <w:szCs w:val="20"/>
                <w:color w:val="auto"/>
              </w:rPr>
            </w:pPr>
            <w:r>
              <w:rPr>
                <w:rFonts w:ascii="Arial" w:cs="Arial" w:eastAsia="Arial" w:hAnsi="Arial"/>
                <w:sz w:val="18"/>
                <w:szCs w:val="18"/>
                <w:color w:val="auto"/>
              </w:rPr>
              <w:t>Certification of the Chief Financial Officer pursuant to 18 U.S.C. Section 1350 as</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101.INS</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101.SCH</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101.CAL</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101.DEF</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101.LAB</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101.PRE</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8"/>
        <w:spacing w:after="0" w:line="264" w:lineRule="auto"/>
        <w:tabs>
          <w:tab w:leader="none" w:pos="2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2016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Gabriel Dalporto,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2016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44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2016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28, 2016</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 Gabriel Dalporto, certify, pursuant to 18 U.S.C. Section 1350, as adopted pursuant to Section 906 of the Sarbanes-Oxley Act of 2002, that to my knowledge:</w:t>
      </w:r>
    </w:p>
    <w:p>
      <w:pPr>
        <w:spacing w:after="0" w:line="116" w:lineRule="exact"/>
        <w:rPr>
          <w:sz w:val="20"/>
          <w:szCs w:val="20"/>
          <w:color w:val="auto"/>
        </w:rPr>
      </w:pPr>
    </w:p>
    <w:p>
      <w:pPr>
        <w:ind w:left="340" w:right="4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2016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28, 2016</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lvl w:ilvl="1">
      <w:lvlJc w:val="left"/>
      <w:lvlText w:val="(%2)"/>
      <w:numFmt w:val="lowerLetter"/>
      <w:start w:val="1"/>
    </w:lvl>
  </w:abstractNum>
  <w:abstractNum w:abstractNumId="5">
    <w:nsid w:val="66EF438D"/>
    <w:multiLevelType w:val="hybridMultilevel"/>
    <w:lvl w:ilvl="0">
      <w:lvlJc w:val="left"/>
      <w:lvlText w:val="%1"/>
      <w:numFmt w:val="lowerLetter"/>
      <w:start w:val="1"/>
    </w:lvl>
    <w:lvl w:ilvl="1">
      <w:lvlJc w:val="left"/>
      <w:lvlText w:val="(%2)"/>
      <w:numFmt w:val="lowerLetter"/>
      <w:start w:val="4"/>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2019-12-29T10:40:39Z</dcterms:created>
  <dcterms:modified xsi:type="dcterms:W3CDTF">2019-12-29T10:40:39Z</dcterms:modified>
</cp:coreProperties>
</file>