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-180975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187325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60" w:right="1360" w:hanging="3487"/>
        <w:spacing w:after="0" w:line="318" w:lineRule="auto"/>
        <w:tabs>
          <w:tab w:leader="none" w:pos="9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4" w:lineRule="exact"/>
        <w:rPr>
          <w:sz w:val="24"/>
          <w:szCs w:val="24"/>
          <w:color w:val="auto"/>
        </w:rPr>
      </w:pPr>
    </w:p>
    <w:p>
      <w:pPr>
        <w:ind w:left="3700"/>
        <w:spacing w:after="0"/>
        <w:tabs>
          <w:tab w:leader="none" w:pos="68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106680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338455</wp:posOffset>
            </wp:positionV>
            <wp:extent cx="142367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157"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26-2414818</w:t>
      </w:r>
    </w:p>
    <w:p>
      <w:pPr>
        <w:spacing w:after="0" w:line="28"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7" w:lineRule="exact"/>
        <w:rPr>
          <w:sz w:val="24"/>
          <w:szCs w:val="24"/>
          <w:color w:val="auto"/>
        </w:rPr>
      </w:pPr>
    </w:p>
    <w:p>
      <w:pPr>
        <w:sectPr>
          <w:pgSz w:w="11900" w:h="16838" w:orient="portrait"/>
          <w:cols w:equalWidth="0" w:num="2">
            <w:col w:w="7040" w:space="720"/>
            <w:col w:w="3660"/>
          </w:cols>
          <w:pgMar w:left="240" w:top="229" w:right="2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11115 Rushmore Drive, Charlotte, North Carolina 28277</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541-5351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3" w:lineRule="exact"/>
        <w:rPr>
          <w:sz w:val="24"/>
          <w:szCs w:val="24"/>
          <w:color w:val="auto"/>
        </w:rPr>
      </w:pPr>
    </w:p>
    <w:p>
      <w:pPr>
        <w:jc w:val="both"/>
        <w:ind w:firstLine="207"/>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71" w:lineRule="exact"/>
        <w:rPr>
          <w:sz w:val="24"/>
          <w:szCs w:val="24"/>
          <w:color w:val="auto"/>
        </w:rPr>
      </w:pPr>
    </w:p>
    <w:p>
      <w:pPr>
        <w:jc w:val="both"/>
        <w:ind w:firstLine="162"/>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271" w:lineRule="exact"/>
        <w:rPr>
          <w:sz w:val="24"/>
          <w:szCs w:val="24"/>
          <w:color w:val="auto"/>
        </w:rPr>
      </w:pPr>
    </w:p>
    <w:p>
      <w:pPr>
        <w:jc w:val="both"/>
        <w:ind w:firstLine="162"/>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2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o</w:t>
      </w:r>
    </w:p>
    <w:p>
      <w:pPr>
        <w:spacing w:after="0" w:line="61" w:lineRule="exact"/>
        <w:rPr>
          <w:sz w:val="24"/>
          <w:szCs w:val="24"/>
          <w:color w:val="auto"/>
        </w:rPr>
      </w:pPr>
    </w:p>
    <w:p>
      <w:pPr>
        <w:sectPr>
          <w:pgSz w:w="11900" w:h="16838" w:orient="portrait"/>
          <w:cols w:equalWidth="0" w:num="2">
            <w:col w:w="7020" w:space="720"/>
            <w:col w:w="3680"/>
          </w:cols>
          <w:pgMar w:left="240" w:top="229" w:right="2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5" w:lineRule="exact"/>
        <w:rPr>
          <w:sz w:val="24"/>
          <w:szCs w:val="24"/>
          <w:color w:val="auto"/>
        </w:rPr>
      </w:pPr>
    </w:p>
    <w:p>
      <w:pPr>
        <w:sectPr>
          <w:pgSz w:w="11900" w:h="16838" w:orient="portrait"/>
          <w:cols w:equalWidth="0" w:num="2">
            <w:col w:w="6640" w:space="720"/>
            <w:col w:w="4060"/>
          </w:cols>
          <w:pgMar w:left="240" w:top="229" w:right="239" w:bottom="1440" w:gutter="0" w:footer="0" w:header="0"/>
          <w:type w:val="continuous"/>
        </w:sectPr>
      </w:pPr>
    </w:p>
    <w:p>
      <w:pPr>
        <w:ind w:left="736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20"/>
          </w:cols>
          <w:pgMar w:left="240" w:top="229" w:right="239" w:bottom="1440" w:gutter="0" w:footer="0" w:header="0"/>
          <w:type w:val="continuous"/>
        </w:sectPr>
      </w:pPr>
    </w:p>
    <w:p>
      <w:pPr>
        <w:spacing w:after="0" w:line="358" w:lineRule="exact"/>
        <w:rPr>
          <w:sz w:val="24"/>
          <w:szCs w:val="24"/>
          <w:color w:val="auto"/>
        </w:rPr>
      </w:pPr>
    </w:p>
    <w:p>
      <w:pPr>
        <w:ind w:firstLine="162"/>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As of April 19, 2019, there were 12,879,149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9"/>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Times New Roman" w:cs="Times New Roman" w:eastAsia="Times New Roman" w:hAnsi="Times New Roman"/>
                <w:sz w:val="18"/>
                <w:szCs w:val="18"/>
                <w:b w:val="1"/>
                <w:bCs w:val="1"/>
                <w:color w:val="0000FF"/>
                <w:w w:val="99"/>
              </w:rPr>
            </w:pPr>
            <w:hyperlink w:anchor="page3">
              <w:r>
                <w:rPr>
                  <w:rFonts w:ascii="Times New Roman" w:cs="Times New Roman" w:eastAsia="Times New Roman" w:hAnsi="Times New Roman"/>
                  <w:sz w:val="18"/>
                  <w:szCs w:val="18"/>
                  <w:b w:val="1"/>
                  <w:bCs w:val="1"/>
                  <w:color w:val="0000FF"/>
                  <w:w w:val="99"/>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FF"/>
                <w:w w:val="96"/>
              </w:rPr>
            </w:pPr>
            <w:hyperlink w:anchor="page3">
              <w:r>
                <w:rPr>
                  <w:rFonts w:ascii="Times New Roman" w:cs="Times New Roman" w:eastAsia="Times New Roman" w:hAnsi="Times New Roman"/>
                  <w:sz w:val="18"/>
                  <w:szCs w:val="18"/>
                  <w:b w:val="1"/>
                  <w:bCs w:val="1"/>
                  <w:color w:val="0000FF"/>
                  <w:w w:val="96"/>
                </w:rPr>
                <w:t>Item 1.</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Times New Roman" w:cs="Times New Roman" w:eastAsia="Times New Roman" w:hAnsi="Times New Roman"/>
                <w:sz w:val="18"/>
                <w:szCs w:val="18"/>
                <w:b w:val="1"/>
                <w:bCs w:val="1"/>
                <w:i w:val="1"/>
                <w:iCs w:val="1"/>
                <w:color w:val="0000FF"/>
              </w:rPr>
            </w:pPr>
            <w:hyperlink w:anchor="page3">
              <w:r>
                <w:rPr>
                  <w:rFonts w:ascii="Times New Roman" w:cs="Times New Roman" w:eastAsia="Times New Roman" w:hAnsi="Times New Roman"/>
                  <w:sz w:val="18"/>
                  <w:szCs w:val="18"/>
                  <w:b w:val="1"/>
                  <w:bCs w:val="1"/>
                  <w:i w:val="1"/>
                  <w:iCs w:val="1"/>
                  <w:color w:val="0000FF"/>
                </w:rPr>
                <w:t>Financial Statements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FF"/>
                <w:w w:val="96"/>
              </w:rPr>
            </w:pPr>
            <w:hyperlink w:anchor="page34">
              <w:r>
                <w:rPr>
                  <w:rFonts w:ascii="Times New Roman" w:cs="Times New Roman" w:eastAsia="Times New Roman" w:hAnsi="Times New Roman"/>
                  <w:sz w:val="18"/>
                  <w:szCs w:val="18"/>
                  <w:b w:val="1"/>
                  <w:bCs w:val="1"/>
                  <w:color w:val="0000FF"/>
                  <w:w w:val="96"/>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34</w:t>
              </w:r>
            </w:hyperlink>
          </w:p>
        </w:tc>
      </w:tr>
      <w:tr>
        <w:trPr>
          <w:trHeight w:val="250"/>
        </w:trPr>
        <w:tc>
          <w:tcPr>
            <w:tcW w:w="54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b w:val="1"/>
                <w:bCs w:val="1"/>
                <w:color w:val="0000FF"/>
                <w:w w:val="96"/>
              </w:rPr>
            </w:pPr>
            <w:hyperlink w:anchor="page43">
              <w:r>
                <w:rPr>
                  <w:rFonts w:ascii="Times New Roman" w:cs="Times New Roman" w:eastAsia="Times New Roman" w:hAnsi="Times New Roman"/>
                  <w:sz w:val="18"/>
                  <w:szCs w:val="18"/>
                  <w:b w:val="1"/>
                  <w:bCs w:val="1"/>
                  <w:color w:val="0000FF"/>
                  <w:w w:val="96"/>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b w:val="1"/>
                <w:bCs w:val="1"/>
                <w:i w:val="1"/>
                <w:iCs w:val="1"/>
                <w:color w:val="0000FF"/>
                <w:w w:val="99"/>
              </w:rPr>
            </w:pPr>
            <w:hyperlink w:anchor="page43">
              <w:r>
                <w:rPr>
                  <w:rFonts w:ascii="Times New Roman" w:cs="Times New Roman" w:eastAsia="Times New Roman" w:hAnsi="Times New Roman"/>
                  <w:sz w:val="18"/>
                  <w:szCs w:val="18"/>
                  <w:b w:val="1"/>
                  <w:bCs w:val="1"/>
                  <w:i w:val="1"/>
                  <w:iCs w:val="1"/>
                  <w:color w:val="0000FF"/>
                  <w:w w:val="99"/>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43</w:t>
              </w:r>
            </w:hyperlink>
          </w:p>
        </w:tc>
      </w:tr>
      <w:tr>
        <w:trPr>
          <w:trHeight w:val="250"/>
        </w:trPr>
        <w:tc>
          <w:tcPr>
            <w:tcW w:w="660" w:type="dxa"/>
            <w:vAlign w:val="bottom"/>
            <w:gridSpan w:val="2"/>
          </w:tcPr>
          <w:p>
            <w:pPr>
              <w:spacing w:after="0"/>
              <w:rPr>
                <w:rFonts w:ascii="Times New Roman" w:cs="Times New Roman" w:eastAsia="Times New Roman" w:hAnsi="Times New Roman"/>
                <w:sz w:val="18"/>
                <w:szCs w:val="18"/>
                <w:b w:val="1"/>
                <w:bCs w:val="1"/>
                <w:color w:val="0000FF"/>
              </w:rPr>
            </w:pPr>
            <w:hyperlink w:anchor="page43">
              <w:r>
                <w:rPr>
                  <w:rFonts w:ascii="Times New Roman" w:cs="Times New Roman" w:eastAsia="Times New Roman" w:hAnsi="Times New Roman"/>
                  <w:sz w:val="18"/>
                  <w:szCs w:val="18"/>
                  <w:b w:val="1"/>
                  <w:bCs w:val="1"/>
                  <w:color w:val="0000FF"/>
                </w:rPr>
                <w:t>Item 4.</w:t>
              </w:r>
            </w:hyperlink>
          </w:p>
        </w:tc>
        <w:tc>
          <w:tcPr>
            <w:tcW w:w="9680" w:type="dxa"/>
            <w:vAlign w:val="bottom"/>
            <w:gridSpan w:val="14"/>
          </w:tcPr>
          <w:p>
            <w:pPr>
              <w:ind w:left="820"/>
              <w:spacing w:after="0"/>
              <w:rPr>
                <w:rFonts w:ascii="Times New Roman" w:cs="Times New Roman" w:eastAsia="Times New Roman" w:hAnsi="Times New Roman"/>
                <w:sz w:val="18"/>
                <w:szCs w:val="18"/>
                <w:b w:val="1"/>
                <w:bCs w:val="1"/>
                <w:i w:val="1"/>
                <w:iCs w:val="1"/>
                <w:color w:val="0000FF"/>
              </w:rPr>
            </w:pPr>
            <w:hyperlink w:anchor="page43">
              <w:r>
                <w:rPr>
                  <w:rFonts w:ascii="Times New Roman" w:cs="Times New Roman" w:eastAsia="Times New Roman" w:hAnsi="Times New Roman"/>
                  <w:sz w:val="18"/>
                  <w:szCs w:val="18"/>
                  <w:b w:val="1"/>
                  <w:bCs w:val="1"/>
                  <w:i w:val="1"/>
                  <w:iCs w:val="1"/>
                  <w:color w:val="0000FF"/>
                </w:rPr>
                <w:t>Controls and Procedures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43</w:t>
              </w:r>
            </w:hyperlink>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Times New Roman" w:cs="Times New Roman" w:eastAsia="Times New Roman" w:hAnsi="Times New Roman"/>
                <w:sz w:val="18"/>
                <w:szCs w:val="18"/>
                <w:b w:val="1"/>
                <w:bCs w:val="1"/>
                <w:color w:val="0000FF"/>
                <w:w w:val="98"/>
              </w:rPr>
            </w:pPr>
            <w:hyperlink w:anchor="page45">
              <w:r>
                <w:rPr>
                  <w:rFonts w:ascii="Times New Roman" w:cs="Times New Roman" w:eastAsia="Times New Roman" w:hAnsi="Times New Roman"/>
                  <w:sz w:val="18"/>
                  <w:szCs w:val="18"/>
                  <w:b w:val="1"/>
                  <w:bCs w:val="1"/>
                  <w:color w:val="0000FF"/>
                  <w:w w:val="98"/>
                </w:rPr>
                <w:t>PART II—OTHER INFORMATION</w:t>
              </w:r>
            </w:hyperlink>
          </w:p>
        </w:tc>
        <w:tc>
          <w:tcPr>
            <w:tcW w:w="1020" w:type="dxa"/>
            <w:vAlign w:val="bottom"/>
          </w:tcPr>
          <w:p>
            <w:pPr>
              <w:spacing w:after="0"/>
              <w:rPr>
                <w:sz w:val="24"/>
                <w:szCs w:val="24"/>
                <w:color w:val="auto"/>
              </w:rPr>
            </w:pPr>
          </w:p>
        </w:tc>
      </w:tr>
      <w:tr>
        <w:trPr>
          <w:trHeight w:val="520"/>
        </w:trPr>
        <w:tc>
          <w:tcPr>
            <w:tcW w:w="540" w:type="dxa"/>
            <w:vAlign w:val="bottom"/>
            <w:tcBorders>
              <w:bottom w:val="single" w:sz="8" w:color="0000FF"/>
            </w:tcBorders>
          </w:tcPr>
          <w:p>
            <w:pPr>
              <w:spacing w:after="0"/>
              <w:rPr>
                <w:rFonts w:ascii="Times New Roman" w:cs="Times New Roman" w:eastAsia="Times New Roman" w:hAnsi="Times New Roman"/>
                <w:sz w:val="18"/>
                <w:szCs w:val="18"/>
                <w:b w:val="1"/>
                <w:bCs w:val="1"/>
                <w:color w:val="0000FF"/>
                <w:w w:val="96"/>
              </w:rPr>
            </w:pPr>
            <w:hyperlink w:anchor="page45">
              <w:r>
                <w:rPr>
                  <w:rFonts w:ascii="Times New Roman" w:cs="Times New Roman" w:eastAsia="Times New Roman" w:hAnsi="Times New Roman"/>
                  <w:sz w:val="18"/>
                  <w:szCs w:val="18"/>
                  <w:b w:val="1"/>
                  <w:bCs w:val="1"/>
                  <w:color w:val="0000FF"/>
                  <w:w w:val="96"/>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Times New Roman" w:cs="Times New Roman" w:eastAsia="Times New Roman" w:hAnsi="Times New Roman"/>
                <w:sz w:val="18"/>
                <w:szCs w:val="18"/>
                <w:b w:val="1"/>
                <w:bCs w:val="1"/>
                <w:i w:val="1"/>
                <w:iCs w:val="1"/>
                <w:color w:val="0000FF"/>
                <w:w w:val="98"/>
              </w:rPr>
            </w:pPr>
            <w:hyperlink w:anchor="page45">
              <w:r>
                <w:rPr>
                  <w:rFonts w:ascii="Times New Roman" w:cs="Times New Roman" w:eastAsia="Times New Roman" w:hAnsi="Times New Roman"/>
                  <w:sz w:val="18"/>
                  <w:szCs w:val="18"/>
                  <w:b w:val="1"/>
                  <w:bCs w:val="1"/>
                  <w:i w:val="1"/>
                  <w:iCs w:val="1"/>
                  <w:color w:val="0000FF"/>
                  <w:w w:val="98"/>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45</w:t>
              </w:r>
            </w:hyperlink>
          </w:p>
        </w:tc>
      </w:tr>
      <w:tr>
        <w:trPr>
          <w:trHeight w:val="250"/>
        </w:trPr>
        <w:tc>
          <w:tcPr>
            <w:tcW w:w="660" w:type="dxa"/>
            <w:vAlign w:val="bottom"/>
            <w:gridSpan w:val="2"/>
          </w:tcPr>
          <w:p>
            <w:pPr>
              <w:spacing w:after="0"/>
              <w:rPr>
                <w:rFonts w:ascii="Times New Roman" w:cs="Times New Roman" w:eastAsia="Times New Roman" w:hAnsi="Times New Roman"/>
                <w:sz w:val="18"/>
                <w:szCs w:val="18"/>
                <w:b w:val="1"/>
                <w:bCs w:val="1"/>
                <w:color w:val="0000FF"/>
                <w:w w:val="95"/>
              </w:rPr>
            </w:pPr>
            <w:hyperlink w:anchor="page45">
              <w:r>
                <w:rPr>
                  <w:rFonts w:ascii="Times New Roman" w:cs="Times New Roman" w:eastAsia="Times New Roman" w:hAnsi="Times New Roman"/>
                  <w:sz w:val="18"/>
                  <w:szCs w:val="18"/>
                  <w:b w:val="1"/>
                  <w:bCs w:val="1"/>
                  <w:color w:val="0000FF"/>
                  <w:w w:val="95"/>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Times New Roman" w:cs="Times New Roman" w:eastAsia="Times New Roman" w:hAnsi="Times New Roman"/>
                <w:sz w:val="18"/>
                <w:szCs w:val="18"/>
                <w:b w:val="1"/>
                <w:bCs w:val="1"/>
                <w:i w:val="1"/>
                <w:iCs w:val="1"/>
                <w:color w:val="0000FF"/>
              </w:rPr>
            </w:pPr>
            <w:hyperlink w:anchor="page45">
              <w:r>
                <w:rPr>
                  <w:rFonts w:ascii="Times New Roman" w:cs="Times New Roman" w:eastAsia="Times New Roman" w:hAnsi="Times New Roman"/>
                  <w:sz w:val="18"/>
                  <w:szCs w:val="18"/>
                  <w:b w:val="1"/>
                  <w:bCs w:val="1"/>
                  <w:i w:val="1"/>
                  <w:iCs w:val="1"/>
                  <w:color w:val="0000FF"/>
                </w:rPr>
                <w:t>Risk Factors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45</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FF"/>
                <w:w w:val="96"/>
              </w:rPr>
            </w:pPr>
            <w:hyperlink w:anchor="page45">
              <w:r>
                <w:rPr>
                  <w:rFonts w:ascii="Times New Roman" w:cs="Times New Roman" w:eastAsia="Times New Roman" w:hAnsi="Times New Roman"/>
                  <w:sz w:val="18"/>
                  <w:szCs w:val="18"/>
                  <w:b w:val="1"/>
                  <w:bCs w:val="1"/>
                  <w:color w:val="0000FF"/>
                  <w:w w:val="96"/>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Times New Roman" w:cs="Times New Roman" w:eastAsia="Times New Roman" w:hAnsi="Times New Roman"/>
                <w:sz w:val="18"/>
                <w:szCs w:val="18"/>
                <w:b w:val="1"/>
                <w:bCs w:val="1"/>
                <w:i w:val="1"/>
                <w:iCs w:val="1"/>
                <w:color w:val="0000FF"/>
              </w:rPr>
            </w:pPr>
            <w:hyperlink w:anchor="page45">
              <w:r>
                <w:rPr>
                  <w:rFonts w:ascii="Times New Roman" w:cs="Times New Roman" w:eastAsia="Times New Roman" w:hAnsi="Times New Roman"/>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45</w:t>
              </w:r>
            </w:hyperlink>
          </w:p>
        </w:tc>
      </w:tr>
      <w:tr>
        <w:trPr>
          <w:trHeight w:val="250"/>
        </w:trPr>
        <w:tc>
          <w:tcPr>
            <w:tcW w:w="540" w:type="dxa"/>
            <w:vAlign w:val="bottom"/>
            <w:tcBorders>
              <w:top w:val="single" w:sz="8" w:color="0000FF"/>
            </w:tcBorders>
          </w:tcPr>
          <w:p>
            <w:pPr>
              <w:spacing w:after="0"/>
              <w:rPr>
                <w:rFonts w:ascii="Times New Roman" w:cs="Times New Roman" w:eastAsia="Times New Roman" w:hAnsi="Times New Roman"/>
                <w:sz w:val="18"/>
                <w:szCs w:val="18"/>
                <w:b w:val="1"/>
                <w:bCs w:val="1"/>
                <w:color w:val="0000EE"/>
                <w:w w:val="96"/>
              </w:rPr>
            </w:pPr>
            <w:hyperlink w:anchor="page46">
              <w:r>
                <w:rPr>
                  <w:rFonts w:ascii="Times New Roman" w:cs="Times New Roman" w:eastAsia="Times New Roman" w:hAnsi="Times New Roman"/>
                  <w:sz w:val="18"/>
                  <w:szCs w:val="18"/>
                  <w:b w:val="1"/>
                  <w:bCs w:val="1"/>
                  <w:color w:val="0000EE"/>
                  <w:w w:val="96"/>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Times New Roman" w:cs="Times New Roman" w:eastAsia="Times New Roman" w:hAnsi="Times New Roman"/>
                <w:sz w:val="18"/>
                <w:szCs w:val="18"/>
                <w:b w:val="1"/>
                <w:bCs w:val="1"/>
                <w:i w:val="1"/>
                <w:iCs w:val="1"/>
                <w:color w:val="0000EE"/>
              </w:rPr>
            </w:pPr>
            <w:hyperlink w:anchor="page46">
              <w:r>
                <w:rPr>
                  <w:rFonts w:ascii="Times New Roman" w:cs="Times New Roman" w:eastAsia="Times New Roman" w:hAnsi="Times New Roman"/>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r>
      <w:tr>
        <w:trPr>
          <w:trHeight w:val="250"/>
        </w:trPr>
        <w:tc>
          <w:tcPr>
            <w:tcW w:w="540" w:type="dxa"/>
            <w:vAlign w:val="bottom"/>
            <w:tcBorders>
              <w:top w:val="single" w:sz="8" w:color="0000EE"/>
            </w:tcBorders>
          </w:tcPr>
          <w:p>
            <w:pPr>
              <w:spacing w:after="0"/>
              <w:rPr>
                <w:rFonts w:ascii="Times New Roman" w:cs="Times New Roman" w:eastAsia="Times New Roman" w:hAnsi="Times New Roman"/>
                <w:sz w:val="18"/>
                <w:szCs w:val="18"/>
                <w:b w:val="1"/>
                <w:bCs w:val="1"/>
                <w:color w:val="0000FF"/>
                <w:w w:val="96"/>
              </w:rPr>
            </w:pPr>
            <w:hyperlink w:anchor="page47">
              <w:r>
                <w:rPr>
                  <w:rFonts w:ascii="Times New Roman" w:cs="Times New Roman" w:eastAsia="Times New Roman" w:hAnsi="Times New Roman"/>
                  <w:sz w:val="18"/>
                  <w:szCs w:val="18"/>
                  <w:b w:val="1"/>
                  <w:bCs w:val="1"/>
                  <w:color w:val="0000FF"/>
                  <w:w w:val="96"/>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Times New Roman" w:cs="Times New Roman" w:eastAsia="Times New Roman" w:hAnsi="Times New Roman"/>
                <w:sz w:val="18"/>
                <w:szCs w:val="18"/>
                <w:b w:val="1"/>
                <w:bCs w:val="1"/>
                <w:i w:val="1"/>
                <w:iCs w:val="1"/>
                <w:color w:val="0000FF"/>
              </w:rPr>
            </w:pPr>
            <w:hyperlink w:anchor="page47">
              <w:r>
                <w:rPr>
                  <w:rFonts w:ascii="Times New Roman" w:cs="Times New Roman" w:eastAsia="Times New Roman" w:hAnsi="Times New Roman"/>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47</w:t>
              </w:r>
            </w:hyperlink>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80" w:top="549"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91"/>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262,390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181,035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17,670</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174,891</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126,044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31,117</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22,814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10,166</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2,482</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13,427</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14,592</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8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264,192</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165,685</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(1,802)</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15,350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(7,202)</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12,396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7,752</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23,461</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550</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35,857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31,524</w:t>
            </w:r>
          </w:p>
        </w:tc>
      </w:tr>
      <w:tr>
        <w:trPr>
          <w:trHeight w:val="270"/>
        </w:trPr>
        <w:tc>
          <w:tcPr>
            <w:tcW w:w="81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12,718</w:t>
            </w: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12,090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14,186</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14,848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7"/>
        </w:trPr>
        <w:tc>
          <w:tcPr>
            <w:tcW w:w="8800" w:type="dxa"/>
            <w:vAlign w:val="bottom"/>
          </w:tcPr>
          <w:p>
            <w:pPr>
              <w:spacing w:after="0"/>
              <w:rPr>
                <w:sz w:val="12"/>
                <w:szCs w:val="12"/>
                <w:color w:val="auto"/>
              </w:rPr>
            </w:pPr>
          </w:p>
        </w:tc>
        <w:tc>
          <w:tcPr>
            <w:tcW w:w="262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7"/>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right"/>
              <w:ind w:right="931"/>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64,565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105,102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$1,370 and $1,143, respectively)</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119,707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91,072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12,899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16,428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21,337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21,328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218,966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234,171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$13,377 and $13,887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23,175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419,952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348,347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223,872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205,699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87,323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79,289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13,303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3,266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3,266</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992,505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896,115</w:t>
            </w:r>
          </w:p>
        </w:tc>
      </w:tr>
      <w:tr>
        <w:trPr>
          <w:trHeight w:val="270"/>
        </w:trPr>
        <w:tc>
          <w:tcPr>
            <w:tcW w:w="88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125,000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12,181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15,074</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106,007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93,190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30,710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11,080</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 (Note 17)</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16,361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17,609</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350,259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261,953</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254,248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18,719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16,197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8,360</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640,317</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549,907</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 shares authorized; 15,514,993 and 15,428,351 shares issued, respectively,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12,878,905 and 12,809,764 shares outstanding, respectively</w:t>
            </w:r>
          </w:p>
        </w:tc>
        <w:tc>
          <w:tcPr>
            <w:tcW w:w="20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1,144,694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1,134,227</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(610,994)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(610,482)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2,636,088 and 2,618,587 shares,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(181,667)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(177,691)</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352,188</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346,208</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992,505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896,115</w:t>
            </w:r>
          </w:p>
        </w:tc>
      </w:tr>
      <w:tr>
        <w:trPr>
          <w:trHeight w:val="27"/>
        </w:trPr>
        <w:tc>
          <w:tcPr>
            <w:tcW w:w="8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165"/>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100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0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as of December 31, 2018</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346,208</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15,428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1,134,227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(610,482)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2,618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(177,691)</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14,053</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(3,976)</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9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Issuance of common stock for stock options, restricted stock</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920" w:type="dxa"/>
            <w:vAlign w:val="bottom"/>
            <w:tcBorders>
              <w:bottom w:val="single" w:sz="8" w:color="auto"/>
            </w:tcBorders>
            <w:gridSpan w:val="4"/>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awards and restricted stock units, net of withholding taxes</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(3,585)</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87</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(3,586)</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as of March 31, 2019</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352,188</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15,515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155</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1,144,694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(610,994)</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2,636</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(181,667)</w:t>
            </w:r>
          </w:p>
        </w:tc>
        <w:tc>
          <w:tcPr>
            <w:tcW w:w="0" w:type="dxa"/>
            <w:vAlign w:val="bottom"/>
          </w:tcPr>
          <w:p>
            <w:pPr>
              <w:spacing w:after="0"/>
              <w:rPr>
                <w:sz w:val="1"/>
                <w:szCs w:val="1"/>
                <w:color w:val="auto"/>
              </w:rPr>
            </w:pPr>
          </w:p>
        </w:tc>
      </w:tr>
      <w:tr>
        <w:trPr>
          <w:trHeight w:val="831"/>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right"/>
              <w:ind w:right="224"/>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8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7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000" w:type="dxa"/>
            <w:vAlign w:val="bottom"/>
            <w:gridSpan w:val="2"/>
          </w:tcPr>
          <w:p>
            <w:pPr>
              <w:jc w:val="right"/>
              <w:ind w:right="324"/>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20" w:type="dxa"/>
            <w:vAlign w:val="bottom"/>
            <w:gridSpan w:val="2"/>
          </w:tcPr>
          <w:p>
            <w:pPr>
              <w:jc w:val="center"/>
              <w:ind w:right="25"/>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tcPr>
          <w:p>
            <w:pPr>
              <w:jc w:val="center"/>
              <w:ind w:right="25"/>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90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as of December 31, 2017</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294,874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14,218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1,087,582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(708,354)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2,239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(85,085)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589</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Times New Roman" w:cs="Times New Roman" w:eastAsia="Times New Roman" w:hAnsi="Times New Roman"/>
                <w:sz w:val="15"/>
                <w:szCs w:val="15"/>
                <w:color w:val="auto"/>
              </w:rPr>
              <w:t>31,524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restart"/>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31,524</w:t>
            </w:r>
          </w:p>
        </w:tc>
        <w:tc>
          <w:tcPr>
            <w:tcW w:w="120" w:type="dxa"/>
            <w:vAlign w:val="bottom"/>
          </w:tcPr>
          <w:p>
            <w:pPr>
              <w:spacing w:after="0"/>
              <w:rPr>
                <w:sz w:val="18"/>
                <w:szCs w:val="18"/>
                <w:color w:val="auto"/>
              </w:rPr>
            </w:pPr>
          </w:p>
        </w:tc>
        <w:tc>
          <w:tcPr>
            <w:tcW w:w="100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11,109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11,109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rPr>
              <w:t>(11,000)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restart"/>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Issuance of common stock for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options, restricted stock awards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restricted stock units, net of withholding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2,057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473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2,052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Cumulative effect adjustment due to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ASU 2014-09</w:t>
            </w:r>
          </w:p>
        </w:tc>
        <w:tc>
          <w:tcPr>
            <w:tcW w:w="22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1,373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1,373</w:t>
            </w:r>
          </w:p>
        </w:tc>
        <w:tc>
          <w:tcPr>
            <w:tcW w:w="120" w:type="dxa"/>
            <w:vAlign w:val="bottom"/>
          </w:tcPr>
          <w:p>
            <w:pPr>
              <w:spacing w:after="0"/>
              <w:rPr>
                <w:sz w:val="17"/>
                <w:szCs w:val="17"/>
                <w:color w:val="auto"/>
              </w:rPr>
            </w:pPr>
          </w:p>
        </w:tc>
        <w:tc>
          <w:tcPr>
            <w:tcW w:w="10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75"/>
        </w:trPr>
        <w:tc>
          <w:tcPr>
            <w:tcW w:w="2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as of March 31, 2018</w:t>
            </w: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329,903</w:t>
            </w:r>
          </w:p>
        </w:tc>
        <w:tc>
          <w:tcPr>
            <w:tcW w:w="1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14,691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147</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1,100,743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(675,457)</w:t>
            </w: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2,269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(96,085)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555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1,062</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4,333</w:t>
            </w:r>
          </w:p>
        </w:tc>
      </w:tr>
      <w:tr>
        <w:trPr>
          <w:trHeight w:val="237"/>
        </w:trPr>
        <w:tc>
          <w:tcPr>
            <w:tcW w:w="8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 net cash provided by operating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13,427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2,482</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amortization of intangibles and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14,053</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14,592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483</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convertible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2,951</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5,705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4,288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23,269</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17,675</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ValuePenguin, net of cash acquired</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(105,445)</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SnapCap</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(110,405)</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related to net-share settlement of stock-based compensation, net of proceeds from exercise of stock</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60,000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49,408</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(33,618)</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cash used in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(37,728)</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(19,443)</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(2,827)</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(2,644)</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restricted cash and restricted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(40,555)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(22,087)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105,158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372,641</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64,603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350,554</w:t>
            </w:r>
          </w:p>
        </w:tc>
      </w:tr>
      <w:tr>
        <w:trPr>
          <w:trHeight w:val="297"/>
        </w:trPr>
        <w:tc>
          <w:tcPr>
            <w:tcW w:w="83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additions from tenant improvement allowance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36"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LendingTree, Inc. ("LendingTree" or the "Company"), is the parent of LendingTree, LLC and several companies owned by LendingTree, LLC.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Discontinued Operations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March 31, 2019 and for the three months ended March 31, 2019 and 2018,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2019 are not necessarily indicative of the results to be expected for the year ending December 31, 2019, or any other period. The accompanying consolidated balance sheet as of December 31, 2018 was derived from audited financial statements included in the Company's annual report on Form 10-K for the year ended December 31, 2018 (the "2018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2018 Annual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and assumptions related to the determination of stock-based compensation.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March 31, 2019,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partners to maintain security deposits with the Company, which in the event of non-payment, would be applied against any accounts receivable outstanding.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services.</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Early adoption is permitted, including adoption in any interim period. The amendments should be applied either retrospectively or prospectively to all implementation costs incurred after the date of adoption.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which removes, modifies and adds certain disclosure requirements in Accounting Standards Codification ("ASC") Topic 820, Fair Value Measurement. This ASU is effective for annual and interim reporting periods beginning after December 15, 2019, with early adoption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is evaluating the impact this ASU will have on its consolidated financial statements and whether to early adopt.</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related to lease accounting guidance. This ASU introduces ASC Topic 842, Leases, which supersedes ASC Topic 840, Leases. In 2018 and 2019, the FASB issued final amendments clarifying certain narrow aspects of implementing ASU 2016-02, including clarifications related to the rate implicit in the lease, lessee reassessment of lease classification, lessor reassessment of lease term and purchase options, variable payments that depend on an index or rate, transition disclosures and certain other transition matters. The clarification ASUs also provided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The clarification ASUs must be adopted concurrently with the adoption of ASU 2016-02 (collectively, "ASC Topic 842").</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adopted ASC Topic 842 as of January 1, 2019 using the optional transition method to apply the new requirements at the adoption date without restating comparative prior periods presented. The adoption resulted in the increase in total assets and total liabilities of $8.8 million as of January 1, 2019 related to operating leases greater than one year in duration for which the Company is the lessee, with no cumulative effect adjustment to the opening balance of accumulated deficit. As part of the transition, the Company has elected the package of practical expedients which allows the Company to not reassess whether expired or existing contracts contain leases, lease classification for expired or existing leases, and initial direct costs for existing leases. Additionally, the Company has elected as accounting policy to not record short-term leases, which are leases with an initial term of twelve months or fewer, on the balance sheet.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1"/>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products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45,984</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Non-mortgage products</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Credit cards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54,506</w:t>
            </w:r>
          </w:p>
        </w:tc>
        <w:tc>
          <w:tcPr>
            <w:tcW w:w="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46,132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Personal loans</w:t>
            </w:r>
          </w:p>
        </w:tc>
        <w:tc>
          <w:tcPr>
            <w:tcW w:w="11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32,531</w:t>
            </w:r>
          </w:p>
        </w:tc>
        <w:tc>
          <w:tcPr>
            <w:tcW w:w="6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25,965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67,092</w:t>
            </w:r>
          </w:p>
        </w:tc>
        <w:tc>
          <w:tcPr>
            <w:tcW w:w="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62,277</w:t>
            </w:r>
          </w:p>
        </w:tc>
        <w:tc>
          <w:tcPr>
            <w:tcW w:w="6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35,463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non-mortgage products</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216,406</w:t>
            </w:r>
          </w:p>
        </w:tc>
        <w:tc>
          <w:tcPr>
            <w:tcW w:w="6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107,573</w:t>
            </w:r>
          </w:p>
        </w:tc>
        <w:tc>
          <w:tcPr>
            <w:tcW w:w="0" w:type="dxa"/>
            <w:vAlign w:val="bottom"/>
          </w:tcPr>
          <w:p>
            <w:pPr>
              <w:spacing w:after="0"/>
              <w:rPr>
                <w:sz w:val="1"/>
                <w:szCs w:val="1"/>
                <w:color w:val="auto"/>
              </w:rPr>
            </w:pPr>
          </w:p>
        </w:tc>
      </w:tr>
      <w:tr>
        <w:trPr>
          <w:trHeight w:val="237"/>
        </w:trPr>
        <w:tc>
          <w:tcPr>
            <w:tcW w:w="76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0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262,390</w:t>
            </w:r>
          </w:p>
        </w:tc>
        <w:tc>
          <w:tcPr>
            <w:tcW w:w="6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181,035</w:t>
            </w:r>
          </w:p>
        </w:tc>
        <w:tc>
          <w:tcPr>
            <w:tcW w:w="0" w:type="dxa"/>
            <w:vAlign w:val="bottom"/>
          </w:tcPr>
          <w:p>
            <w:pPr>
              <w:spacing w:after="0"/>
              <w:rPr>
                <w:sz w:val="1"/>
                <w:szCs w:val="1"/>
                <w:color w:val="auto"/>
              </w:rPr>
            </w:pPr>
          </w:p>
        </w:tc>
      </w:tr>
      <w:tr>
        <w:trPr>
          <w:trHeight w:val="34"/>
        </w:trPr>
        <w:tc>
          <w:tcPr>
            <w:tcW w:w="7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within the mortgage product category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match and other upfront fees, revenue within the non-mortgage product category is also generated from closing fees and approval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the Company's insurance business is primarily generated from match fees,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Upfront fees and subscription fees are derived from consumers in the Company's credit services business. Upfront fees paid by consumers are recognized as revenue over the estimated time the consumer will remain a customer and receive services. Subscription fees are recognized over the period a consumer is receiving services.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and other current assets on the consolidated balance sheets related to estimated variable consideration was $5.4 million and $4.8 million on March 31, 2019 and December 31, 2018, respectively.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 liability recorded within accrued expenses and other current liabilities on the consolidated balance sheets related to upfront fees paid by consumers in the Company's credit services business was $0.6 million and $0.4 million on March 31, 2019 and December 31, 2018, respectively. During the first quarter of 2019, the Company recognized revenue of $0.3 million that was included in the contract liability balance at December 31, 2018.</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an increase to such revenue from prior periods of $0.9 million in the first quarter of 2019. There was no adjustment to such revenue from prior periods in the first quarter of 2018.</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4—CASH AND RESTRICTED CASH</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Total cash, cash equivalents, restricted cash and restricted cash equivalents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64,565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105,102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cash equivalents, restricted cash and restricted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64,603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105,158</w:t>
            </w:r>
          </w:p>
        </w:tc>
      </w:tr>
      <w:tr>
        <w:trPr>
          <w:trHeight w:val="459"/>
        </w:trPr>
        <w:tc>
          <w:tcPr>
            <w:tcW w:w="8340" w:type="dxa"/>
            <w:vAlign w:val="bottom"/>
            <w:tcBorders>
              <w:top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goodwill,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80" w:type="dxa"/>
            <w:vAlign w:val="bottom"/>
          </w:tcPr>
          <w:p>
            <w:pPr>
              <w:spacing w:after="0"/>
              <w:rPr>
                <w:sz w:val="13"/>
                <w:szCs w:val="13"/>
                <w:color w:val="auto"/>
              </w:rPr>
            </w:pPr>
          </w:p>
        </w:tc>
        <w:tc>
          <w:tcPr>
            <w:tcW w:w="13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12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Net Goodwill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831,435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348,347</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QuoteWizard</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ValuePenguin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71,422</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71,422</w:t>
            </w:r>
          </w:p>
        </w:tc>
        <w:tc>
          <w:tcPr>
            <w:tcW w:w="0" w:type="dxa"/>
            <w:vAlign w:val="bottom"/>
          </w:tcPr>
          <w:p>
            <w:pPr>
              <w:spacing w:after="0"/>
              <w:rPr>
                <w:sz w:val="1"/>
                <w:szCs w:val="1"/>
                <w:color w:val="auto"/>
              </w:rPr>
            </w:pPr>
          </w:p>
        </w:tc>
      </w:tr>
      <w:tr>
        <w:trPr>
          <w:trHeight w:val="237"/>
        </w:trPr>
        <w:tc>
          <w:tcPr>
            <w:tcW w:w="6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903,040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419,952</w:t>
            </w:r>
          </w:p>
        </w:tc>
        <w:tc>
          <w:tcPr>
            <w:tcW w:w="0" w:type="dxa"/>
            <w:vAlign w:val="bottom"/>
          </w:tcPr>
          <w:p>
            <w:pPr>
              <w:spacing w:after="0"/>
              <w:rPr>
                <w:sz w:val="1"/>
                <w:szCs w:val="1"/>
                <w:color w:val="auto"/>
              </w:rPr>
            </w:pPr>
          </w:p>
        </w:tc>
      </w:tr>
      <w:tr>
        <w:trPr>
          <w:trHeight w:val="34"/>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The balance of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213,730</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195,557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223,872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205,699</w:t>
            </w:r>
          </w:p>
        </w:tc>
        <w:tc>
          <w:tcPr>
            <w:tcW w:w="0" w:type="dxa"/>
            <w:vAlign w:val="bottom"/>
          </w:tcPr>
          <w:p>
            <w:pPr>
              <w:spacing w:after="0"/>
              <w:rPr>
                <w:sz w:val="1"/>
                <w:szCs w:val="1"/>
                <w:color w:val="auto"/>
              </w:rPr>
            </w:pPr>
          </w:p>
        </w:tc>
      </w:tr>
      <w:tr>
        <w:trPr>
          <w:trHeight w:val="27"/>
        </w:trPr>
        <w:tc>
          <w:tcPr>
            <w:tcW w:w="6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goodwill is associated with its one reportable segment. 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3"/>
                <w:szCs w:val="13"/>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11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116,600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(28,033)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88,567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80,200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(9,773)</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70,427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18,042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Website content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51,000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(9,717)</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41,283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(252)</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266,098</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(52,368)</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213,730</w:t>
            </w:r>
          </w:p>
        </w:tc>
        <w:tc>
          <w:tcPr>
            <w:tcW w:w="0" w:type="dxa"/>
            <w:vAlign w:val="bottom"/>
          </w:tcPr>
          <w:p>
            <w:pPr>
              <w:spacing w:after="0"/>
              <w:rPr>
                <w:sz w:val="1"/>
                <w:szCs w:val="1"/>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24"/>
                <w:szCs w:val="24"/>
                <w:color w:val="auto"/>
              </w:rPr>
            </w:pPr>
          </w:p>
        </w:tc>
        <w:tc>
          <w:tcPr>
            <w:tcW w:w="11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112,400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(21,022)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91,378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80,200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(7,746)</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72,454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16,742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Website content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24,900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(6,192)</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234,498</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(38,941)</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195,557</w:t>
            </w:r>
          </w:p>
        </w:tc>
        <w:tc>
          <w:tcPr>
            <w:tcW w:w="0" w:type="dxa"/>
            <w:vAlign w:val="bottom"/>
          </w:tcPr>
          <w:p>
            <w:pPr>
              <w:spacing w:after="0"/>
              <w:rPr>
                <w:sz w:val="1"/>
                <w:szCs w:val="1"/>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6—Assets Held for Sale for tenant leases classified as held for sale during the fourth quarter of 2018.</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March 31, 2019,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41,844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53,179</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42,839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25,356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41,810</w:t>
            </w:r>
          </w:p>
        </w:tc>
      </w:tr>
      <w:tr>
        <w:trPr>
          <w:trHeight w:val="27"/>
        </w:trPr>
        <w:tc>
          <w:tcPr>
            <w:tcW w:w="9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213,730</w:t>
            </w:r>
          </w:p>
        </w:tc>
      </w:tr>
      <w:tr>
        <w:trPr>
          <w:trHeight w:val="27"/>
        </w:trPr>
        <w:tc>
          <w:tcPr>
            <w:tcW w:w="99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6—ASSETS HELD FOR SALE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2016, the Company acquired two office buildings in Charlotte, North Carolina for $23.5 million in cash, which included $0.1 million in acquisition-related costs which were capitalized. The buildings were acquired with the intent to use such buildings as the Company's corporate headquarters and rent any unused space.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2018, the Company's Board of Directors approved a plan to sell the two office buildings. The properties are classified as current assets held for sale in the consolidated balance sheets for March 31, 2019 and December 31, 2018. In February 2019, the Company agreed to sell these buildings to an unrelated third party, which agreement was amended in March 2019. The agreement as amended provides for a sale price of $24.5 million subject to prorations and adjustments. The sale is expected to be finalized in the second quarter of 2019. These properties are associated with the Company's one reportable segment.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Property and equipment classified as held for sale during each of March 31, 2019 and December 31, 2018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5,818</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14,984</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Site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r>
      <w:tr>
        <w:trPr>
          <w:trHeight w:val="237"/>
        </w:trPr>
        <w:tc>
          <w:tcPr>
            <w:tcW w:w="9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gross property and equipment</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22,063</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7"/>
        </w:trPr>
        <w:tc>
          <w:tcPr>
            <w:tcW w:w="9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20,785</w:t>
            </w:r>
          </w:p>
        </w:tc>
      </w:tr>
      <w:tr>
        <w:trPr>
          <w:trHeight w:val="34"/>
        </w:trPr>
        <w:tc>
          <w:tcPr>
            <w:tcW w:w="9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78"/>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classified as held for sale during each of March 31, 2019 and December 31, 2018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08"/>
        </w:trPr>
        <w:tc>
          <w:tcPr>
            <w:tcW w:w="97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7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Tenant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961</w:t>
            </w:r>
          </w:p>
        </w:tc>
      </w:tr>
      <w:tr>
        <w:trPr>
          <w:trHeight w:val="237"/>
        </w:trPr>
        <w:tc>
          <w:tcPr>
            <w:tcW w:w="9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gross intangible assets</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961</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7"/>
        </w:trPr>
        <w:tc>
          <w:tcPr>
            <w:tcW w:w="9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493</w:t>
            </w:r>
          </w:p>
        </w:tc>
      </w:tr>
      <w:tr>
        <w:trPr>
          <w:trHeight w:val="34"/>
        </w:trPr>
        <w:tc>
          <w:tcPr>
            <w:tcW w:w="9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59"/>
        </w:trPr>
        <w:tc>
          <w:tcPr>
            <w:tcW w:w="97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7—BUSINESS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2019 Acquisition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ValuePenguin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10, 2019, the Company acquired Value Holding, Inc., the parent company of ValuePenguin Inc. ("ValuePenguin"), a personal finance website that offers consumers objective analysis on a variety of financial topics from insurance to credit cards. The Company made an upfront cash payment of $106.1 million at the closing of the transaction, funded through $90.0 million drawn on the Company's Revolving Credit Facility and the balance using cash on hand. The Company has estimated a preliminary purchase price of $106.2 million, comprised of the upfront cash payment of $106.1 million and an estimated $0.1 million post-closing adjustment to working capital.</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preliminary allocation of purchase price to the assets acquired and liabilities assumed is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r>
      <w:tr>
        <w:trPr>
          <w:trHeight w:val="33"/>
        </w:trPr>
        <w:tc>
          <w:tcPr>
            <w:tcW w:w="9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working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2,820</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220" w:type="dxa"/>
            <w:vAlign w:val="bottom"/>
          </w:tcPr>
          <w:p>
            <w:pPr>
              <w:spacing w:after="0"/>
              <w:rPr>
                <w:sz w:val="21"/>
                <w:szCs w:val="21"/>
                <w:color w:val="auto"/>
              </w:rPr>
            </w:pP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9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31,600</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71,422</w:t>
            </w:r>
          </w:p>
        </w:tc>
      </w:tr>
      <w:tr>
        <w:trPr>
          <w:trHeight w:val="27"/>
        </w:trPr>
        <w:tc>
          <w:tcPr>
            <w:tcW w:w="9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5"/>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r>
      <w:tr>
        <w:trPr>
          <w:trHeight w:val="237"/>
        </w:trPr>
        <w:tc>
          <w:tcPr>
            <w:tcW w:w="9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preliminary purchase price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106,232</w:t>
            </w:r>
          </w:p>
        </w:tc>
      </w:tr>
      <w:tr>
        <w:trPr>
          <w:trHeight w:val="34"/>
        </w:trPr>
        <w:tc>
          <w:tcPr>
            <w:tcW w:w="9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of developed technology, content and trademarks and tradenames. The estimated fair values of the developed technology were determined using cost replacement analysis, the content was determined using excess earnings analysis, and the trademarks and tradenames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c>
          <w:tcPr>
            <w:tcW w:w="208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Amortization Life</w:t>
            </w:r>
          </w:p>
        </w:tc>
      </w:tr>
      <w:tr>
        <w:trPr>
          <w:trHeight w:val="3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4,200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180" w:type="dxa"/>
            <w:vAlign w:val="bottom"/>
          </w:tcPr>
          <w:p>
            <w:pPr>
              <w:spacing w:after="0"/>
              <w:rPr>
                <w:sz w:val="21"/>
                <w:szCs w:val="21"/>
                <w:color w:val="auto"/>
              </w:rPr>
            </w:pPr>
          </w:p>
        </w:tc>
        <w:tc>
          <w:tcPr>
            <w:tcW w:w="21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26,100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1,300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6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31,600</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 years</w:t>
            </w:r>
          </w:p>
        </w:tc>
      </w:tr>
      <w:tr>
        <w:trPr>
          <w:trHeight w:val="34"/>
        </w:trPr>
        <w:tc>
          <w:tcPr>
            <w:tcW w:w="6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has not completed its determination of the final purchase price or the final allocation of the purchase price to the assets and liabilities of the acquisition. The purchase price and final allocation of purchase price is expected to be finalized in 2019. Any adjustment to the preliminary purchase price or the assets and liabilities assumed with the acquisition will adjust goodwill.</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Company recorded preliminary goodwill of $71.4 million, which represents the excess of the purchase price over the estimated fair value of tangible and intangible assets acquired, net of the liabilities assumed. The goodwill is primarily attributable to ValuePenguin as a going concern, which represents the ability of the Company to earn a higher return on the collection of assets and business of ValuePenguin than if those assets and business were to be acquired and managed separately. The benefit of access to the workforce is an additional element of goodwill. The goodwill is recorded in the Company’s one reportable segment. For income tax purposes, the Company has preliminarily accounted for the acquisition as an asset purchase which would indicate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will be tax deductible. However, the Company has not yet completed an assessment in order to make a tax election that could impact the tax purchase accounting for the acquisition.</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Subsequent to the acquisition date, the Company’s consolidated results of operations include the results of the acquired ValuePenguin business. In the first quarter of 2019, revenue of $5.4 million and net income from continuing operations of $1.9 million have been included in the Company’s consolidated results of operations. Acquisition-related costs were $0.1 million in the first quarter of 2019, and are included in general and administrative expense on the consolidated statement of operations and comprehensive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Acquisitions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QuoteWizard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31, 2018, the Company acquired QuoteWizard.com, LLC ("QuoteWizard"),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paid $299.9 million in initial cash consideration, funded through $174.9 million of cash on hand and $125.0 million drawn on the Revolving Credit Facility, and could make up to three additional earnout payments, each ranging from zero to $23.4 million, based on certain defined operating results during the earnout periods November 1, 2018 through October 31, 2019, November 1, 2019 through October 31, 2020, and November 1, 2020 through October 31, 2021. These additional payments, to the extent earned, will be payable in cash. The Company has estimated a preliminary purchase price of $313.4 million, comprised of the upfront cash payment of $299.9 million, $13.9 million for the estimated fair value of the earnout payments, and an estimated $0.4 million post-closing reduction to working capital.</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2019, the estimated fair value of the contingent consideration totaled $35.1 million, of which $21.5 million is included in current contingent consideration and $13.6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first quarter of 2019, the Company recorded $14.4 million of contingent consideration expense in the consolidated statement of operations and comprehensive income due to the change in estimated fair value of the contingent consideration.</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The preliminary allocation of purchase price to the assets acquired and liabilities assumed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1,509</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183,046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preliminary purchase price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313,355</w:t>
            </w:r>
          </w:p>
        </w:tc>
      </w:tr>
      <w:tr>
        <w:trPr>
          <w:trHeight w:val="34"/>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of developed technology, customer relationships, content and trademarks and tradenames. The estimated fair values of the developed technology were determined using excess earnings analysis, the customer relationships were determined using the distributor method, the content was determined using cost replacement analysis, and the trademarks and tradenames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c>
          <w:tcPr>
            <w:tcW w:w="2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68,900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200" w:type="dxa"/>
            <w:vAlign w:val="bottom"/>
          </w:tcPr>
          <w:p>
            <w:pPr>
              <w:spacing w:after="0"/>
              <w:rPr>
                <w:sz w:val="21"/>
                <w:szCs w:val="21"/>
                <w:color w:val="auto"/>
              </w:rPr>
            </w:pPr>
          </w:p>
        </w:tc>
        <w:tc>
          <w:tcPr>
            <w:tcW w:w="2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42,700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years</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Content</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00" w:type="dxa"/>
            <w:vAlign w:val="bottom"/>
          </w:tcPr>
          <w:p>
            <w:pPr>
              <w:spacing w:after="0"/>
              <w:rPr>
                <w:sz w:val="21"/>
                <w:szCs w:val="21"/>
                <w:color w:val="auto"/>
              </w:rPr>
            </w:pPr>
          </w:p>
        </w:tc>
        <w:tc>
          <w:tcPr>
            <w:tcW w:w="2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7,800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120,400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years</w:t>
            </w:r>
          </w:p>
        </w:tc>
      </w:tr>
      <w:tr>
        <w:trPr>
          <w:trHeight w:val="27"/>
        </w:trPr>
        <w:tc>
          <w:tcPr>
            <w:tcW w:w="70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has not completed its determination of the final purchase price or the final allocation of the purchase price to the assets and liabilities of the acquisition. The purchase price and final allocation of purchase price is expected to be finalized in the second quarter of 2019. Any adjustment to the preliminary purchase price or the assets and liabilities assumed with the acquisition will adjust goodwill.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preliminary goodwill of $183.0 million, which represents the excess of the purchase price over the estimated fair value of tangible and intangible assets acquired, net of the liabilities assumed. The goodwill is primarily attributable to QuoteWizard as a going concern, which represents the ability of the Company to earn a higher return on the collection of assets and business of QuoteWizard than if those assets and business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results for the first quarter of 2018 below combine the consolidated results of the Company and QuoteWizard, giving effect to the acquisition as if it had been completed on January 1, 2017. This unaudited pro forma financial information is presented for informational purposes only and is not indicative of future operations or results had the acquisition been completed as of January 1, 2017, or any other date.</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results include adjustments for additional amortization expense based on the fair value of the intangible assets with definite lives and their estimated useful lives, as well as changes in depreciation expense associated with the change in fair value of the property, plant and equipment recorded in relation to the acquisition. Interest expense was adjusted to eliminate historical interest associated with QuoteWizard's revolving credit facility and notes payable that were not assumed with the acquisition, as well as reflect incremental interest expense associated with debt issued to finance the acquisition. The provision for income taxes from continuing operations has also been adjusted to reflect taxes on the historical results of operations of QuoteWizard. QuoteWizard did not pay taxes at the entity level as it was a limited liability company whose members elected for it to be taxed as a partnership.</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50"/>
        </w:trPr>
        <w:tc>
          <w:tcPr>
            <w:tcW w:w="9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center"/>
              <w:ind w:right="20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218,757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35,600</w:t>
            </w:r>
          </w:p>
        </w:tc>
      </w:tr>
      <w:tr>
        <w:trPr>
          <w:trHeight w:val="27"/>
        </w:trPr>
        <w:tc>
          <w:tcPr>
            <w:tcW w:w="9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Acquisition-related costs incurred by the Company and QuoteWizard that are directly attributable to the acquisition, and which will not have an ongoing impact, have been eliminated from the unaudited pro forma net income from continuing operations for the first quarter of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paid $12.2 million in initial cash consideration and could make up to two additional earnout payments, each ranging from zero to $4.375 million, based on certain defined operating metrics during the earnout periods July 1, 2018 through June 30, 2019 and July 1, 2019 through June 30, 2020. These additional payments, to the extent earned, will be payable in cash. The purchase price of $17.9 million is comprised of the upfront cash payment of $12.2 million, $5.8 million for the estimated fair value of the earnout payments, and a $0.1 million post-closing receipt for working capital settlement.</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2019, the estimated fair value of the contingent consideration totaled $6.8 million, of which $4.1 million is included in current contingent consideration and $2.7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first quarter of 2019, the Company recorded a gain of $0.6 million in the consolidated statement of operations and comprehensive income due to the change in estimated fair value of the contingent consideration.</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The preliminary allocation of purchase price to the assets acquired and liabilities assumed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11,260</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37"/>
        </w:trPr>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17,871</w:t>
            </w:r>
          </w:p>
        </w:tc>
      </w:tr>
      <w:tr>
        <w:trPr>
          <w:trHeight w:val="34"/>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excess earnings analysis, the customer relationships were determined using cost savings analysis and the trademarks and tradenames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08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8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5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7"/>
        </w:trPr>
        <w:tc>
          <w:tcPr>
            <w:tcW w:w="7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60" w:type="dxa"/>
            <w:vAlign w:val="bottom"/>
            <w:tcBorders>
              <w:top w:val="single" w:sz="8" w:color="auto"/>
            </w:tcBorders>
          </w:tcPr>
          <w:p>
            <w:pPr>
              <w:jc w:val="right"/>
              <w:ind w:right="1353"/>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8,900</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 years</w:t>
            </w:r>
          </w:p>
        </w:tc>
      </w:tr>
      <w:tr>
        <w:trPr>
          <w:trHeight w:val="34"/>
        </w:trPr>
        <w:tc>
          <w:tcPr>
            <w:tcW w:w="7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has not completed its determination of the final allocation of the purchase price to the assets and liabilities of the acquisition. The final allocation of purchase price is expected to be finalized in the second quarter of 2019. Any adjustment to the assets and liabilities assumed with the acquisition will adjust goodwill.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preliminary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Contingent Consideration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SnapCap</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2019, the Company paid $3.0 million related to the earnout payment for the period of October 1, 2017 through September 30, 2018, which is included within cash flows from financing activities on the consolidated statement of cash flows.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2019, the estimated fair value of the contingent consideration totaled $5.3 million, of which $2.9 million is included in current contingent consideration and $2.4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first quarters of 2019 and 2018, the Company recorded contingent consideration expense of $1.6 million and a gain of $2.1 million, respectively, in the consolidated statements of operations and comprehensive income due to the change in estimated fair value of the contingent consideration.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DepositAccounts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third quarter of 2017, the Company made a payment of $1.0 million associated with a specified increase in the Federal Funds rate in June 2017. In each of the four quarters of 2018, the Company paid $1.0 million associated with specified increases in the Federal Funds rate in December 2017, March 2018, June 2018 and September 2018, respectively. In the first quarter of 2019, the Company paid $1.0 million associated with a specified increase in the Federal Funds rate in December 2018, which is included within cash flows from operating activities on the consolidated statement of cash flows.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2019, the estimated fair value of the contingent consideration totaled $2.2 million, which is included in 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value of the contingent consideration is based upon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first quarters of 2019 and 2018, the Company recorded a gain of $0.8 million and expense of $0.9 million, respectively, in the consolidated statements of operations and comprehensive income due to the change in estimated fair value of the contingent consideration.</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April 2019, the Company paid $2.0 million associated with the one-time performance payment based on the net revenue of deposit products during the period of January 1, 2018 through December 31,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Results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results for the first quarters of 2019 and 2018 combine the consolidated results of the Company and Ovation, Student Loan Hero, Inc. (“Student Loan Hero”), QuoteWizard and ValuePenguin, giving effect to the acquisitions as if the Ovation, Student Loan Hero and QuoteWizard acquisitions had been completed on January 1, 2017, and as if the ValuePenguin acquisition had been completed on January 1, 2018. This unaudited pro forma financial information is presented for informational purposes only and is not indicative of future operations or results had the acquisitions been completed as of January 1, 2017 or 2018, or any other date.</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results include adjustments for additional amortization expense based on the fair value of the intangible assets with definite lives and their estimated useful lives. Depreciation expense and interest expense was adjusted for the impact of the QuoteWizard acquisition, as described above. Interest expense was also adjusted to reflect incremental interest associated with debt issued to finance the ValuePenguin acquisition. The provision for income taxes from continuing operations has been adjusted to reflect taxes on the historical results of operations of QuoteWizard. QuoteWizard did not pay taxes at the entity level as it was a limited liability company whose members elected for it to be taxed as a partnership.</w:t>
      </w:r>
    </w:p>
    <w:p>
      <w:pPr>
        <w:spacing w:after="0" w:line="12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Pr>
          <w:p>
            <w:pPr>
              <w:spacing w:after="0"/>
              <w:rPr>
                <w:sz w:val="21"/>
                <w:szCs w:val="2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262,905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229,884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35,616</w:t>
            </w:r>
          </w:p>
        </w:tc>
      </w:tr>
      <w:tr>
        <w:trPr>
          <w:trHeight w:val="27"/>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in the first quarter of 2019 includes the aggregate after tax contingent consideration expense associated with the DepositAccounts, SnapCap, Ovation and QuoteWizard earnouts of $10.6 million. The unaudited pro forma net income from continuing operations in the first quarter of 2018 includes the aggregate after tax contingent consideration gain associated with the DepositAccounts and SnapCap earnouts of $0.9 million.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for the first quarter of 2018 has been adjusted to include acquisition-related costs of $0.5 million incurred by the Company that are directly attributable to the ValuePenguin acquisition, and which will not have an ongoing impact. Accordingly, such acquisition-related costs have been eliminated from the unaudited pro forma net income from continuing operations for the first quarter of 2019. Acquisition-related costs incurred by the Company and QuoteWizard that are directly attributable to the Ovation and QuoteWizard acquisitions, and which will not have an ongoing impact, have been eliminated from the unaudited pro forma net income from continuing operations for the first quarter of 2018.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8—ACCRUED EXPENSES AND OTHER CURRENT LIABILITIES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59,224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60,268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12,831</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6,381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2,549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6,797</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6,913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to LendingTree Foundation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3,333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4,695</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17,837</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13,746</w:t>
            </w:r>
          </w:p>
        </w:tc>
      </w:tr>
      <w:tr>
        <w:trPr>
          <w:trHeight w:val="237"/>
        </w:trPr>
        <w:tc>
          <w:tcPr>
            <w:tcW w:w="8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106,007</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93,190</w:t>
            </w:r>
          </w:p>
        </w:tc>
      </w:tr>
      <w:tr>
        <w:trPr>
          <w:trHeight w:val="34"/>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9—LEASES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 lessee to leases of corporate offices and certain office equipment. The majority of leases for corporate offices include one or more options to renew, with renewal terms ranging from three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right-of use assets totaling $11.2 million are included in other non-current assets and lease liabilities totaling $13.0 million are included in accrued expenses and other current liabilities and other non-current liabilities in the accompanying balance sheet.</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Lease expense, which is included in general and administrative expense on the accompanying consolidated statements of operations and comprehensive income,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1,263</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Pr>
          <w:p>
            <w:pPr>
              <w:spacing w:after="0"/>
              <w:rPr>
                <w:sz w:val="21"/>
                <w:szCs w:val="21"/>
                <w:color w:val="auto"/>
              </w:rPr>
            </w:pPr>
          </w:p>
        </w:tc>
        <w:tc>
          <w:tcPr>
            <w:tcW w:w="1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9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6"/>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1,302</w:t>
            </w:r>
          </w:p>
        </w:tc>
      </w:tr>
      <w:tr>
        <w:trPr>
          <w:trHeight w:val="432"/>
        </w:trPr>
        <w:tc>
          <w:tcPr>
            <w:tcW w:w="92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operating leases are as follows:</w:t>
            </w:r>
          </w:p>
        </w:tc>
        <w:tc>
          <w:tcPr>
            <w:tcW w:w="2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r>
        <w:trPr>
          <w:trHeight w:val="400"/>
        </w:trPr>
        <w:tc>
          <w:tcPr>
            <w:tcW w:w="9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3.5 years</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Supplemental cash flow information related to leases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54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54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3,534</w:t>
            </w:r>
          </w:p>
        </w:tc>
      </w:tr>
      <w:tr>
        <w:trPr>
          <w:trHeight w:val="459"/>
        </w:trPr>
        <w:tc>
          <w:tcPr>
            <w:tcW w:w="5480" w:type="dxa"/>
            <w:vAlign w:val="bottom"/>
          </w:tcPr>
          <w:p>
            <w:pPr>
              <w:spacing w:after="0"/>
              <w:rPr>
                <w:sz w:val="24"/>
                <w:szCs w:val="24"/>
                <w:color w:val="auto"/>
              </w:rPr>
            </w:pPr>
          </w:p>
        </w:tc>
        <w:tc>
          <w:tcPr>
            <w:tcW w:w="38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3760"/>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8"/>
        </w:trPr>
        <w:tc>
          <w:tcPr>
            <w:tcW w:w="93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37"/>
        </w:trPr>
        <w:tc>
          <w:tcPr>
            <w:tcW w:w="9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Maturities of lease liabilities as of March 31, 2019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3"/>
        </w:trPr>
        <w:tc>
          <w:tcPr>
            <w:tcW w:w="93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9"/>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3,971</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4,248</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2,298</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2022</w:t>
            </w: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1,913</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9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14,325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1,295</w:t>
            </w:r>
          </w:p>
        </w:tc>
      </w:tr>
      <w:tr>
        <w:trPr>
          <w:trHeight w:val="27"/>
        </w:trPr>
        <w:tc>
          <w:tcPr>
            <w:tcW w:w="9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13,030</w:t>
            </w:r>
          </w:p>
        </w:tc>
      </w:tr>
      <w:tr>
        <w:trPr>
          <w:trHeight w:val="27"/>
        </w:trPr>
        <w:tc>
          <w:tcPr>
            <w:tcW w:w="93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Future minimum payments as of December 31, 2018 under operating lease agreements having an initial or remaining non-cancelable lease term in excess of one year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3,188</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1,094</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2022</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r>
      <w:tr>
        <w:trPr>
          <w:trHeight w:val="237"/>
        </w:trPr>
        <w:tc>
          <w:tcPr>
            <w:tcW w:w="9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9,652</w:t>
            </w:r>
          </w:p>
        </w:tc>
      </w:tr>
      <w:tr>
        <w:trPr>
          <w:trHeight w:val="34"/>
        </w:trPr>
        <w:tc>
          <w:tcPr>
            <w:tcW w:w="9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operates as a lessor in connection with the office buildings in Charlotte, North Carolina acquired in December 2016.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6—Assets Held for Sale for further information on the office buildings.</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Future rental income from the building tenants as of March 31, 2019 under operating lease agreements having an initial or remaining non-cancelable lease term in excess of one year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531</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2022</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9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1,884</w:t>
            </w:r>
          </w:p>
        </w:tc>
      </w:tr>
      <w:tr>
        <w:trPr>
          <w:trHeight w:val="27"/>
        </w:trPr>
        <w:tc>
          <w:tcPr>
            <w:tcW w:w="9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Rental income of $0.2 million in each of the first quarters of 2019 and 2018, respectively, is included in other income on the accompanying consolidated statements of operations and comprehensive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Future rental income from the building tenants as of December 31, 2018 under operating lease agreements having an initial or remaining non-cancelable lease term in excess of one year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2022</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9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1,779</w:t>
            </w:r>
          </w:p>
        </w:tc>
      </w:tr>
      <w:tr>
        <w:trPr>
          <w:trHeight w:val="27"/>
        </w:trPr>
        <w:tc>
          <w:tcPr>
            <w:tcW w:w="9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10—SHAREHOLDERS' EQUITY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2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9"/>
        </w:trPr>
        <w:tc>
          <w:tcPr>
            <w:tcW w:w="834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204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b w:val="1"/>
                <w:bCs w:val="1"/>
                <w:color w:val="auto"/>
              </w:rPr>
              <w:t>12,718</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12,090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stock options</w:t>
            </w:r>
          </w:p>
        </w:tc>
        <w:tc>
          <w:tcPr>
            <w:tcW w:w="20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686</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1,559</w:t>
            </w:r>
          </w:p>
        </w:tc>
      </w:tr>
      <w:tr>
        <w:trPr>
          <w:trHeight w:val="27"/>
        </w:trPr>
        <w:tc>
          <w:tcPr>
            <w:tcW w:w="8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204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161</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Convertible Senior Notes and warrants</w:t>
            </w:r>
          </w:p>
        </w:tc>
        <w:tc>
          <w:tcPr>
            <w:tcW w:w="20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621</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986</w:t>
            </w:r>
          </w:p>
        </w:tc>
      </w:tr>
      <w:tr>
        <w:trPr>
          <w:trHeight w:val="27"/>
        </w:trPr>
        <w:tc>
          <w:tcPr>
            <w:tcW w:w="8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204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b w:val="1"/>
                <w:bCs w:val="1"/>
                <w:color w:val="auto"/>
              </w:rPr>
              <w:t>14,186</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14,848</w:t>
            </w:r>
          </w:p>
        </w:tc>
      </w:tr>
      <w:tr>
        <w:trPr>
          <w:trHeight w:val="27"/>
        </w:trPr>
        <w:tc>
          <w:tcPr>
            <w:tcW w:w="834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first quarter of 2019, the weighted average shares that were anti-dilutive, and therefore excluded from the calculation of diluted income per share, included options to purchase 0.4 million shares of common stock. For the first quarter of 2018, the weighted average shares that were anti-dilutive included options to purchase 0.3 million shares of common stock.</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0.625% Convertible Senior Notes due June 1, 2022 and the warrants issued by the Company in 2017 could be converted into the Company’s common stock in the future, subject to certain contingencies.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each of January 2010, May 2014, January 2016, February 2016, February 2018 and February 2019, the board of directors authorized and the Company announced the repurchase of up to $10.0 million, $10.0 million, $50.0 million, $40.0 million, $100.0 million and $150.0 million, respectively, of LendingTree's common stock. During the first quarters of 2019 and 2018, the Company purchased 17,501 and 30,416 shares, respectively, of its common stock for aggregate consideration of $4.0 million and $11.0 million, respectively. At March 31, 2019, approximately $181.2 million of the previous authorizations to repurchase common stock remain available.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1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1,749</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10,221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15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14,053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11,109</w:t>
            </w:r>
          </w:p>
        </w:tc>
        <w:tc>
          <w:tcPr>
            <w:tcW w:w="0" w:type="dxa"/>
            <w:vAlign w:val="bottom"/>
          </w:tcPr>
          <w:p>
            <w:pPr>
              <w:spacing w:after="0"/>
              <w:rPr>
                <w:sz w:val="1"/>
                <w:szCs w:val="1"/>
                <w:color w:val="auto"/>
              </w:rPr>
            </w:pPr>
          </w:p>
        </w:tc>
      </w:tr>
      <w:tr>
        <w:trPr>
          <w:trHeight w:val="432"/>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11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(a)</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30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340" w:type="dxa"/>
            <w:vAlign w:val="bottom"/>
          </w:tcPr>
          <w:p>
            <w:pPr>
              <w:spacing w:after="0"/>
              <w:rPr>
                <w:sz w:val="16"/>
                <w:szCs w:val="16"/>
                <w:color w:val="auto"/>
              </w:rPr>
            </w:pPr>
          </w:p>
        </w:tc>
        <w:tc>
          <w:tcPr>
            <w:tcW w:w="118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2019</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940,533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65.12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(b)</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35,392</w:t>
            </w:r>
          </w:p>
        </w:tc>
        <w:tc>
          <w:tcPr>
            <w:tcW w:w="320" w:type="dxa"/>
            <w:vAlign w:val="bottom"/>
          </w:tcPr>
          <w:p>
            <w:pPr>
              <w:spacing w:after="0"/>
              <w:rPr>
                <w:sz w:val="23"/>
                <w:szCs w:val="23"/>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310.93</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(58,265)</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30.13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(17,520)</w:t>
            </w:r>
          </w:p>
        </w:tc>
        <w:tc>
          <w:tcPr>
            <w:tcW w:w="32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337.78</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March 31, 2019</w:t>
            </w: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900,140</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71.74</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252,048</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 at March 31, 2019</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724,395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32.71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231,035</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$351.56 on the last trading day of the quarter ended March 31, 2019 and the exercise price, multiplied by the number of shares covered by in-the-money options) that would have been received by the option holder had the option holder exercised these options on March 31, 2019. The intrinsic value changes based on the market value of the Company's common stock.</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2019, the Company granted stock options to certain employees with a weighted average grant date fair value per share of $161.64, calculated using the Black-Scholes option pricing model, which vesting periods include (a) three years from the grant date and (b) four years from the grant date.</w:t>
      </w:r>
    </w:p>
    <w:p>
      <w:pPr>
        <w:spacing w:after="0" w:line="12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6"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6.00 - 6.25 years</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5"/>
                <w:szCs w:val="25"/>
                <w:color w:val="auto"/>
                <w:vertAlign w:val="superscript"/>
              </w:rPr>
              <w:t>(2)</w:t>
            </w:r>
          </w:p>
        </w:tc>
        <w:tc>
          <w:tcPr>
            <w:tcW w:w="5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51 - 52%</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 - 2.55%</w:t>
            </w:r>
          </w:p>
        </w:tc>
      </w:tr>
    </w:tbl>
    <w:p>
      <w:pPr>
        <w:spacing w:after="0" w:line="144"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granted in 2019, no dividends are expected to be paid over the contractual term of the stock options, resulting in a zero expected dividend rate.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performance conditions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vMerge w:val="restart"/>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Performance</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(a)</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2019</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37,877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308.90</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(11,876)</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308.90</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March 31, 2019</w:t>
            </w:r>
          </w:p>
        </w:tc>
        <w:tc>
          <w:tcPr>
            <w:tcW w:w="15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26,001</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308.90</w:t>
            </w:r>
          </w:p>
        </w:tc>
        <w:tc>
          <w:tcPr>
            <w:tcW w:w="14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8.70</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1,109</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 at March 31, 2019</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$351.56 on the last trading day of the quarter ended March 31, 2019 and the exercise price, multiplied by the number of shares covered by in-the-money options) that would have been received by the option holder had the option holder exercised these options on March 31, 2019. The intrinsic value changes based on the market value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restart"/>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36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(a)</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447,193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200.51</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(b)</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16,247</w:t>
            </w:r>
          </w:p>
        </w:tc>
        <w:tc>
          <w:tcPr>
            <w:tcW w:w="36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308.96</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March 31, 2019</w:t>
            </w:r>
          </w:p>
        </w:tc>
        <w:tc>
          <w:tcPr>
            <w:tcW w:w="15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463,440</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204.31</w:t>
            </w:r>
          </w:p>
        </w:tc>
        <w:tc>
          <w:tcPr>
            <w:tcW w:w="14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8.42</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68,602</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 at March 31,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$351.56 on the last trading day of the quarter ended March 31, 2019 and the exercise price, multiplied by the number of shares covered by in-the-money options) that would have been received by the option holder had the option holder exercised these options on March 31, 2019. The intrinsic value changes based on the market value of the Company's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2019, the Company granted stock options with a grant date fair value per share of $230.81, calculated using the Monte Carlo simulation model, which has a vesting date of March 31, 2023.</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determining stock-based compensation expense, the grant date fair value per share of the stock options was estimated using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Monte Carlo simulation model, which requires the use of various key assumptions. The assumptions used are as follows:</w:t>
      </w:r>
    </w:p>
    <w:p>
      <w:pPr>
        <w:spacing w:after="0" w:line="12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5"/>
                <w:szCs w:val="25"/>
                <w:color w:val="auto"/>
                <w:vertAlign w:val="superscript"/>
              </w:rPr>
              <w:t>(1)</w:t>
            </w:r>
          </w:p>
        </w:tc>
        <w:tc>
          <w:tcPr>
            <w:tcW w:w="4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 years</w:t>
            </w:r>
          </w:p>
        </w:tc>
      </w:tr>
      <w:tr>
        <w:trPr>
          <w:trHeight w:val="270"/>
        </w:trPr>
        <w:tc>
          <w:tcPr>
            <w:tcW w:w="57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5"/>
                <w:szCs w:val="25"/>
                <w:color w:val="auto"/>
                <w:vertAlign w:val="superscript"/>
              </w:rPr>
              <w:t>(2)</w:t>
            </w:r>
          </w:p>
        </w:tc>
        <w:tc>
          <w:tcPr>
            <w:tcW w:w="4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5"/>
                <w:szCs w:val="25"/>
                <w:color w:val="auto"/>
                <w:vertAlign w:val="superscript"/>
              </w:rPr>
              <w:t>(3)</w:t>
            </w:r>
          </w:p>
        </w:tc>
        <w:tc>
          <w:tcPr>
            <w:tcW w:w="4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5780" w:type="dxa"/>
            <w:vAlign w:val="bottom"/>
            <w:tcBorders>
              <w:bottom w:val="single" w:sz="8" w:color="999999"/>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5"/>
                <w:szCs w:val="25"/>
                <w:color w:val="auto"/>
                <w:vertAlign w:val="superscript"/>
              </w:rPr>
              <w:t>(4)</w:t>
            </w:r>
          </w:p>
        </w:tc>
        <w:tc>
          <w:tcPr>
            <w:tcW w:w="4820" w:type="dxa"/>
            <w:vAlign w:val="bottom"/>
            <w:tcBorders>
              <w:bottom w:val="single" w:sz="8" w:color="999999"/>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bl>
    <w:p>
      <w:pPr>
        <w:spacing w:after="0" w:line="144"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with a market condition granted was calculated using the midpoint between the time of vesting and the end of the contractual term.</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with a market condition granted in 2019, no dividends are expected to be paid over the contractual term of the stock options, resulting in a zero expected dividend rate.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maximum of 773,945 shares may be earned for achieving superior performance up to 167% of the target number of shares. As of March 31, 2019, performance-based nonqualified stock options with a market condition of 312,008 had been earned, which have a vest date of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units ("RSUs")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2"/>
                <w:szCs w:val="12"/>
                <w:color w:val="auto"/>
              </w:rPr>
            </w:pPr>
          </w:p>
        </w:tc>
        <w:tc>
          <w:tcPr>
            <w:tcW w:w="16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396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2019</w:t>
            </w:r>
          </w:p>
        </w:tc>
        <w:tc>
          <w:tcPr>
            <w:tcW w:w="55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201,568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225.48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47,007</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(45,810)</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189.14</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(14,093)</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290.95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March 31, 2019</w:t>
            </w:r>
          </w:p>
        </w:tc>
        <w:tc>
          <w:tcPr>
            <w:tcW w:w="55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188,672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249.29</w:t>
            </w:r>
          </w:p>
        </w:tc>
        <w:tc>
          <w:tcPr>
            <w:tcW w:w="0" w:type="dxa"/>
            <w:vAlign w:val="bottom"/>
          </w:tcPr>
          <w:p>
            <w:pPr>
              <w:spacing w:after="0"/>
              <w:rPr>
                <w:sz w:val="1"/>
                <w:szCs w:val="1"/>
                <w:color w:val="auto"/>
              </w:rPr>
            </w:pPr>
          </w:p>
        </w:tc>
      </w:tr>
      <w:tr>
        <w:trPr>
          <w:trHeight w:val="675"/>
        </w:trPr>
        <w:tc>
          <w:tcPr>
            <w:tcW w:w="396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24</w:t>
            </w:r>
          </w:p>
        </w:tc>
        <w:tc>
          <w:tcPr>
            <w:tcW w:w="1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Performance Conditions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performance conditions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2"/>
                <w:szCs w:val="12"/>
                <w:color w:val="auto"/>
              </w:rPr>
            </w:pPr>
          </w:p>
        </w:tc>
        <w:tc>
          <w:tcPr>
            <w:tcW w:w="16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92,481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182.28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(2,265)</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308.90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March 31,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90,216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179.10</w:t>
            </w:r>
          </w:p>
        </w:tc>
        <w:tc>
          <w:tcPr>
            <w:tcW w:w="0" w:type="dxa"/>
            <w:vAlign w:val="bottom"/>
          </w:tcPr>
          <w:p>
            <w:pPr>
              <w:spacing w:after="0"/>
              <w:rPr>
                <w:sz w:val="1"/>
                <w:szCs w:val="1"/>
                <w:color w:val="auto"/>
              </w:rPr>
            </w:pPr>
          </w:p>
        </w:tc>
      </w:tr>
      <w:tr>
        <w:trPr>
          <w:trHeight w:val="432"/>
        </w:trPr>
        <w:tc>
          <w:tcPr>
            <w:tcW w:w="7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Stock Awards with Performance Conditions</w:t>
            </w:r>
          </w:p>
        </w:tc>
        <w:tc>
          <w:tcPr>
            <w:tcW w:w="1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awards ("RSAs") with performance conditions is as follows: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660" w:type="dxa"/>
            <w:vAlign w:val="bottom"/>
          </w:tcPr>
          <w:p>
            <w:pPr>
              <w:spacing w:after="0"/>
              <w:rPr>
                <w:sz w:val="24"/>
                <w:szCs w:val="24"/>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20" w:type="dxa"/>
            <w:vAlign w:val="bottom"/>
          </w:tcPr>
          <w:p>
            <w:pPr>
              <w:spacing w:after="0"/>
              <w:rPr>
                <w:sz w:val="12"/>
                <w:szCs w:val="12"/>
                <w:color w:val="auto"/>
              </w:rPr>
            </w:pPr>
          </w:p>
        </w:tc>
        <w:tc>
          <w:tcPr>
            <w:tcW w:w="16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71,412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(5,951)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March 31,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65,461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340.25</w:t>
            </w:r>
          </w:p>
        </w:tc>
        <w:tc>
          <w:tcPr>
            <w:tcW w:w="0" w:type="dxa"/>
            <w:vAlign w:val="bottom"/>
          </w:tcPr>
          <w:p>
            <w:pPr>
              <w:spacing w:after="0"/>
              <w:rPr>
                <w:sz w:val="1"/>
                <w:szCs w:val="1"/>
                <w:color w:val="auto"/>
              </w:rPr>
            </w:pPr>
          </w:p>
        </w:tc>
      </w:tr>
      <w:tr>
        <w:trPr>
          <w:trHeight w:val="648"/>
        </w:trPr>
        <w:tc>
          <w:tcPr>
            <w:tcW w:w="7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Stock Awards with Market Conditions</w:t>
            </w:r>
          </w:p>
        </w:tc>
        <w:tc>
          <w:tcPr>
            <w:tcW w:w="1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RSAs with market conditions is as follows: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660" w:type="dxa"/>
            <w:vAlign w:val="bottom"/>
          </w:tcPr>
          <w:p>
            <w:pPr>
              <w:spacing w:after="0"/>
              <w:rPr>
                <w:sz w:val="24"/>
                <w:szCs w:val="24"/>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RSAs with Market Conditions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20" w:type="dxa"/>
            <w:vAlign w:val="bottom"/>
          </w:tcPr>
          <w:p>
            <w:pPr>
              <w:spacing w:after="0"/>
              <w:rPr>
                <w:sz w:val="12"/>
                <w:szCs w:val="12"/>
                <w:color w:val="auto"/>
              </w:rPr>
            </w:pPr>
          </w:p>
        </w:tc>
        <w:tc>
          <w:tcPr>
            <w:tcW w:w="16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26,674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March 31,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26,674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340.25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maximum of 44,545 shares may be earned for achieving superior performance up to 167% of the target number of shares. As of March 31, 2019, performance-based restricted stock awards with a market condition of 19,175 had been earned, which have a vest date of September 30,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6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9"/>
        </w:trPr>
        <w:tc>
          <w:tcPr>
            <w:tcW w:w="8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64"/>
        </w:trPr>
        <w:tc>
          <w:tcPr>
            <w:tcW w:w="8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7,752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23,461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20" w:type="dxa"/>
            <w:vAlign w:val="bottom"/>
          </w:tcPr>
          <w:p>
            <w:pPr>
              <w:spacing w:after="0"/>
              <w:rPr>
                <w:sz w:val="21"/>
                <w:szCs w:val="21"/>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107.6%</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(189.3)%</w:t>
            </w:r>
          </w:p>
        </w:tc>
      </w:tr>
      <w:tr>
        <w:trPr>
          <w:trHeight w:val="27"/>
        </w:trPr>
        <w:tc>
          <w:tcPr>
            <w:tcW w:w="836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18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first quarter of 2019 and the first quarter of 2018, the effective tax rate varied from the federal statutory rate of 21% primarily due to a tax benefit of $6.0 million and $27.2 million, respectively, recognized for excess tax benefits due to employee exercises of stock options and vesting of restricted stock in accordance with ASU 2016-09 and the effect of state taxes.</w:t>
      </w:r>
    </w:p>
    <w:p>
      <w:pPr>
        <w:spacing w:after="0" w:line="116"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r>
      <w:tr>
        <w:trPr>
          <w:trHeight w:val="259"/>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64"/>
        </w:trPr>
        <w:tc>
          <w:tcPr>
            <w:tcW w:w="8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 - excluding excess tax benefit on stock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1,749</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 on stock compensation</w:t>
            </w:r>
          </w:p>
        </w:tc>
        <w:tc>
          <w:tcPr>
            <w:tcW w:w="30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6,003</w:t>
            </w:r>
          </w:p>
        </w:tc>
        <w:tc>
          <w:tcPr>
            <w:tcW w:w="5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27,203</w:t>
            </w:r>
          </w:p>
        </w:tc>
      </w:tr>
      <w:tr>
        <w:trPr>
          <w:trHeight w:val="27"/>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7,752</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23,461</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08"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 98% of the product of the last reported sale price of the Common Stock and the conversion rate on each such trading day; or</w:t>
      </w:r>
    </w:p>
    <w:p>
      <w:pPr>
        <w:spacing w:after="0" w:line="18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were not entitled to convert the Notes from July 1, 2018 to March 31, 2019. Holders of the Notes are entitled to convert the Notes during the calendar quarter ended June 30, 2019 as the last reported sales price of the Company's common stock, for at least 20 trading days (whether or not consecutive) during the period of 30 consecutive trading days ending on March 31, 2019, was greater than or equal to 130% of the conversion price of the Notes on each applicable trading day.</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2019, the Company recorded interest expense on the Notes of $3.8 million which consisted of $0.5 million associated with the 0.625% coupon rate, $3.0 million associated with the accretion of the debt discount, and $0.3 million associated with the amortization of the debt issuance costs. In the first quarter of 2018, the Company recorded interest expense on the Notes of $3.6 million which consisted of $0.5 million associated with the 0.625% coupon rate, $2.8 million associated with the accretion of the debt discount, and $0.3 million associated with the amortization of the debt issuance costs. The debt discount is being amortized over the term of the debt.</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the fair value of the Notes is estimated to be approximately $523.5 million using the Level 1 observable input of the last quoted market price for the quarter ended March 31, 2019.</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unamortized debt cost, debt issuance costs and net carrying value of the liability component of the Notes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3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0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carrying amount</w:t>
            </w:r>
          </w:p>
        </w:tc>
        <w:tc>
          <w:tcPr>
            <w:tcW w:w="4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40,854</w:t>
            </w:r>
          </w:p>
        </w:tc>
        <w:tc>
          <w:tcPr>
            <w:tcW w:w="3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43,805</w:t>
            </w:r>
          </w:p>
        </w:tc>
      </w:tr>
      <w:tr>
        <w:trPr>
          <w:trHeight w:val="27"/>
        </w:trPr>
        <w:tc>
          <w:tcPr>
            <w:tcW w:w="3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4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4,898</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5,252</w:t>
            </w:r>
          </w:p>
        </w:tc>
      </w:tr>
      <w:tr>
        <w:trPr>
          <w:trHeight w:val="237"/>
        </w:trPr>
        <w:tc>
          <w:tcPr>
            <w:tcW w:w="3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46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254,248</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250,943</w:t>
            </w:r>
          </w:p>
        </w:tc>
      </w:tr>
      <w:tr>
        <w:trPr>
          <w:trHeight w:val="34"/>
        </w:trPr>
        <w:tc>
          <w:tcPr>
            <w:tcW w:w="380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59"/>
        </w:trPr>
        <w:tc>
          <w:tcPr>
            <w:tcW w:w="3800" w:type="dxa"/>
            <w:vAlign w:val="bottom"/>
          </w:tcPr>
          <w:p>
            <w:pPr>
              <w:spacing w:after="0"/>
              <w:rPr>
                <w:sz w:val="24"/>
                <w:szCs w:val="24"/>
                <w:color w:val="auto"/>
              </w:rPr>
            </w:pPr>
          </w:p>
        </w:tc>
        <w:tc>
          <w:tcPr>
            <w:tcW w:w="432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21, 2017, the Company's wholly-owned subsidiary, LendingTree, LLC, entered into an amended and restated $250.0 million five-year senior secured revolving credit facility which matures on November 21, 2022 (the “Revolving Credit Facility”).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 On October 26, 2018, the Company amended the Revolving Credit Facility to increase the borrowing capacity by $100.0 million to $350.0 million. Pricing and other terms and conditions of the Revolving Credit Facility remain unchanged. Borrowings under the Revolving Credit Facility can be used to finance working capital needs, capital expenditures and general corporate purposes, including to finance permitted acquisitions. As of March 31, 2019, the Company had $185.0 million in borrowings outstanding under the Revolving Credit Facility at the LIBO rate option with a weighted average interest rate of 3.99%, consisting of a $105.0 million 31-day borrowing and an $80.0 million 32-day borrowing. As of December 31, 2018, the Company had a $125.0 million, 31-day borrowing outstanding under the Revolving Credit Facility bearing interest at the LIBO rate option of 4.02%.</w:t>
      </w:r>
    </w:p>
    <w:p>
      <w:pPr>
        <w:spacing w:after="0" w:line="13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March 31, 2019.</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remaining unamortized debt issuance costs associated with the original revolving credit facility entered into on October 22, 2015 and the Revolving Credit Facility, debt issuance costs of $0.5 million related to the October 2018 amendment are being amortized to interest expense over the life of the Revolving Credit Facility, and are included in prepaid and other current assets and other non-current assets in the Company's consolidated balance sheet.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2019, the Company recorded interest expense related to the Revolving Credit Facility of $2.1 million, which consisted of $1.9 million associated with borrowings bearing interest at the LIBO rate, $0.1 million in unused commitment fees, and $0.1 million associated with the amortization of the debt issuance costs. In the first quarter of 2018, the Company recorded interest expense related to the Revolving Credit Facility of $0.2 million in unused commitment fees and $0.1 million associated with the amortization of the debt issuance costs.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2019, the Company had litigation settlement accruals of $0.1 million and $8.0 million in continuing operations and discontinued operations, respectively. As of December 31, 2018, the Company had litigation settlement accruals of $0.2 million and $8.0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 Related to Discontinued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Residential Funding Company</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Residential Funding Company, LLC v Home Loan Center, Inc., No. 13-cv-3451 (U.S. Dist. Ct., Minn.). </w:t>
      </w:r>
      <w:r>
        <w:rPr>
          <w:rFonts w:ascii="Times New Roman" w:cs="Times New Roman" w:eastAsia="Times New Roman" w:hAnsi="Times New Roman"/>
          <w:sz w:val="18"/>
          <w:szCs w:val="18"/>
          <w:color w:val="auto"/>
        </w:rPr>
        <w:t>On or about December 16, 2013, Home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claims that the defendant is liable for a portion of the global settlement in RFC’s bankruptcy.</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Plaintiff asserts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alleges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HLC denied the material allegations of the complaint and asserted numerous defenses thereto. The matter went to trial in October 2018, and the jury returned a verdict of $28.7 million in favor of Plaintiff. Plaintiff sought interest on the verdict amount and on its attorneys' fees in addition to the jury verdict amount. On March 18, 2019, the Court denied Plaintiff’s request for interest on any award of attorneys’ fees (previously estimated to be $15.2 million), and awarded Plaintiff’s request for (1) pre-verdict interest in the amount of $14.1 million and (2) post-verdict, pre-judgment interest on the award of damages, the amount of which has yet to be calculated because judgment has yet to be entered. As of April 26, 2019, the post-verdict, pre-judgment interest is estimated to be $3.3 million (previously estimated to be $1.4 million). Plaintiff is also seeking up to $28.7 million in attorneys’ fees. HLC believes it has strong grounds for an appeal and further believes that Plaintiff’s demand for attorneys’ fees is excessive (and, if granted, would be subject to appeal). HLC intends to vigorously pursue an appeal. The Company estimates the range of HLC’s potential losses in the RFC matter to be $0.0 million to $74.8 million. An estimated liability of $7.0 million for this matter is included in the accompanying consolidated balance sheet as of March 31, 2019.</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Lehman Brothers Holdings, Inc.</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Lehman Brothers Holdings Inc. v. 1st Advantage Mortgage, LLC et al., Case No. 08-13555 (SCC), Adversary Proceeding No. 16-01342 (SCC) (Bankr. S.D.N.Y.). </w:t>
      </w:r>
      <w:r>
        <w:rPr>
          <w:rFonts w:ascii="Times New Roman" w:cs="Times New Roman" w:eastAsia="Times New Roman" w:hAnsi="Times New Roman"/>
          <w:sz w:val="18"/>
          <w:szCs w:val="18"/>
          <w:color w:val="auto"/>
        </w:rPr>
        <w:t>In February 2016, Lehman Brothers Holdings, Inc. (“LBHI”) filed an Adversary Complaint against HLC and approximately 149 other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HLC believes that these claims lack merit and intends to defend this action vigorously. An estimated liability of $1.0 million for this matter is included in the accompanying consolidated balance sheet as of March 31, 2019.</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15—FAIR VALUE MEASUREMENTS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Other than the 0.625% Convertible Senior Notes and the Warrants, the carrying amounts of the Company's financial instruments are equal to fair value at March 31, 2019.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for additional information on the 0.625% Convertible Senior Notes and the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Contingent consideration payments related to acquisitions are measured at fair value each reporting period using Level 3 unobservable inputs. The changes in the fair value of the Company's Level 3 liabilities during the first quarters of 2019 and 2018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r>
      <w:tr>
        <w:trPr>
          <w:trHeight w:val="259"/>
        </w:trPr>
        <w:tc>
          <w:tcPr>
            <w:tcW w:w="8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Contingent consideration, beginning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38,837</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57,349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into Level 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32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losses (gains) included in earnings (realized and unrealized)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14,592</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7"/>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Contingent consideration,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49,429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33,108</w:t>
            </w:r>
          </w:p>
        </w:tc>
      </w:tr>
      <w:tr>
        <w:trPr>
          <w:trHeight w:val="27"/>
        </w:trPr>
        <w:tc>
          <w:tcPr>
            <w:tcW w:w="8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contingent consideration liability at March 31, 2019 is the estimated fair value of the earnout payments of the DepositAccounts, SnapCap, Ovation and QuoteWizard acquisitions. The Company will make payments ranging from $2.0 million to $3.0 million based on the achievement of defined milestone and performance targets for DepositAccounts, payments ranging from zero to $6.0 million based on the achievement of certain defined earnings targets for SnapCap, payments ranging from zero to $8.75 million based on the achievement of certain defined operating metrics for Ovation, and payments ranging from zero to $70.2 million based on the achievement of certain defined performance targets for QuoteWizard.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7—Business Acquisitions for additional information on the contingent consideration for each of these respective acquisitions.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reportable segment.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Mortgage and non-mortgage product 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3"/>
                <w:szCs w:val="13"/>
                <w:color w:val="auto"/>
              </w:rPr>
            </w:pPr>
          </w:p>
        </w:tc>
      </w:tr>
      <w:tr>
        <w:trPr>
          <w:trHeight w:val="195"/>
        </w:trPr>
        <w:tc>
          <w:tcPr>
            <w:tcW w:w="36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products</w:t>
            </w:r>
          </w:p>
        </w:tc>
        <w:tc>
          <w:tcPr>
            <w:tcW w:w="494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45,984</w:t>
            </w:r>
          </w:p>
        </w:tc>
        <w:tc>
          <w:tcPr>
            <w:tcW w:w="8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73,462</w:t>
            </w:r>
          </w:p>
        </w:tc>
      </w:tr>
      <w:tr>
        <w:trPr>
          <w:trHeight w:val="243"/>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Non-mortgage products</w:t>
            </w:r>
          </w:p>
        </w:tc>
        <w:tc>
          <w:tcPr>
            <w:tcW w:w="3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216,406</w:t>
            </w:r>
          </w:p>
        </w:tc>
        <w:tc>
          <w:tcPr>
            <w:tcW w:w="8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107,573</w:t>
            </w:r>
          </w:p>
        </w:tc>
      </w:tr>
      <w:tr>
        <w:trPr>
          <w:trHeight w:val="27"/>
        </w:trPr>
        <w:tc>
          <w:tcPr>
            <w:tcW w:w="36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94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262,390</w:t>
            </w:r>
          </w:p>
        </w:tc>
        <w:tc>
          <w:tcPr>
            <w:tcW w:w="8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181,035</w:t>
            </w:r>
          </w:p>
        </w:tc>
      </w:tr>
      <w:tr>
        <w:trPr>
          <w:trHeight w:val="459"/>
        </w:trPr>
        <w:tc>
          <w:tcPr>
            <w:tcW w:w="368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17—DISCONTINUED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revenue and net loss reported as discontinued operations in the accompanying consolidated statements of operations and comprehensive income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9"/>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7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8"/>
        </w:trPr>
        <w:tc>
          <w:tcPr>
            <w:tcW w:w="8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(1,344)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282</w:t>
            </w:r>
          </w:p>
        </w:tc>
        <w:tc>
          <w:tcPr>
            <w:tcW w:w="4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1,152</w:t>
            </w:r>
          </w:p>
        </w:tc>
      </w:tr>
      <w:tr>
        <w:trPr>
          <w:trHeight w:val="27"/>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(1,062)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(4,333)</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first quarters of 2019 and 2018, loss from discontinued operations was primarily due to litigation settlements and contingencies and legal fees associated with ongoing legal proceedings.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LendingTree Loans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Loss Obligations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aggregate loans sold, subsequent settlements and remaining unsettled loans.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Subsequent settlements</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76"/>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Remaining unsettled balance as of March 31, 2019</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459"/>
        </w:trPr>
        <w:tc>
          <w:tcPr>
            <w:tcW w:w="67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32</w:t>
            </w:r>
          </w:p>
        </w:tc>
        <w:tc>
          <w:tcPr>
            <w:tcW w:w="1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range of remaining loan losses using this settlement discount framework was determined to be $4.3 million to $7.9 million at March 31, 2019. The reserve balance recorded as of March 31, 2019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historical experience, it is anticipated that LendingTree Loans will continue to receive repurchase requests and incur losses on loans sold in prior years.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activity related to loss reserves on previously sold loans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9"/>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7,554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7,554</w:t>
            </w:r>
          </w:p>
        </w:tc>
      </w:tr>
      <w:tr>
        <w:trPr>
          <w:trHeight w:val="34"/>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liability for losses on previously sold loans is presented as current liabilities of discontinued operations in the accompanying consolidated balance sheets as of March 31, 2019 and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2018 Annual Report.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partners.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Acquisitions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for $106.2 million. We believe that combining ValuePenguin’s high-quality content and search engine optimization capability with recently acquired proprietary technology and insurance carrier network from QuoteWizard.com, LLC ("QuoteWizard") enables us to provide immense value to carriers and agents. This strategic acquisition positions us to achieve further scale in the insurance space as well as the broader financial services industry.</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31, 2018, we acquired QuoteWizard, one of the largest insurance comparison marketplaces in the growing online insurance advertising market, for $299.9 million in cash at the closing of the transaction, subject to post-closing adjustments to working capital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23, 2018, we acquired Student Loan Hero, Inc. (“Student Loan Hero”) for $62.7 million in cash, of which $2.3 million was recognized as severance expense in our consolidated statements of operations and comprehensive income.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11, 2018, we acquired Ovation Credit Services, Inc. (“Ovation”), a leading provider of credit services with a strong customer service reputation for $12.1 million in cash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Carolina Office Properties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February 2019, the Company agreed to sell these buildings to an unrelated third party, which agreement was amended in March 2019. For additional information, see Note 6—Assets Held for Sale in the notes to the consolidated financial statements included elsewhere in this report.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ensuing recession have impacted customary seasonal trends.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 include macro factors such as credit availability in the market, interest rates, the strength of the economy and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These factors combined to cause lower revenue earned per consumer for mortgage products in the first quarter of 2019 compared to the prior year quarter.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Freddie Mac, 30-year mortgage interest rates have decreased steadily during 2019 to a monthly average of 4.27% in March 2019. On a quarterly basis, 30-year mortgage interest rates in the first quarter of 2019 averaged 4.37%, as compared to 4.27% in the first quarter of 2018 and 4.78% in the fourth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88900</wp:posOffset>
            </wp:positionV>
            <wp:extent cx="4768215" cy="2992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821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increased to 30% of total mortgage origination dollars in the first quarter of 2019 from 26% in the fourth quarter of 2018, while total purchase origination dollars decreased to 70% of total mortgage origination dollars in the first quarter of 2019 from 74% in the fourth quarter of 2018. In the first quarter of 2019, total refinance origination dollars decreased 24% from the first quarter of 2018 and 4% from the fourth quarter of 2018.</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Looking forward, MBA is projecting 30-year mortgage interest rates to remain relatively consistent through the end of the year. According to MBA projections, the current mix of mortgage origination dollars will move toward purchase mortgages in the second quarter of 2019 resulting in the projected annual refinance share representing approximately 26% for 2019 compared to 28%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the National Association of Realtors ("NAR"), low inventory continues to contribute to declining home sales. The NAR expects a decrease of 1% in existing home sales in 2019 from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2019 and 2018</w:t>
      </w:r>
    </w:p>
    <w:p>
      <w:pPr>
        <w:spacing w:after="0" w:line="17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38735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7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9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Mortgage products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45,984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73,462</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(27,478)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Non-mortgage products</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216,406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107,573</w:t>
            </w:r>
          </w:p>
        </w:tc>
        <w:tc>
          <w:tcPr>
            <w:tcW w:w="20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108,833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262,390</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181,035</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81,355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45 %</w:t>
            </w: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 and 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17,670</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11,974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174,891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126,044</w:t>
            </w:r>
          </w:p>
        </w:tc>
        <w:tc>
          <w:tcPr>
            <w:tcW w:w="20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48,847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31,117</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8,303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10,166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20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3,906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13,427</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20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9,464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14,592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15,333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Severance</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841 %</w:t>
            </w:r>
          </w:p>
        </w:tc>
        <w:tc>
          <w:tcPr>
            <w:tcW w:w="0" w:type="dxa"/>
            <w:vAlign w:val="bottom"/>
          </w:tcPr>
          <w:p>
            <w:pPr>
              <w:spacing w:after="0"/>
              <w:rPr>
                <w:sz w:val="1"/>
                <w:szCs w:val="1"/>
                <w:color w:val="auto"/>
              </w:rPr>
            </w:pPr>
          </w:p>
        </w:tc>
      </w:tr>
      <w:tr>
        <w:trPr>
          <w:trHeight w:val="217"/>
        </w:trPr>
        <w:tc>
          <w:tcPr>
            <w:tcW w:w="7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264,192</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165,685</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98,507</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15,350</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(17,152)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2,480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(7,202)</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12,396</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(19,598)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0" w:type="dxa"/>
            <w:vAlign w:val="bottom"/>
          </w:tcPr>
          <w:p>
            <w:pPr>
              <w:spacing w:after="0"/>
              <w:rPr>
                <w:sz w:val="1"/>
                <w:szCs w:val="1"/>
                <w:color w:val="auto"/>
              </w:rPr>
            </w:pPr>
          </w:p>
        </w:tc>
      </w:tr>
      <w:tr>
        <w:trPr>
          <w:trHeight w:val="224"/>
        </w:trPr>
        <w:tc>
          <w:tcPr>
            <w:tcW w:w="7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23,461</w:t>
            </w:r>
          </w:p>
        </w:tc>
        <w:tc>
          <w:tcPr>
            <w:tcW w:w="2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(15,709)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550</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35,857</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(35,307)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0" w:type="dxa"/>
            <w:vAlign w:val="bottom"/>
          </w:tcPr>
          <w:p>
            <w:pPr>
              <w:spacing w:after="0"/>
              <w:rPr>
                <w:sz w:val="1"/>
                <w:szCs w:val="1"/>
                <w:color w:val="auto"/>
              </w:rPr>
            </w:pPr>
          </w:p>
        </w:tc>
      </w:tr>
      <w:tr>
        <w:trPr>
          <w:trHeight w:val="224"/>
        </w:trPr>
        <w:tc>
          <w:tcPr>
            <w:tcW w:w="7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Loss from discontinued operations, net of tax</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2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(3,271)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7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 income and comprehensive (loss)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31,524</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(32,036)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0" w:type="dxa"/>
            <w:vAlign w:val="bottom"/>
          </w:tcPr>
          <w:p>
            <w:pPr>
              <w:spacing w:after="0"/>
              <w:rPr>
                <w:sz w:val="1"/>
                <w:szCs w:val="1"/>
                <w:color w:val="auto"/>
              </w:rPr>
            </w:pPr>
          </w:p>
        </w:tc>
      </w:tr>
      <w:tr>
        <w:trPr>
          <w:trHeight w:val="27"/>
        </w:trPr>
        <w:tc>
          <w:tcPr>
            <w:tcW w:w="7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in the first quarter of 2019 compared to the first quarter of 2018 due to an increase in our non-mortgage products of $108.8 million, partially offset by a decrease in our mortgage products of $27.5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non-mortgage products include the following non-mortgage lending products: credit cards, personal loans, home equity loans and lines of credit, small business loans, student loans, reverse mortgage loans and auto loans. Our non-mortgage products also include insurance quotes, deposit accounts, home improvement referrals and other credit products such as credit repair and debt settlement. Revenue earned through resale of online advertising space to third parties is also included in non-mortgage products. Many of our non-mortgage products are not individually significant to revenue. The increase in revenue from our non-mortgage products in the first quarter of 2019 from the first quarter of 2018 is primarily due to increases in our insurance, credit cards, personal loans, credit services, student loans and small business loans products, as well as resold advertising space.</w:t>
      </w:r>
    </w:p>
    <w:p>
      <w:pPr>
        <w:spacing w:after="0" w:line="13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our insurance product increased to $67.1 million in the first quarter of 2019 from an immaterial amount in the first quarter of 2018, due to the acquisition of QuoteWizard in the fourth quarter of 2018.</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our credit cards product increased $8.4 million to $54.5 million in the first quarter of 2019 from $46.1 million in the first quarter of 2018, or 18%, due to increases in click traffic sent to issuers, partially offset by a decrease in revenue earned per approval.</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our personal loans product increased $6.5 million to $32.5 million in the first quarter of 2019 from $26.0 million in the first quarter of 2018, or 25%, due to an increased number of consumers completing request forms as a result of increased lender demand and corresponding increases in selling and marketing efforts, partially offset by a decrease in revenue earned per consumer.</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periods presented, no other non-mortgage product represented more than 10% of revenue, however certain other non-mortgage products experienced notable increases. Revenue from the resale of online advertising space to third parties was $8.4 million in the first quarter of 2019. We did not have revenue from the resale of online advertising space to third parties in the first quarter of 2018. Revenue from our credit services product increased by $5.2 million in the first quarter of 2019 compared to the first quarter of 2018, due to the acquisition of Ovation in the second quarter of 2018. Revenue from our student loans product increased by $5.2 million in the first quarter of 2019 compared to the first quarter of 2018, due to increased consumers and increased revenue earned per consumer, primarily due to the acquisition of Student Loan Hero in July of 2018. Revenue from our small business loans product increased by $5.1 million in the first quarter of 2019 compared to the first quarter of 2018, due to increases in the number of consumers seeking business loans, increases in selling and marketing efforts, and increased revenue earned per consumer.</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market for our non-mortgage products remains under-penetrated and we believe long-term growth prospects are strong for non-mortgage products. A significant industry-wide contraction in the availability of capital for non-mortgage products would likely adversely affect our non-mortgage product revenues.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our mortgage products decreased in the first quarter of 2019 compared to the first quarter of 2018 due to a decrease in revenue from both our refinance and purchase products. Revenue from our refinance product decreased $20.5 million in the first quarter of 2019 compared to the first quarter of 2018 due to a decrease in the number of consumers completing request forms as a result of fewer consumers seeking refinancing in a period of higher interest rates, as well as a decrease in revenue earned per consumer. Revenue from our purchase product decreased $7.0 million in the first quarter of 2019 compared to the first quarter of 2018 due to a decrease in the number of consumers completing request forms, as well as a decrease in revenue earned per consumer.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in the first quarter of 2019 from the first quarter of 2018, primarily due to increases of $7.3 million for the cost of resold advertising space and $3.1 million in compensation and benefits as a result of increases in headcount.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as a percentage of revenue increased to 7% in the first quarter of 2019 compared to 3% in the first quarter of 2018 due to the items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selling and marketing expense in the first quarter of 2019 compared to the first quarter of 2018 was primarily due to increases in advertising and promotional expense of $44.6 million, as discussed below. Selling and marketing expense also increased in the first quarter of 2019 compared to the first quarter of 2018 due to increases in compensation and benefits of $4.3 million as a result of increases in headcount.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9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2"/>
                <w:szCs w:val="12"/>
                <w:color w:val="auto"/>
              </w:rPr>
            </w:pPr>
          </w:p>
        </w:tc>
        <w:tc>
          <w:tcPr>
            <w:tcW w:w="1140" w:type="dxa"/>
            <w:vAlign w:val="bottom"/>
          </w:tcPr>
          <w:p>
            <w:pPr>
              <w:jc w:val="right"/>
              <w:ind w:right="67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7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148,939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111,420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37,519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Broadcast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10,535</w:t>
            </w:r>
          </w:p>
        </w:tc>
        <w:tc>
          <w:tcPr>
            <w:tcW w:w="3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3,240</w:t>
            </w:r>
          </w:p>
        </w:tc>
        <w:tc>
          <w:tcPr>
            <w:tcW w:w="320" w:type="dxa"/>
            <w:vAlign w:val="bottom"/>
          </w:tcPr>
          <w:p>
            <w:pPr>
              <w:spacing w:after="0"/>
              <w:rPr>
                <w:sz w:val="21"/>
                <w:szCs w:val="21"/>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7,295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3,112</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3,368</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(256)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6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162,586</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118,028</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44,558</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0" w:type="dxa"/>
            <w:vAlign w:val="bottom"/>
          </w:tcPr>
          <w:p>
            <w:pPr>
              <w:spacing w:after="0"/>
              <w:rPr>
                <w:sz w:val="1"/>
                <w:szCs w:val="1"/>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increased our advertising expenditures in the first quarter of 2019 compared to the first quarter of 2018 in order to generate additional consumer inquiries to meet the increased demand of Network Partners on our marketplace. We will continue to adjust selling and marketing expenditures dynamically in relation to anticipated revenue opportunities.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in the first quarter of 2019 from the first quarter of 2018 primarily due to increases in compensation and benefits of $3.3 million as a result of increases in headcount. General and administrative expense also increased in the first quarter of 2019 compared to the first quarter of 2018 due to increases of $1.0 million in franchise taxes, $0.9 million in facilities expense and $0.9 million in technology expense.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as a percentage of revenue remained relatively consistent at 12% in the first quarter of 2019 compared to 13% in the first quarter of 2018.</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 development expense increased in the first quarter of 2019 compared to the first quarter of 2018, as we continued to invest in internal development of new and enhanced features, functionality and business opportunities that we believe will enable us to better and more fully serve consumers and lenders.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depreciation expense in the first quarter of 2019 compared to the first quarter of 2018 was primarily the result of higher investment in internally developed software in recent years, to support the growth of our business.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intangibles increased in the first quarter of 2019 compared to the first quarter of 2018 primarily due to intangible assets associated with our business acquisitions in 2018 and 2019.</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2019, we recorded an aggregate of $14.6 million of contingent consideration expense due to adjustments in the estimated fair value of the earnout payments related to our recent acquisitions. For the first quarter of 2019, the contingent consideration expense for the SnapCap acquisition and the QuoteWizard acquisition was $1.6 million and $14.4 million, respectively. This was partially offset by contingent consideration gains recorded for the DepositAccounts acquisition and the Ovation acquisition of $0.8 million and $0.6 million, respectively.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2018, we recorded a net $0.7 million gain due to adjustments in the estimated fair value of the earnout payments related to our recent acquisitions. For the first quarter of 2018, we recored a $2.1 million gain for the SnapCap acquisition. This was partially offset by contingent consideration expense for the CompareCards acquisition and the DepositAccounts acquisition of $0.5 million and $0.9 million,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first quarter of 2019 and the first quarter of 2018, the effective tax rate varied from the federal statutory rate of 21% primarily due to a tax benefit of $6.0 million and $27.2 million, respectively, recognized for excess tax benefits due to employee exercises of stock options and vesting of restricted stock in accordance with ASU 2016-09 and the effect of state taxes.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changes to our valuation allowance assessment for the first quarter of 2019.</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52"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is a reconciliation of net income from continuing operations to Adjusted EBITDA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550</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35,857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13,427</w:t>
            </w:r>
          </w:p>
        </w:tc>
        <w:tc>
          <w:tcPr>
            <w:tcW w:w="5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2,482</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14,053</w:t>
            </w:r>
          </w:p>
        </w:tc>
        <w:tc>
          <w:tcPr>
            <w:tcW w:w="5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14,592</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expense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5,468</w:t>
            </w:r>
          </w:p>
        </w:tc>
        <w:tc>
          <w:tcPr>
            <w:tcW w:w="5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amortization of intangibles and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43,004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31,720</w:t>
            </w:r>
          </w:p>
        </w:tc>
        <w:tc>
          <w:tcPr>
            <w:tcW w:w="0" w:type="dxa"/>
            <w:vAlign w:val="bottom"/>
          </w:tcPr>
          <w:p>
            <w:pPr>
              <w:spacing w:after="0"/>
              <w:rPr>
                <w:sz w:val="1"/>
                <w:szCs w:val="1"/>
                <w:color w:val="auto"/>
              </w:rPr>
            </w:pPr>
          </w:p>
        </w:tc>
      </w:tr>
      <w:tr>
        <w:trPr>
          <w:trHeight w:val="27"/>
        </w:trPr>
        <w:tc>
          <w:tcPr>
            <w:tcW w:w="8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we had $64.6 million of cash and cash equivalents compared to $105.1 million of cash and cash equivalents as of December 31, 2018.</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2019, we purchased an aggregate of 17,501 shares of our common stock pursuant to a stock repurchase program for $4.0 million.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January 2019, we acquired ValuePenguin for $106.1 million in cash at closing of the transaction, subject to adjustments for working capital. The acquisition was funded through $90.0 million drawn on our Revolving Credit Facility and the balance using cash on hand.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first quarter of 2019, we paid down $30 million on our Revolving Credit Facility.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we made contingent consideration payments of $3.0 million and $1.0 million, respectively, related to prior acquisitions of SnapCap and DepositAccounts. We made an additional contingent consideration payment of $2.0 million in April 2019 for DepositAccounts.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could make additional potential contingent consideration payments of up to $1.0 million for DepositAccounts, $6.0 million for SnapCap, $8.75 million for Ovation, and $70.2 million for QuoteWizard.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26, 2018, we amended our five-year senior secured revolving credit facility which matures on November 21, 2022 (the “Revolving Credit Facility”) to increase its borrowing capacity by $100.0 million to $350.0 million. Borrowings under the Revolving Credit Facility can be used to finance working capital needs, capital expenditures and general corporate purposes, including to finance permitted acquisitions. As of April 26, 2019, we have $155.0 million of borrowings under the Revolving Credit Facility.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attributable to continuing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left="59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5"/>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23,269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17,675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(110,405)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49,408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(33,618)</w:t>
            </w:r>
          </w:p>
        </w:tc>
      </w:tr>
      <w:tr>
        <w:trPr>
          <w:trHeight w:val="20"/>
        </w:trPr>
        <w:tc>
          <w:tcPr>
            <w:tcW w:w="8320" w:type="dxa"/>
            <w:vAlign w:val="bottom"/>
            <w:shd w:val="clear" w:color="auto" w:fill="999999"/>
          </w:tcPr>
          <w:p>
            <w:pPr>
              <w:spacing w:after="0" w:line="20" w:lineRule="exact"/>
              <w:rPr>
                <w:sz w:val="1"/>
                <w:szCs w:val="1"/>
                <w:color w:val="auto"/>
              </w:rPr>
            </w:pPr>
          </w:p>
        </w:tc>
        <w:tc>
          <w:tcPr>
            <w:tcW w:w="340" w:type="dxa"/>
            <w:vAlign w:val="bottom"/>
            <w:shd w:val="clear" w:color="auto" w:fill="999999"/>
          </w:tcPr>
          <w:p>
            <w:pPr>
              <w:spacing w:after="0" w:line="20" w:lineRule="exact"/>
              <w:rPr>
                <w:sz w:val="1"/>
                <w:szCs w:val="1"/>
                <w:color w:val="auto"/>
              </w:rPr>
            </w:pPr>
          </w:p>
        </w:tc>
        <w:tc>
          <w:tcPr>
            <w:tcW w:w="120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increased in the first quarter of 2019 from the first quarter of 2018 due primarily to an increase in revenue, partially offset by an increase in selling and marketing expense and cost of revenue. Additionally, there was a net decrease in cash from changes in working capital primarily driven by changes in accounts receivable, partially offset by changes in accounts payable, accrued expenses and other current liabilities.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the first quarter of 2019 of $110.4 million consisted primarily of the acquisition of ValuePenguin for $105.4 million, net of cash acquired, and capital expenditures of $5.0 million primarily related to internally developed software.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the first quarter of 2018 of $3.5 million consisted primarily of capital expenditures related to internally developed software.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attributable to continuing operations in the first quarter of 2019 of $49.4 million consisted primarily of $60.0 million of net proceeds from our Revolving Credit Facility, partially offset by $4.0 million for the repurchase of our stock, $3.6 million in withholding taxes paid upon surrender of shares to satisfy obligations on equity awards, net of proceeds from the exercise of stock options and $3.0 million of contingent consideration payments for SnapCap.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 the first quarter of 2018 of $33.6 million consisted primarily of $23.5 million of contingent consideration payments for CompareCards and DepositAccounts and $12.1 million for the repurchase of our stock, partially offset by $2.1 million in proceeds from the exercise of stock options, net of payments of withholding taxes upon surrender of shares to satisfy obligations on equity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other than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Significant Accounting Policies,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Other than our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April 26, 2019, there was $155.0 million borrowed under the Revolving Credit Facility. Increases in the Federal Funds interest rates may also affect contingent consideration payable to DepositAccounts.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Business Acquisitions—Changes in Contingent Consideration—DepositAccounts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See also the risk factor "Adverse conditions in the primary and secondary mortgage markets, as well as the general economy, could materially and adversely affect our business, financial condition and results of operations," in Part I, Item 1A (Risk Factors) in our 2018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2019,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2019 that has materially affected, or is reasonably likely to materially affect, our internal controls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2018 Annual Report and updated that information in Note 14—Contingencies to the consolidated financial statements included elsewhere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included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2018 Annual Report.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each of January 2010, May 2014, January 2016, February 2016, February 2018 and February 2019, the board of directors authorized and we announced a stock repurchase program which allowed for the repurchase of up to $10.0 million, $10.0 million, $50.0 million, $40.0 million,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2019, 17,501 shares of common stock were repurchased under the stock repurchase program. As of </w:t>
      </w:r>
      <w:r>
        <w:rPr>
          <w:rFonts w:ascii="Times New Roman" w:cs="Times New Roman" w:eastAsia="Times New Roman" w:hAnsi="Times New Roman"/>
          <w:sz w:val="17"/>
          <w:szCs w:val="17"/>
          <w:color w:val="auto"/>
        </w:rPr>
        <w:t>April 19, 2019</w:t>
      </w:r>
      <w:r>
        <w:rPr>
          <w:rFonts w:ascii="Times New Roman" w:cs="Times New Roman" w:eastAsia="Times New Roman" w:hAnsi="Times New Roman"/>
          <w:sz w:val="18"/>
          <w:szCs w:val="18"/>
          <w:color w:val="auto"/>
        </w:rPr>
        <w:t>, approximately $181.2 million remains authorized for share repurchase.</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2019, 17,433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March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1"/>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1/1/19 - 1/31/19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227.31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31,167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2/1/19 - 2/28/19</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15,545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310.66</w:t>
            </w:r>
          </w:p>
        </w:tc>
        <w:tc>
          <w:tcPr>
            <w:tcW w:w="12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181,167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3/1/19 - 3/31/19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326.45</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181,167</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34,934</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266.68</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17,501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181,167</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2019, February 2019 and March 2019, 1,086 shares, 15,545 shares and 802 shares, respectively (totaling 17,433 shares), were purchased to satisfy federal and state withholding obligations of our employees upon the settlement of restricted stock units, all in accordance with our Fifth Amended and Restated 2008 Stock and Award Incentive Plan, as described above.</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22, 2019, our subsidiary Rexford Office Holdings, LLC, entered into a real estate purchase and sale agreement for the sale of its two office buildings to an unrelated third party. The agreement was amended on March 28, 2019. The agreement as amended provides for a sale price of $24.5 million subject to prorations and adjustments. The sale is expected to be finalized in the second quarter of 2019.</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0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20"/>
        </w:trPr>
        <w:tc>
          <w:tcPr>
            <w:tcW w:w="1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64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Amended and Restated Certificate of Incorporation of LendingTree, Inc.</w:t>
              </w:r>
            </w:hyperlink>
          </w:p>
        </w:tc>
        <w:tc>
          <w:tcPr>
            <w:tcW w:w="380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Exhibit 3.1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0000FF"/>
              <w:bottom w:val="single" w:sz="8" w:color="CCEEFF"/>
            </w:tcBorders>
            <w:shd w:val="clear" w:color="auto" w:fill="CCEEFF"/>
          </w:tcPr>
          <w:p>
            <w:pPr>
              <w:spacing w:after="0"/>
              <w:rPr>
                <w:sz w:val="21"/>
                <w:szCs w:val="21"/>
                <w:color w:val="auto"/>
              </w:rPr>
            </w:pPr>
          </w:p>
        </w:tc>
        <w:tc>
          <w:tcPr>
            <w:tcW w:w="226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August 25, 2008</w:t>
            </w:r>
          </w:p>
        </w:tc>
      </w:tr>
      <w:tr>
        <w:trPr>
          <w:trHeight w:val="203"/>
        </w:trPr>
        <w:tc>
          <w:tcPr>
            <w:tcW w:w="1200" w:type="dxa"/>
            <w:vAlign w:val="bottom"/>
          </w:tcPr>
          <w:p>
            <w:pPr>
              <w:jc w:val="right"/>
              <w:ind w:right="191"/>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6420" w:type="dxa"/>
            <w:vAlign w:val="bottom"/>
            <w:gridSpan w:val="8"/>
          </w:tcPr>
          <w:p>
            <w:pPr>
              <w:spacing w:after="0" w:line="202"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Fourth Amended and Restated By-laws of LendingTree, Inc.</w:t>
              </w:r>
            </w:hyperlink>
          </w:p>
        </w:tc>
        <w:tc>
          <w:tcPr>
            <w:tcW w:w="38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Exhibit 3.1 to the Registrant's Current Report on</w:t>
            </w:r>
          </w:p>
        </w:tc>
      </w:tr>
      <w:tr>
        <w:trPr>
          <w:trHeight w:val="237"/>
        </w:trPr>
        <w:tc>
          <w:tcPr>
            <w:tcW w:w="1200" w:type="dxa"/>
            <w:vAlign w:val="bottom"/>
          </w:tcPr>
          <w:p>
            <w:pPr>
              <w:spacing w:after="0"/>
              <w:rPr>
                <w:sz w:val="20"/>
                <w:szCs w:val="20"/>
                <w:color w:val="auto"/>
              </w:rPr>
            </w:pPr>
          </w:p>
        </w:tc>
        <w:tc>
          <w:tcPr>
            <w:tcW w:w="2100" w:type="dxa"/>
            <w:vAlign w:val="bottom"/>
            <w:tcBorders>
              <w:top w:val="single" w:sz="8" w:color="0000FF"/>
            </w:tcBorders>
          </w:tcPr>
          <w:p>
            <w:pPr>
              <w:spacing w:after="0"/>
              <w:rPr>
                <w:sz w:val="20"/>
                <w:szCs w:val="20"/>
                <w:color w:val="auto"/>
              </w:rPr>
            </w:pPr>
          </w:p>
        </w:tc>
        <w:tc>
          <w:tcPr>
            <w:tcW w:w="226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November 15, 2017</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636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 of the Chief Executive Officer pursuant to Rule 13a-14(a) or Rule 15d-</w:t>
              </w:r>
            </w:hyperlink>
          </w:p>
        </w:tc>
        <w:tc>
          <w:tcPr>
            <w:tcW w:w="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14(a) of the Securities Exchange Act of 1934 as adopted pursuant to Section 302 of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Sarbanes-Oxley Act of 2002.</w:t>
              </w:r>
            </w:hyperlink>
          </w:p>
        </w:tc>
        <w:tc>
          <w:tcPr>
            <w:tcW w:w="4320" w:type="dxa"/>
            <w:vAlign w:val="bottom"/>
            <w:tcBorders>
              <w:bottom w:val="single" w:sz="8" w:color="CCEEFF"/>
            </w:tcBorders>
            <w:gridSpan w:val="7"/>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6320" w:type="dxa"/>
            <w:vAlign w:val="bottom"/>
            <w:tcBorders>
              <w:bottom w:val="single" w:sz="8" w:color="0000FF"/>
            </w:tcBorders>
            <w:gridSpan w:val="5"/>
          </w:tcPr>
          <w:p>
            <w:pPr>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Certification of the Chief Financial Officer pursuant to Rule 13a-14(a) or Rule 15d-</w:t>
              </w:r>
            </w:hyperlink>
          </w:p>
        </w:tc>
        <w:tc>
          <w:tcPr>
            <w:tcW w:w="100" w:type="dxa"/>
            <w:vAlign w:val="bottom"/>
            <w:gridSpan w:val="3"/>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200" w:type="dxa"/>
            <w:vAlign w:val="bottom"/>
          </w:tcPr>
          <w:p>
            <w:pPr>
              <w:spacing w:after="0"/>
              <w:rPr>
                <w:sz w:val="17"/>
                <w:szCs w:val="17"/>
                <w:color w:val="auto"/>
              </w:rPr>
            </w:pPr>
          </w:p>
        </w:tc>
        <w:tc>
          <w:tcPr>
            <w:tcW w:w="6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14(a) of the Securities Exchange Act of 1934 as adopted pursuant to Section 302 of the</w:t>
              </w:r>
            </w:hyperlink>
          </w:p>
        </w:tc>
        <w:tc>
          <w:tcPr>
            <w:tcW w:w="8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420" w:type="dxa"/>
            <w:vAlign w:val="bottom"/>
            <w:gridSpan w:val="8"/>
          </w:tcPr>
          <w:p>
            <w:pPr>
              <w:spacing w:after="0" w:line="19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6320" w:type="dxa"/>
            <w:vAlign w:val="bottom"/>
            <w:tcBorders>
              <w:bottom w:val="single" w:sz="8" w:color="0000FF"/>
            </w:tcBorders>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Certification of the Chief Executive Officer pursuant to 18 U.S.C. Section 1350 as</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200" w:type="dxa"/>
            <w:vAlign w:val="bottom"/>
            <w:shd w:val="clear" w:color="auto" w:fill="CCEEFF"/>
          </w:tcPr>
          <w:p>
            <w:pPr>
              <w:spacing w:after="0"/>
              <w:rPr>
                <w:sz w:val="17"/>
                <w:szCs w:val="17"/>
                <w:color w:val="auto"/>
              </w:rPr>
            </w:pPr>
          </w:p>
        </w:tc>
        <w:tc>
          <w:tcPr>
            <w:tcW w:w="6420" w:type="dxa"/>
            <w:vAlign w:val="bottom"/>
            <w:gridSpan w:val="8"/>
            <w:shd w:val="clear" w:color="auto" w:fill="CCEEFF"/>
          </w:tcPr>
          <w:p>
            <w:pPr>
              <w:spacing w:after="0" w:line="19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adopted pursuant to Section 906 of the Sarbanes-Oxley Act of 2002.</w:t>
              </w:r>
            </w:hyperlink>
          </w:p>
        </w:tc>
        <w:tc>
          <w:tcPr>
            <w:tcW w:w="38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2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6420" w:type="dxa"/>
            <w:vAlign w:val="bottom"/>
            <w:gridSpan w:val="8"/>
          </w:tcPr>
          <w:p>
            <w:pPr>
              <w:spacing w:after="0" w:line="202"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Certification of the Chief Financial Officer pursuant to 18 U.S.C. Section 1350 as</w:t>
              </w:r>
            </w:hyperlink>
          </w:p>
        </w:tc>
        <w:tc>
          <w:tcPr>
            <w:tcW w:w="38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200" w:type="dxa"/>
            <w:vAlign w:val="bottom"/>
          </w:tcPr>
          <w:p>
            <w:pPr>
              <w:spacing w:after="0"/>
              <w:rPr>
                <w:sz w:val="17"/>
                <w:szCs w:val="17"/>
                <w:color w:val="auto"/>
              </w:rPr>
            </w:pPr>
          </w:p>
        </w:tc>
        <w:tc>
          <w:tcPr>
            <w:tcW w:w="632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adopted pursuant to Section 906 of the Sarbanes-Oxley Act of 2002.</w:t>
              </w:r>
            </w:hyperlink>
          </w:p>
        </w:tc>
        <w:tc>
          <w:tcPr>
            <w:tcW w:w="10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101.INS</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101.SCH</w:t>
            </w:r>
          </w:p>
        </w:tc>
        <w:tc>
          <w:tcPr>
            <w:tcW w:w="6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101.CAL</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101.DEF</w:t>
            </w:r>
          </w:p>
        </w:tc>
        <w:tc>
          <w:tcPr>
            <w:tcW w:w="6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101.LAB</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101.PRE</w:t>
            </w:r>
          </w:p>
        </w:tc>
        <w:tc>
          <w:tcPr>
            <w:tcW w:w="6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95" w:lineRule="exact"/>
        <w:rPr>
          <w:sz w:val="20"/>
          <w:szCs w:val="20"/>
          <w:color w:val="auto"/>
        </w:rPr>
      </w:pPr>
    </w:p>
    <w:p>
      <w:pPr>
        <w:jc w:val="both"/>
        <w:ind w:firstLine="8"/>
        <w:spacing w:after="0" w:line="266" w:lineRule="auto"/>
        <w:tabs>
          <w:tab w:leader="none" w:pos="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3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36830</wp:posOffset>
            </wp:positionV>
            <wp:extent cx="3824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J.D. Moriarty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2019 of LendingTree,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25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Douglas R. Lebda</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5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2019 of LendingTree,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25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J.D. Moriarty</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65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108" w:lineRule="exact"/>
        <w:rPr>
          <w:sz w:val="20"/>
          <w:szCs w:val="20"/>
          <w:color w:val="auto"/>
        </w:rPr>
      </w:pPr>
    </w:p>
    <w:p>
      <w:pPr>
        <w:ind w:left="340" w:right="2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March 31, 2019 of LendingTree, Inc. (the “Report”) which this statement accompanies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right="420" w:firstLine="8"/>
        <w:spacing w:after="0" w:line="470"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April 26, 2019</w:t>
      </w:r>
    </w:p>
    <w:p>
      <w:pPr>
        <w:spacing w:after="0" w:line="2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Douglas R. Lebda</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57"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J.D. Moriarty, certify, pursuant to 18 U.S.C. Section 1350, as adopted pursuant to Section 906 of the Sarbanes-Oxley Act of 2002, that to my knowledge:</w:t>
      </w:r>
    </w:p>
    <w:p>
      <w:pPr>
        <w:spacing w:after="0" w:line="171" w:lineRule="exact"/>
        <w:rPr>
          <w:sz w:val="20"/>
          <w:szCs w:val="20"/>
          <w:color w:val="auto"/>
        </w:rPr>
      </w:pPr>
    </w:p>
    <w:p>
      <w:pPr>
        <w:ind w:left="340" w:right="2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March 31, 2019 of LendingTree, Inc. (the “Report”) which this statement accompanies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right="420" w:firstLine="8"/>
        <w:spacing w:after="0" w:line="470"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April 26, 2019</w:t>
      </w:r>
    </w:p>
    <w:p>
      <w:pPr>
        <w:spacing w:after="0" w:line="2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J.D. Moriarty</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0" Type="http://schemas.openxmlformats.org/officeDocument/2006/relationships/hyperlink" Target="http://www.sec.gov/Archives/edgar/data/1434621/000110465908054882/a08-22125_1ex3d1.htm" TargetMode="External"/><Relationship Id="rId21"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2019-12-28T13:41:47Z</dcterms:created>
  <dcterms:modified xsi:type="dcterms:W3CDTF">2019-12-28T13:41:47Z</dcterms:modified>
</cp:coreProperties>
</file>