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17, 2026 (June 17,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LendingTree,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310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001-34063</w:t>
            </w:r>
          </w:p>
        </w:tc>
        <w:tc>
          <w:tcPr>
            <w:tcW w:w="2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26-2414818</w:t>
            </w:r>
          </w:p>
        </w:tc>
      </w:tr>
      <w:tr>
        <w:trPr>
          <w:trHeight w:val="216"/>
        </w:trPr>
        <w:tc>
          <w:tcPr>
            <w:tcW w:w="310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30"/>
        </w:trPr>
        <w:tc>
          <w:tcPr>
            <w:tcW w:w="6580" w:type="dxa"/>
            <w:vAlign w:val="bottom"/>
            <w:gridSpan w:val="2"/>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8"/>
              </w:rPr>
              <w:t>1415 Vantage Park Dr., Suite 700, Charlotte, NC</w:t>
            </w:r>
          </w:p>
        </w:tc>
        <w:tc>
          <w:tcPr>
            <w:tcW w:w="2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28203</w:t>
            </w:r>
          </w:p>
        </w:tc>
      </w:tr>
      <w:tr>
        <w:trPr>
          <w:trHeight w:val="234"/>
        </w:trPr>
        <w:tc>
          <w:tcPr>
            <w:tcW w:w="6580" w:type="dxa"/>
            <w:vAlign w:val="bottom"/>
            <w:gridSpan w:val="2"/>
          </w:tcPr>
          <w:p>
            <w:pPr>
              <w:jc w:val="center"/>
              <w:ind w:right="5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(704) 541-5351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219" w:right="339" w:bottom="1440" w:gutter="0" w:footer="0" w:header="0"/>
        </w:sectPr>
      </w:pPr>
    </w:p>
    <w:p>
      <w:pPr>
        <w:spacing w:after="0" w:line="22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Common Stock, $0.01 par value per share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TREE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2020" w:space="720"/>
            <w:col w:w="3580"/>
          </w:cols>
          <w:pgMar w:left="320" w:top="219" w:right="339" w:bottom="1440" w:gutter="0" w:footer="0" w:header="0"/>
          <w:type w:val="continuous"/>
        </w:sectPr>
      </w:pPr>
    </w:p>
    <w:p>
      <w:pPr>
        <w:spacing w:after="0" w:line="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17, 2026, LendingTree, Inc. (the “Company”) held its 2026 Annual Meeting of Stockholders (the “Annual Meeting”). The holders of an aggregate of 13,953,018 shares of the Company’s common stock were entitled to vote at the Annual Meeting and a total of 11,610,156 shares of the Company’s common stock, constituting a quorum, were represented at the Annual Meeting in person or by proxy. The Company’s stockholders considered and voted on the three proposals set forth below, each of which is described in detail in the Company’s 2026 definitive proxy statement filed with the Securities and Exchange Commission on April 27, 2026.</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the voting results of each matter submitted for stockholder vote at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the Annual Meeting, the following nine nominees for election to the Company’s board of directors were elected, each for a one-year term or until their successor has been duly elected and qualified, or until such director’s earlier resignation, removal or death:</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28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0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Gabriel Dalporto</w:t>
            </w:r>
          </w:p>
        </w:tc>
        <w:tc>
          <w:tcPr>
            <w:tcW w:w="24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8,215,779</w:t>
            </w:r>
          </w:p>
        </w:tc>
        <w:tc>
          <w:tcPr>
            <w:tcW w:w="1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153,010</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5,181</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3,236,186</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Thomas M. Davidson, Jr.</w:t>
            </w:r>
          </w:p>
        </w:tc>
        <w:tc>
          <w:tcPr>
            <w:tcW w:w="24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7,421,686</w:t>
            </w:r>
          </w:p>
        </w:tc>
        <w:tc>
          <w:tcPr>
            <w:tcW w:w="1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946,075</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6,209</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3,236,186</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Ernst</w:t>
            </w:r>
          </w:p>
        </w:tc>
        <w:tc>
          <w:tcPr>
            <w:tcW w:w="24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8,214,074</w:t>
            </w:r>
          </w:p>
        </w:tc>
        <w:tc>
          <w:tcPr>
            <w:tcW w:w="1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154,254</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5,642</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3,236,186</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Robin Henderson</w:t>
            </w:r>
          </w:p>
        </w:tc>
        <w:tc>
          <w:tcPr>
            <w:tcW w:w="24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8,173,915</w:t>
            </w:r>
          </w:p>
        </w:tc>
        <w:tc>
          <w:tcPr>
            <w:tcW w:w="1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193,464</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6,591</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3,236,186</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Ozonian</w:t>
            </w:r>
          </w:p>
        </w:tc>
        <w:tc>
          <w:tcPr>
            <w:tcW w:w="24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8,134,299</w:t>
            </w:r>
          </w:p>
        </w:tc>
        <w:tc>
          <w:tcPr>
            <w:tcW w:w="1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234,084</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5,587</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3,236,186</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Scott Peyree</w:t>
            </w:r>
          </w:p>
        </w:tc>
        <w:tc>
          <w:tcPr>
            <w:tcW w:w="24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8,223,802</w:t>
            </w:r>
          </w:p>
        </w:tc>
        <w:tc>
          <w:tcPr>
            <w:tcW w:w="1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141,630</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8,538</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3,236,186</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Diego Rodriguez</w:t>
            </w:r>
          </w:p>
        </w:tc>
        <w:tc>
          <w:tcPr>
            <w:tcW w:w="24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8,220,484</w:t>
            </w:r>
          </w:p>
        </w:tc>
        <w:tc>
          <w:tcPr>
            <w:tcW w:w="1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146,877</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6,609</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3,236,186</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Saras Sarasvathy</w:t>
            </w:r>
          </w:p>
        </w:tc>
        <w:tc>
          <w:tcPr>
            <w:tcW w:w="24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8,197,435</w:t>
            </w:r>
          </w:p>
        </w:tc>
        <w:tc>
          <w:tcPr>
            <w:tcW w:w="1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168,840</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7,695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3,236,186</w:t>
            </w:r>
          </w:p>
        </w:tc>
      </w:tr>
      <w:tr>
        <w:trPr>
          <w:trHeight w:val="216"/>
        </w:trPr>
        <w:tc>
          <w:tcPr>
            <w:tcW w:w="2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 Kennedy Thompson</w:t>
            </w:r>
          </w:p>
        </w:tc>
        <w:tc>
          <w:tcPr>
            <w:tcW w:w="2400" w:type="dxa"/>
            <w:vAlign w:val="bottom"/>
            <w:tcBorders>
              <w:bottom w:val="single" w:sz="8" w:color="auto"/>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8,199,626</w:t>
            </w:r>
          </w:p>
        </w:tc>
        <w:tc>
          <w:tcPr>
            <w:tcW w:w="19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167,729</w:t>
            </w:r>
          </w:p>
        </w:tc>
        <w:tc>
          <w:tcPr>
            <w:tcW w:w="1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6,615</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3,236,186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Advisory (Non-Binding) Vote to Approve 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the Annual Meeting, stockholders approved, on an advisory basis, the Company’s executive compensation. The result of the votes to approve the executive compensation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9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78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8,221,470</w:t>
            </w:r>
          </w:p>
        </w:tc>
        <w:tc>
          <w:tcPr>
            <w:tcW w:w="28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149,183</w:t>
            </w:r>
          </w:p>
        </w:tc>
        <w:tc>
          <w:tcPr>
            <w:tcW w:w="26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3,317</w:t>
            </w:r>
          </w:p>
        </w:tc>
        <w:tc>
          <w:tcPr>
            <w:tcW w:w="29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3,236,186</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Ratification of Independent Registered Public Accounting Firm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Annual Meeting, stockholders approved the ratification of the appointment of PricewaterhouseCoopers LLP as the Company’s independent registered public accounting firm for the 2026 fiscal year. The result of the votes to approve the ratification of the appointment of PricewaterhouseCoopers LLP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7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3780" w:type="dxa"/>
            <w:vAlign w:val="bottom"/>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11,516,689</w:t>
            </w:r>
          </w:p>
        </w:tc>
        <w:tc>
          <w:tcPr>
            <w:tcW w:w="3760" w:type="dxa"/>
            <w:vAlign w:val="bottom"/>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87,911</w:t>
            </w:r>
          </w:p>
        </w:tc>
        <w:tc>
          <w:tcPr>
            <w:tcW w:w="370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5,556</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2026</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LENDINGTREE, INC.</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/s/ Heather Enlow-Novitsky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Heather Enlow-Novitsky</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2026-06-18T05:07:48Z</dcterms:created>
  <dcterms:modified xsi:type="dcterms:W3CDTF">2026-06-18T05:07:48Z</dcterms:modified>
</cp:coreProperties>
</file>