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332740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5"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14"/>
          <w:szCs w:val="14"/>
          <w:b w:val="1"/>
          <w:bCs w:val="1"/>
          <w:color w:val="auto"/>
        </w:rPr>
        <w:t>(Mark One)</w:t>
      </w:r>
    </w:p>
    <w:p>
      <w:pPr>
        <w:spacing w:after="0" w:line="108" w:lineRule="exact"/>
        <w:rPr>
          <w:sz w:val="24"/>
          <w:szCs w:val="24"/>
          <w:color w:val="auto"/>
        </w:rPr>
      </w:pPr>
    </w:p>
    <w:p>
      <w:pPr>
        <w:jc w:val="center"/>
        <w:ind w:left="3900" w:right="1420" w:hanging="3039"/>
        <w:spacing w:after="0" w:line="218" w:lineRule="auto"/>
        <w:tabs>
          <w:tab w:leader="none" w:pos="1200" w:val="left"/>
        </w:tabs>
        <w:numPr>
          <w:ilvl w:val="0"/>
          <w:numId w:val="1"/>
        </w:numPr>
        <w:rPr>
          <w:rFonts w:ascii="MS PGothic" w:cs="MS PGothic" w:eastAsia="MS PGothic" w:hAnsi="MS PGothic"/>
          <w:sz w:val="35"/>
          <w:szCs w:val="35"/>
          <w:color w:val="auto"/>
          <w:vertAlign w:val="superscript"/>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ectPr>
          <w:pgSz w:w="11900" w:h="16838" w:orient="portrait"/>
          <w:cols w:equalWidth="0" w:num="1">
            <w:col w:w="11240"/>
          </w:cols>
          <w:pgMar w:left="320" w:top="223" w:right="339" w:bottom="1440" w:gutter="0" w:footer="0" w:header="0"/>
        </w:sectPr>
      </w:pPr>
    </w:p>
    <w:p>
      <w:pPr>
        <w:spacing w:after="0" w:line="245" w:lineRule="exact"/>
        <w:rPr>
          <w:sz w:val="24"/>
          <w:szCs w:val="24"/>
          <w:color w:val="auto"/>
        </w:rPr>
      </w:pPr>
    </w:p>
    <w:p>
      <w:pPr>
        <w:ind w:left="580"/>
        <w:spacing w:after="0"/>
        <w:rPr>
          <w:sz w:val="20"/>
          <w:szCs w:val="20"/>
          <w:color w:val="auto"/>
        </w:rPr>
      </w:pPr>
      <w:r>
        <w:rPr>
          <w:rFonts w:ascii="Arial" w:cs="Arial" w:eastAsia="Arial" w:hAnsi="Arial"/>
          <w:sz w:val="14"/>
          <w:szCs w:val="14"/>
          <w:b w:val="1"/>
          <w:bCs w:val="1"/>
          <w:color w:val="auto"/>
        </w:rPr>
        <w:t>OR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ind w:right="900"/>
        <w:spacing w:after="0" w:line="207" w:lineRule="exact"/>
        <w:tabs>
          <w:tab w:leader="none" w:pos="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136" w:lineRule="exact"/>
        <w:rPr>
          <w:sz w:val="24"/>
          <w:szCs w:val="24"/>
          <w:color w:val="auto"/>
        </w:rPr>
      </w:pPr>
    </w:p>
    <w:p>
      <w:pPr>
        <w:ind w:left="3040"/>
        <w:spacing w:after="0"/>
        <w:tabs>
          <w:tab w:leader="none" w:pos="61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Commission File No. 001-34063</w:t>
      </w:r>
    </w:p>
    <w:p>
      <w:pPr>
        <w:spacing w:after="0" w:line="3" w:lineRule="exact"/>
        <w:rPr>
          <w:sz w:val="24"/>
          <w:szCs w:val="24"/>
          <w:color w:val="auto"/>
        </w:rPr>
      </w:pPr>
    </w:p>
    <w:p>
      <w:pPr>
        <w:ind w:left="3340"/>
        <w:spacing w:after="0"/>
        <w:rPr>
          <w:sz w:val="20"/>
          <w:szCs w:val="20"/>
          <w:color w:val="auto"/>
        </w:rPr>
      </w:pPr>
      <w:r>
        <w:rPr>
          <w:rFonts w:ascii="Arial" w:cs="Arial" w:eastAsia="Arial" w:hAnsi="Arial"/>
          <w:sz w:val="11"/>
          <w:szCs w:val="11"/>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-2540</wp:posOffset>
            </wp:positionV>
            <wp:extent cx="1118870" cy="403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8870" cy="403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960"/>
        <w:spacing w:after="0"/>
        <w:rPr>
          <w:sz w:val="20"/>
          <w:szCs w:val="20"/>
          <w:color w:val="auto"/>
        </w:rPr>
      </w:pPr>
      <w:r>
        <w:rPr>
          <w:rFonts w:ascii="Arial" w:cs="Arial" w:eastAsia="Arial" w:hAnsi="Arial"/>
          <w:sz w:val="25"/>
          <w:szCs w:val="25"/>
          <w:b w:val="1"/>
          <w:bCs w:val="1"/>
          <w:color w:val="auto"/>
        </w:rPr>
        <w:t>LendingTree, Inc.</w:t>
      </w:r>
    </w:p>
    <w:p>
      <w:pPr>
        <w:spacing w:after="0" w:line="31"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(Exact name of Registrant as specified in its charter)</w:t>
      </w:r>
    </w:p>
    <w:p>
      <w:pPr>
        <w:spacing w:after="0" w:line="23" w:lineRule="exact"/>
        <w:rPr>
          <w:sz w:val="24"/>
          <w:szCs w:val="24"/>
          <w:color w:val="auto"/>
        </w:rPr>
      </w:pPr>
    </w:p>
    <w:p>
      <w:pPr>
        <w:ind w:left="1860"/>
        <w:spacing w:after="0"/>
        <w:tabs>
          <w:tab w:leader="none" w:pos="674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26-2414818</w:t>
      </w:r>
    </w:p>
    <w:p>
      <w:pPr>
        <w:spacing w:after="0" w:line="32" w:lineRule="exact"/>
        <w:rPr>
          <w:sz w:val="24"/>
          <w:szCs w:val="24"/>
          <w:color w:val="auto"/>
        </w:rPr>
      </w:pPr>
    </w:p>
    <w:p>
      <w:pPr>
        <w:ind w:left="280"/>
        <w:spacing w:after="0"/>
        <w:tabs>
          <w:tab w:leader="none" w:pos="5980" w:val="left"/>
        </w:tabs>
        <w:rPr>
          <w:sz w:val="20"/>
          <w:szCs w:val="20"/>
          <w:color w:val="auto"/>
        </w:rPr>
      </w:pPr>
      <w:r>
        <w:rPr>
          <w:rFonts w:ascii="Arial" w:cs="Arial" w:eastAsia="Arial" w:hAnsi="Arial"/>
          <w:sz w:val="16"/>
          <w:szCs w:val="16"/>
          <w:color w:val="auto"/>
        </w:rPr>
        <w:t>(State or other jurisdiction of incorporation or organization)</w:t>
      </w:r>
      <w:r>
        <w:rPr>
          <w:sz w:val="20"/>
          <w:szCs w:val="20"/>
          <w:color w:val="auto"/>
        </w:rPr>
        <w:tab/>
      </w:r>
      <w:r>
        <w:rPr>
          <w:rFonts w:ascii="Arial" w:cs="Arial" w:eastAsia="Arial" w:hAnsi="Arial"/>
          <w:sz w:val="14"/>
          <w:szCs w:val="14"/>
          <w:color w:val="auto"/>
        </w:rPr>
        <w:t>(I.R.S. Employer Identification No.)</w:t>
      </w:r>
    </w:p>
    <w:p>
      <w:pPr>
        <w:spacing w:after="0" w:line="192"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1415 Vantage Park Dr., Suite 700, Charlotte, North Carolina 28203</w:t>
      </w:r>
    </w:p>
    <w:p>
      <w:pPr>
        <w:spacing w:after="0" w:line="22"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(Address of principal executive offices)(Zip Code)</w:t>
      </w:r>
    </w:p>
    <w:p>
      <w:pPr>
        <w:spacing w:after="0" w:line="90"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(704) 541-5351</w:t>
      </w:r>
    </w:p>
    <w:p>
      <w:pPr>
        <w:spacing w:after="0" w:line="22"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(Registrant's telephone number, including area code)</w:t>
      </w:r>
    </w:p>
    <w:p>
      <w:pPr>
        <w:spacing w:after="0" w:line="1" w:lineRule="exact"/>
        <w:rPr>
          <w:sz w:val="24"/>
          <w:szCs w:val="24"/>
          <w:color w:val="auto"/>
        </w:rPr>
      </w:pPr>
    </w:p>
    <w:p>
      <w:pPr>
        <w:ind w:left="3340"/>
        <w:spacing w:after="0"/>
        <w:rPr>
          <w:sz w:val="20"/>
          <w:szCs w:val="20"/>
          <w:color w:val="auto"/>
        </w:rPr>
      </w:pPr>
      <w:r>
        <w:rPr>
          <w:rFonts w:ascii="Arial" w:cs="Arial" w:eastAsia="Arial" w:hAnsi="Arial"/>
          <w:sz w:val="11"/>
          <w:szCs w:val="11"/>
          <w:color w:val="auto"/>
        </w:rPr>
        <w:t>__________________________________________________</w:t>
      </w:r>
    </w:p>
    <w:p>
      <w:pPr>
        <w:spacing w:after="0" w:line="200" w:lineRule="exact"/>
        <w:rPr>
          <w:sz w:val="24"/>
          <w:szCs w:val="24"/>
          <w:color w:val="auto"/>
        </w:rPr>
      </w:pPr>
    </w:p>
    <w:p>
      <w:pPr>
        <w:sectPr>
          <w:pgSz w:w="11900" w:h="16838" w:orient="portrait"/>
          <w:cols w:equalWidth="0" w:num="2">
            <w:col w:w="800" w:space="160"/>
            <w:col w:w="10280"/>
          </w:cols>
          <w:pgMar w:left="320" w:top="223" w:right="3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5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0"/>
        </w:trPr>
        <w:tc>
          <w:tcPr>
            <w:tcW w:w="2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Title of each class</w:t>
            </w: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Trading Symbol(s)</w:t>
            </w:r>
          </w:p>
        </w:tc>
        <w:tc>
          <w:tcPr>
            <w:tcW w:w="3220" w:type="dxa"/>
            <w:vAlign w:val="bottom"/>
            <w:gridSpan w:val="3"/>
          </w:tcPr>
          <w:p>
            <w:pPr>
              <w:jc w:val="center"/>
              <w:ind w:left="321"/>
              <w:spacing w:after="0"/>
              <w:rPr>
                <w:sz w:val="20"/>
                <w:szCs w:val="20"/>
                <w:color w:val="auto"/>
              </w:rPr>
            </w:pPr>
            <w:r>
              <w:rPr>
                <w:rFonts w:ascii="Arial" w:cs="Arial" w:eastAsia="Arial" w:hAnsi="Arial"/>
                <w:sz w:val="16"/>
                <w:szCs w:val="16"/>
                <w:color w:val="auto"/>
                <w:w w:val="89"/>
              </w:rPr>
              <w:t>Name of each exchange on which registered</w:t>
            </w:r>
          </w:p>
        </w:tc>
      </w:tr>
      <w:tr>
        <w:trPr>
          <w:trHeight w:val="20"/>
        </w:trPr>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r>
      <w:tr>
        <w:trPr>
          <w:trHeight w:val="227"/>
        </w:trPr>
        <w:tc>
          <w:tcPr>
            <w:tcW w:w="4580" w:type="dxa"/>
            <w:vAlign w:val="bottom"/>
            <w:gridSpan w:val="3"/>
          </w:tcPr>
          <w:p>
            <w:pPr>
              <w:jc w:val="center"/>
              <w:ind w:left="941"/>
              <w:spacing w:after="0"/>
              <w:rPr>
                <w:sz w:val="20"/>
                <w:szCs w:val="20"/>
                <w:color w:val="auto"/>
              </w:rPr>
            </w:pPr>
            <w:r>
              <w:rPr>
                <w:rFonts w:ascii="Arial" w:cs="Arial" w:eastAsia="Arial" w:hAnsi="Arial"/>
                <w:sz w:val="16"/>
                <w:szCs w:val="16"/>
                <w:color w:val="auto"/>
                <w:w w:val="89"/>
              </w:rPr>
              <w:t>Common Stock, $0.01 par value per share</w:t>
            </w:r>
          </w:p>
        </w:tc>
        <w:tc>
          <w:tcPr>
            <w:tcW w:w="440" w:type="dxa"/>
            <w:vAlign w:val="bottom"/>
          </w:tcPr>
          <w:p>
            <w:pPr>
              <w:spacing w:after="0"/>
              <w:rPr>
                <w:sz w:val="19"/>
                <w:szCs w:val="19"/>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color w:val="auto"/>
                <w:w w:val="93"/>
              </w:rPr>
              <w:t>TREE</w:t>
            </w:r>
          </w:p>
        </w:tc>
        <w:tc>
          <w:tcPr>
            <w:tcW w:w="400" w:type="dxa"/>
            <w:vAlign w:val="bottom"/>
          </w:tcPr>
          <w:p>
            <w:pPr>
              <w:spacing w:after="0"/>
              <w:rPr>
                <w:sz w:val="19"/>
                <w:szCs w:val="19"/>
                <w:color w:val="auto"/>
              </w:rPr>
            </w:pPr>
          </w:p>
        </w:tc>
        <w:tc>
          <w:tcPr>
            <w:tcW w:w="2820" w:type="dxa"/>
            <w:vAlign w:val="bottom"/>
            <w:gridSpan w:val="2"/>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92"/>
        </w:trPr>
        <w:tc>
          <w:tcPr>
            <w:tcW w:w="45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3"/>
        </w:trPr>
        <w:tc>
          <w:tcPr>
            <w:tcW w:w="8280" w:type="dxa"/>
            <w:vAlign w:val="bottom"/>
            <w:gridSpan w:val="8"/>
          </w:tcPr>
          <w:p>
            <w:pPr>
              <w:ind w:left="160"/>
              <w:spacing w:after="0" w:line="184" w:lineRule="exact"/>
              <w:rPr>
                <w:sz w:val="20"/>
                <w:szCs w:val="20"/>
                <w:color w:val="auto"/>
              </w:rPr>
            </w:pPr>
            <w:r>
              <w:rPr>
                <w:rFonts w:ascii="Arial" w:cs="Arial" w:eastAsia="Arial" w:hAnsi="Arial"/>
                <w:sz w:val="16"/>
                <w:szCs w:val="16"/>
                <w:color w:val="auto"/>
                <w:w w:val="91"/>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1"/>
              </w:rPr>
              <w:t>☒</w:t>
            </w:r>
          </w:p>
        </w:tc>
        <w:tc>
          <w:tcPr>
            <w:tcW w:w="158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0"/>
        </w:trPr>
        <w:tc>
          <w:tcPr>
            <w:tcW w:w="8280" w:type="dxa"/>
            <w:vAlign w:val="bottom"/>
            <w:gridSpan w:val="8"/>
          </w:tcPr>
          <w:p>
            <w:pPr>
              <w:ind w:left="160"/>
              <w:spacing w:after="0" w:line="184" w:lineRule="exact"/>
              <w:rPr>
                <w:sz w:val="20"/>
                <w:szCs w:val="20"/>
                <w:color w:val="auto"/>
              </w:rPr>
            </w:pPr>
            <w:r>
              <w:rPr>
                <w:rFonts w:ascii="Arial" w:cs="Arial" w:eastAsia="Arial" w:hAnsi="Arial"/>
                <w:sz w:val="16"/>
                <w:szCs w:val="16"/>
                <w:color w:val="auto"/>
                <w:w w:val="90"/>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0"/>
              </w:rPr>
              <w:t>☐</w:t>
            </w:r>
          </w:p>
        </w:tc>
        <w:tc>
          <w:tcPr>
            <w:tcW w:w="158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19" w:lineRule="exact"/>
        <w:rPr>
          <w:sz w:val="24"/>
          <w:szCs w:val="24"/>
          <w:color w:val="auto"/>
        </w:rPr>
      </w:pPr>
    </w:p>
    <w:p>
      <w:pPr>
        <w:ind w:firstLine="159"/>
        <w:spacing w:after="0" w:line="28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20" w:hanging="314"/>
        <w:spacing w:after="0" w:line="184" w:lineRule="exact"/>
        <w:tabs>
          <w:tab w:leader="none" w:pos="3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6" w:lineRule="exact"/>
        <w:rPr>
          <w:sz w:val="24"/>
          <w:szCs w:val="24"/>
          <w:color w:val="auto"/>
        </w:rPr>
      </w:pPr>
    </w:p>
    <w:p>
      <w:pPr>
        <w:jc w:val="both"/>
        <w:ind w:firstLine="159"/>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firstLine="159"/>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 w:lineRule="exact"/>
        <w:rPr>
          <w:sz w:val="24"/>
          <w:szCs w:val="24"/>
          <w:color w:val="auto"/>
        </w:rPr>
      </w:pPr>
    </w:p>
    <w:p>
      <w:pPr>
        <w:ind w:left="620"/>
        <w:spacing w:after="0" w:line="184" w:lineRule="exact"/>
        <w:tabs>
          <w:tab w:leader="none" w:pos="1920" w:val="left"/>
          <w:tab w:leader="none" w:pos="2560" w:val="left"/>
          <w:tab w:leader="none" w:pos="3820" w:val="left"/>
          <w:tab w:leader="none" w:pos="4460" w:val="left"/>
          <w:tab w:leader="none" w:pos="6000" w:val="left"/>
          <w:tab w:leader="none" w:pos="6600" w:val="left"/>
          <w:tab w:leader="none" w:pos="8540" w:val="left"/>
          <w:tab w:leader="none" w:pos="9100" w:val="left"/>
          <w:tab w:leader="none" w:pos="11020" w:val="left"/>
        </w:tabs>
        <w:rPr>
          <w:sz w:val="20"/>
          <w:szCs w:val="20"/>
          <w:color w:val="auto"/>
        </w:rPr>
      </w:pPr>
      <w:r>
        <w:rPr>
          <w:rFonts w:ascii="Arial" w:cs="Arial" w:eastAsia="Arial" w:hAnsi="Arial"/>
          <w:sz w:val="16"/>
          <w:szCs w:val="16"/>
          <w:color w:val="auto"/>
        </w:rPr>
        <w:t>Large accelerated</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0"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filer</w:t>
      </w:r>
    </w:p>
    <w:p>
      <w:pPr>
        <w:spacing w:after="0" w:line="147" w:lineRule="exact"/>
        <w:rPr>
          <w:sz w:val="24"/>
          <w:szCs w:val="24"/>
          <w:color w:val="auto"/>
        </w:rPr>
      </w:pPr>
    </w:p>
    <w:p>
      <w:pPr>
        <w:jc w:val="both"/>
        <w:ind w:firstLine="159"/>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 w:lineRule="exact"/>
        <w:rPr>
          <w:sz w:val="24"/>
          <w:szCs w:val="24"/>
          <w:color w:val="auto"/>
        </w:rPr>
      </w:pPr>
    </w:p>
    <w:p>
      <w:pPr>
        <w:jc w:val="both"/>
        <w:ind w:firstLine="159"/>
        <w:spacing w:after="0" w:line="202"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left="160"/>
        <w:spacing w:after="0" w:line="173" w:lineRule="exact"/>
        <w:tabs>
          <w:tab w:leader="none" w:pos="73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jc w:val="both"/>
        <w:ind w:firstLine="159"/>
        <w:spacing w:after="0" w:line="254" w:lineRule="auto"/>
        <w:rPr>
          <w:sz w:val="20"/>
          <w:szCs w:val="20"/>
          <w:color w:val="auto"/>
        </w:rPr>
      </w:pPr>
      <w:r>
        <w:rPr>
          <w:rFonts w:ascii="Arial" w:cs="Arial" w:eastAsia="Arial" w:hAnsi="Arial"/>
          <w:sz w:val="16"/>
          <w:szCs w:val="16"/>
          <w:color w:val="auto"/>
        </w:rPr>
        <w:t>As of June 30, 2021, the aggregate market value of the voting common stock held by non-affiliates of the Registrant was approximately $2,437 million. For the purposes of the foregoing calculation only, all directors and executive officers of the Registrant and a single stockholder who owned in excess of 20% of the voting common stock are assumed to be affiliates of the Registrant.</w:t>
      </w:r>
    </w:p>
    <w:p>
      <w:pPr>
        <w:spacing w:after="0" w:line="25" w:lineRule="exact"/>
        <w:rPr>
          <w:sz w:val="24"/>
          <w:szCs w:val="24"/>
          <w:color w:val="auto"/>
        </w:rPr>
      </w:pPr>
    </w:p>
    <w:p>
      <w:pPr>
        <w:ind w:left="160"/>
        <w:spacing w:after="0"/>
        <w:rPr>
          <w:sz w:val="20"/>
          <w:szCs w:val="20"/>
          <w:color w:val="auto"/>
        </w:rPr>
      </w:pPr>
      <w:r>
        <w:rPr>
          <w:rFonts w:ascii="Arial" w:cs="Arial" w:eastAsia="Arial" w:hAnsi="Arial"/>
          <w:sz w:val="16"/>
          <w:szCs w:val="16"/>
          <w:color w:val="auto"/>
        </w:rPr>
        <w:t>As of February 18, 2022, there were 12,966,728 shares of the Registrant's common stock, par value $.01 per share, outstanding.</w:t>
      </w:r>
    </w:p>
    <w:p>
      <w:pPr>
        <w:spacing w:after="0" w:line="104"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9" w:lineRule="exact"/>
        <w:rPr>
          <w:sz w:val="24"/>
          <w:szCs w:val="24"/>
          <w:color w:val="auto"/>
        </w:rPr>
      </w:pPr>
    </w:p>
    <w:p>
      <w:pPr>
        <w:jc w:val="both"/>
        <w:spacing w:after="0" w:line="267" w:lineRule="auto"/>
        <w:rPr>
          <w:sz w:val="20"/>
          <w:szCs w:val="20"/>
          <w:color w:val="auto"/>
        </w:rPr>
      </w:pPr>
      <w:r>
        <w:rPr>
          <w:rFonts w:ascii="Arial" w:cs="Arial" w:eastAsia="Arial" w:hAnsi="Arial"/>
          <w:sz w:val="16"/>
          <w:szCs w:val="16"/>
          <w:color w:val="auto"/>
        </w:rPr>
        <w:t>Portions of the Registrant's proxy statement for its 2022 Annual Meeting of Stockholders are incorporated by reference into Part III herein. Such proxy statement will be filed with the U.S.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373380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57785</wp:posOffset>
            </wp:positionV>
            <wp:extent cx="709612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6125" cy="1651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32385</wp:posOffset>
            </wp:positionV>
            <wp:extent cx="7096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612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20" w:type="dxa"/>
            <w:vAlign w:val="bottom"/>
            <w:gridSpan w:val="18"/>
          </w:tcPr>
          <w:p>
            <w:pPr>
              <w:jc w:val="center"/>
              <w:ind w:right="3140"/>
              <w:spacing w:after="0"/>
              <w:rPr>
                <w:sz w:val="20"/>
                <w:szCs w:val="20"/>
                <w:color w:val="auto"/>
              </w:rPr>
            </w:pPr>
            <w:r>
              <w:rPr>
                <w:rFonts w:ascii="Arial" w:cs="Arial" w:eastAsia="Arial" w:hAnsi="Arial"/>
                <w:sz w:val="18"/>
                <w:szCs w:val="18"/>
                <w:b w:val="1"/>
                <w:bCs w:val="1"/>
                <w:color w:val="auto"/>
                <w:w w:val="96"/>
              </w:rPr>
              <w:t>TABLE OF CONTENTS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Page</w:t>
            </w:r>
          </w:p>
        </w:tc>
      </w:tr>
      <w:tr>
        <w:trPr>
          <w:trHeight w:val="172"/>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gridSpan w:val="14"/>
          </w:tcPr>
          <w:p>
            <w:pPr>
              <w:jc w:val="center"/>
              <w:ind w:right="4260"/>
              <w:spacing w:after="0" w:line="172" w:lineRule="exact"/>
              <w:rPr>
                <w:rFonts w:ascii="Arial" w:cs="Arial" w:eastAsia="Arial" w:hAnsi="Arial"/>
                <w:sz w:val="18"/>
                <w:szCs w:val="18"/>
                <w:b w:val="1"/>
                <w:bCs w:val="1"/>
                <w:color w:val="0000FF"/>
                <w:w w:val="94"/>
              </w:rPr>
            </w:pPr>
            <w:hyperlink w:anchor="page5">
              <w:r>
                <w:rPr>
                  <w:rFonts w:ascii="Arial" w:cs="Arial" w:eastAsia="Arial" w:hAnsi="Arial"/>
                  <w:sz w:val="18"/>
                  <w:szCs w:val="18"/>
                  <w:b w:val="1"/>
                  <w:bCs w:val="1"/>
                  <w:color w:val="0000FF"/>
                  <w:w w:val="94"/>
                </w:rPr>
                <w:t>PART I</w:t>
              </w:r>
            </w:hyperlink>
          </w:p>
        </w:tc>
        <w:tc>
          <w:tcPr>
            <w:tcW w:w="10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Item 1.</w:t>
              </w:r>
            </w:hyperlink>
          </w:p>
        </w:tc>
        <w:tc>
          <w:tcPr>
            <w:tcW w:w="4420" w:type="dxa"/>
            <w:vAlign w:val="bottom"/>
            <w:gridSpan w:val="19"/>
          </w:tcPr>
          <w:p>
            <w:pPr>
              <w:ind w:left="240"/>
              <w:spacing w:after="0" w:line="205"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Business</w:t>
              </w:r>
            </w:hyperlink>
          </w:p>
        </w:tc>
        <w:tc>
          <w:tcPr>
            <w:tcW w:w="560" w:type="dxa"/>
            <w:vAlign w:val="bottom"/>
            <w:tcBorders>
              <w:top w:val="single" w:sz="8" w:color="0000FF"/>
            </w:tcBorders>
            <w:gridSpan w:val="3"/>
          </w:tcPr>
          <w:p>
            <w:pPr>
              <w:spacing w:after="0"/>
              <w:rPr>
                <w:sz w:val="17"/>
                <w:szCs w:val="17"/>
                <w:color w:val="auto"/>
              </w:rPr>
            </w:pPr>
          </w:p>
        </w:tc>
        <w:tc>
          <w:tcPr>
            <w:tcW w:w="4300" w:type="dxa"/>
            <w:vAlign w:val="bottom"/>
            <w:gridSpan w:val="10"/>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205" w:lineRule="exact"/>
              <w:rPr>
                <w:rFonts w:ascii="Arial" w:cs="Arial" w:eastAsia="Arial" w:hAnsi="Arial"/>
                <w:sz w:val="18"/>
                <w:szCs w:val="18"/>
                <w:b w:val="1"/>
                <w:bCs w:val="1"/>
                <w:color w:val="0000FF"/>
                <w:w w:val="91"/>
              </w:rPr>
            </w:pPr>
            <w:hyperlink w:anchor="page11">
              <w:r>
                <w:rPr>
                  <w:rFonts w:ascii="Arial" w:cs="Arial" w:eastAsia="Arial" w:hAnsi="Arial"/>
                  <w:sz w:val="18"/>
                  <w:szCs w:val="18"/>
                  <w:b w:val="1"/>
                  <w:bCs w:val="1"/>
                  <w:color w:val="0000FF"/>
                  <w:w w:val="91"/>
                </w:rPr>
                <w:t>Item 1A.</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0000FF"/>
            </w:tcBorders>
            <w:gridSpan w:val="4"/>
          </w:tcPr>
          <w:p>
            <w:pPr>
              <w:spacing w:after="0" w:line="205" w:lineRule="exact"/>
              <w:rPr>
                <w:rFonts w:ascii="Arial" w:cs="Arial" w:eastAsia="Arial" w:hAnsi="Arial"/>
                <w:sz w:val="18"/>
                <w:szCs w:val="18"/>
                <w:b w:val="1"/>
                <w:bCs w:val="1"/>
                <w:color w:val="0000FF"/>
                <w:w w:val="86"/>
              </w:rPr>
            </w:pPr>
            <w:hyperlink w:anchor="page11">
              <w:r>
                <w:rPr>
                  <w:rFonts w:ascii="Arial" w:cs="Arial" w:eastAsia="Arial" w:hAnsi="Arial"/>
                  <w:sz w:val="18"/>
                  <w:szCs w:val="18"/>
                  <w:b w:val="1"/>
                  <w:bCs w:val="1"/>
                  <w:color w:val="0000FF"/>
                  <w:w w:val="86"/>
                </w:rPr>
                <w:t>Risk Factors</w:t>
              </w:r>
            </w:hyperlink>
          </w:p>
        </w:tc>
        <w:tc>
          <w:tcPr>
            <w:tcW w:w="8080" w:type="dxa"/>
            <w:vAlign w:val="bottom"/>
            <w:gridSpan w:val="27"/>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1B.</w:t>
              </w:r>
            </w:hyperlink>
          </w:p>
        </w:tc>
        <w:tc>
          <w:tcPr>
            <w:tcW w:w="9280" w:type="dxa"/>
            <w:vAlign w:val="bottom"/>
            <w:gridSpan w:val="32"/>
          </w:tcPr>
          <w:p>
            <w:pPr>
              <w:ind w:left="240"/>
              <w:spacing w:after="0" w:line="205" w:lineRule="exact"/>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Unresolved Staff Comments</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640" w:type="dxa"/>
            <w:vAlign w:val="bottom"/>
            <w:tcBorders>
              <w:top w:val="single" w:sz="8" w:color="0000FF"/>
            </w:tcBorders>
            <w:gridSpan w:val="3"/>
          </w:tcPr>
          <w:p>
            <w:pPr>
              <w:spacing w:after="0" w:line="205" w:lineRule="exact"/>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2.</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Borders>
              <w:top w:val="single" w:sz="8" w:color="0000FF"/>
            </w:tcBorders>
            <w:gridSpan w:val="11"/>
          </w:tcPr>
          <w:p>
            <w:pPr>
              <w:spacing w:after="0" w:line="205" w:lineRule="exact"/>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Properties</w:t>
              </w:r>
            </w:hyperlink>
          </w:p>
        </w:tc>
        <w:tc>
          <w:tcPr>
            <w:tcW w:w="6920" w:type="dxa"/>
            <w:vAlign w:val="bottom"/>
            <w:gridSpan w:val="20"/>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3.</w:t>
              </w:r>
            </w:hyperlink>
          </w:p>
        </w:tc>
        <w:tc>
          <w:tcPr>
            <w:tcW w:w="9280" w:type="dxa"/>
            <w:vAlign w:val="bottom"/>
            <w:gridSpan w:val="32"/>
          </w:tcPr>
          <w:p>
            <w:pPr>
              <w:ind w:left="240"/>
              <w:spacing w:after="0" w:line="205" w:lineRule="exact"/>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Legal Proceedings</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4.</w:t>
              </w:r>
            </w:hyperlink>
          </w:p>
        </w:tc>
        <w:tc>
          <w:tcPr>
            <w:tcW w:w="9280" w:type="dxa"/>
            <w:vAlign w:val="bottom"/>
            <w:gridSpan w:val="32"/>
          </w:tcPr>
          <w:p>
            <w:pPr>
              <w:ind w:left="240"/>
              <w:spacing w:after="0" w:line="205" w:lineRule="exact"/>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Mine Safety Disclosures</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20" w:type="dxa"/>
            <w:vAlign w:val="bottom"/>
          </w:tcPr>
          <w:p>
            <w:pPr>
              <w:spacing w:after="0"/>
              <w:rPr>
                <w:sz w:val="17"/>
                <w:szCs w:val="17"/>
                <w:color w:val="auto"/>
              </w:rPr>
            </w:pPr>
          </w:p>
        </w:tc>
      </w:tr>
      <w:tr>
        <w:trPr>
          <w:trHeight w:val="470"/>
        </w:trPr>
        <w:tc>
          <w:tcPr>
            <w:tcW w:w="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FF"/>
            </w:tcBorders>
            <w:gridSpan w:val="5"/>
          </w:tcPr>
          <w:p>
            <w:pPr>
              <w:jc w:val="center"/>
              <w:spacing w:after="0"/>
              <w:rPr>
                <w:rFonts w:ascii="Arial" w:cs="Arial" w:eastAsia="Arial" w:hAnsi="Arial"/>
                <w:sz w:val="18"/>
                <w:szCs w:val="18"/>
                <w:b w:val="1"/>
                <w:bCs w:val="1"/>
                <w:color w:val="0000FF"/>
                <w:w w:val="99"/>
              </w:rPr>
            </w:pPr>
            <w:hyperlink w:anchor="page33">
              <w:r>
                <w:rPr>
                  <w:rFonts w:ascii="Arial" w:cs="Arial" w:eastAsia="Arial" w:hAnsi="Arial"/>
                  <w:sz w:val="18"/>
                  <w:szCs w:val="18"/>
                  <w:b w:val="1"/>
                  <w:bCs w:val="1"/>
                  <w:color w:val="0000FF"/>
                  <w:w w:val="99"/>
                </w:rPr>
                <w:t>PART II</w:t>
              </w:r>
            </w:hyperlink>
          </w:p>
        </w:tc>
        <w:tc>
          <w:tcPr>
            <w:tcW w:w="426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205" w:lineRule="exact"/>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5.</w:t>
              </w:r>
            </w:hyperlink>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tcBorders>
              <w:bottom w:val="single" w:sz="8" w:color="0000FF"/>
            </w:tcBorders>
            <w:gridSpan w:val="30"/>
          </w:tcPr>
          <w:p>
            <w:pPr>
              <w:spacing w:after="0" w:line="205" w:lineRule="exact"/>
              <w:rPr>
                <w:rFonts w:ascii="Arial" w:cs="Arial" w:eastAsia="Arial" w:hAnsi="Arial"/>
                <w:sz w:val="18"/>
                <w:szCs w:val="18"/>
                <w:b w:val="1"/>
                <w:bCs w:val="1"/>
                <w:color w:val="0000FF"/>
                <w:w w:val="88"/>
              </w:rPr>
            </w:pPr>
            <w:hyperlink w:anchor="page34">
              <w:r>
                <w:rPr>
                  <w:rFonts w:ascii="Arial" w:cs="Arial" w:eastAsia="Arial" w:hAnsi="Arial"/>
                  <w:sz w:val="18"/>
                  <w:szCs w:val="18"/>
                  <w:b w:val="1"/>
                  <w:bCs w:val="1"/>
                  <w:color w:val="0000FF"/>
                  <w:w w:val="88"/>
                </w:rPr>
                <w:t>Market for Registrant's Common Equity, Related Stockholder Matters and Issuer Purchases of Equity Securities</w:t>
              </w:r>
            </w:hyperlink>
          </w:p>
        </w:tc>
        <w:tc>
          <w:tcPr>
            <w:tcW w:w="520" w:type="dxa"/>
            <w:vAlign w:val="bottom"/>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6.</w:t>
              </w:r>
            </w:hyperlink>
          </w:p>
        </w:tc>
        <w:tc>
          <w:tcPr>
            <w:tcW w:w="9280" w:type="dxa"/>
            <w:vAlign w:val="bottom"/>
            <w:gridSpan w:val="32"/>
          </w:tcPr>
          <w:p>
            <w:pPr>
              <w:ind w:left="240"/>
              <w:spacing w:after="0" w:line="205" w:lineRule="exact"/>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[Reserved]</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7.</w:t>
              </w:r>
            </w:hyperlink>
          </w:p>
        </w:tc>
        <w:tc>
          <w:tcPr>
            <w:tcW w:w="9280" w:type="dxa"/>
            <w:vAlign w:val="bottom"/>
            <w:gridSpan w:val="32"/>
          </w:tcPr>
          <w:p>
            <w:pPr>
              <w:ind w:left="240"/>
              <w:spacing w:after="0" w:line="205" w:lineRule="exact"/>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Management's Discussion and Analysis of Financial Condition and Results of Operations</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34</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660" w:type="dxa"/>
            <w:vAlign w:val="bottom"/>
            <w:gridSpan w:val="4"/>
          </w:tcPr>
          <w:p>
            <w:pPr>
              <w:spacing w:after="0" w:line="205" w:lineRule="exact"/>
              <w:rPr>
                <w:rFonts w:ascii="Arial" w:cs="Arial" w:eastAsia="Arial" w:hAnsi="Arial"/>
                <w:sz w:val="18"/>
                <w:szCs w:val="18"/>
                <w:b w:val="1"/>
                <w:bCs w:val="1"/>
                <w:color w:val="0000FF"/>
                <w:w w:val="91"/>
              </w:rPr>
            </w:pPr>
            <w:hyperlink w:anchor="page50">
              <w:r>
                <w:rPr>
                  <w:rFonts w:ascii="Arial" w:cs="Arial" w:eastAsia="Arial" w:hAnsi="Arial"/>
                  <w:sz w:val="18"/>
                  <w:szCs w:val="18"/>
                  <w:b w:val="1"/>
                  <w:bCs w:val="1"/>
                  <w:color w:val="0000FF"/>
                  <w:w w:val="91"/>
                </w:rPr>
                <w:t>Item 7A.</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gridSpan w:val="31"/>
          </w:tcPr>
          <w:p>
            <w:pPr>
              <w:spacing w:after="0" w:line="205" w:lineRule="exact"/>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Quantitative and Qualitative Disclosures about Market Risk</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660" w:type="dxa"/>
            <w:vAlign w:val="bottom"/>
            <w:tcBorders>
              <w:top w:val="single" w:sz="8" w:color="0000FF"/>
            </w:tcBorders>
            <w:gridSpan w:val="4"/>
          </w:tcPr>
          <w:p>
            <w:pPr>
              <w:spacing w:after="0" w:line="205"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Item 8.</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top w:val="single" w:sz="8" w:color="0000FF"/>
            </w:tcBorders>
            <w:gridSpan w:val="20"/>
          </w:tcPr>
          <w:p>
            <w:pPr>
              <w:spacing w:after="0" w:line="205"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Financial Statements and Supplementary Data</w:t>
              </w:r>
            </w:hyperlink>
          </w:p>
        </w:tc>
        <w:tc>
          <w:tcPr>
            <w:tcW w:w="4500" w:type="dxa"/>
            <w:vAlign w:val="bottom"/>
            <w:gridSpan w:val="11"/>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205" w:lineRule="exact"/>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Item 9.</w:t>
              </w:r>
            </w:hyperlink>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6780" w:type="dxa"/>
            <w:vAlign w:val="bottom"/>
            <w:tcBorders>
              <w:bottom w:val="single" w:sz="8" w:color="0000FF"/>
            </w:tcBorders>
            <w:gridSpan w:val="28"/>
          </w:tcPr>
          <w:p>
            <w:pPr>
              <w:spacing w:after="0" w:line="205" w:lineRule="exact"/>
              <w:rPr>
                <w:rFonts w:ascii="Arial" w:cs="Arial" w:eastAsia="Arial" w:hAnsi="Arial"/>
                <w:sz w:val="18"/>
                <w:szCs w:val="18"/>
                <w:b w:val="1"/>
                <w:bCs w:val="1"/>
                <w:color w:val="0000FF"/>
                <w:w w:val="87"/>
              </w:rPr>
            </w:pPr>
            <w:hyperlink w:anchor="page97">
              <w:r>
                <w:rPr>
                  <w:rFonts w:ascii="Arial" w:cs="Arial" w:eastAsia="Arial" w:hAnsi="Arial"/>
                  <w:sz w:val="18"/>
                  <w:szCs w:val="18"/>
                  <w:b w:val="1"/>
                  <w:bCs w:val="1"/>
                  <w:color w:val="0000FF"/>
                  <w:w w:val="87"/>
                </w:rPr>
                <w:t>Changes in and Disagreements With Accountants on Accounting and Financial Disclosure</w:t>
              </w:r>
            </w:hyperlink>
          </w:p>
        </w:tc>
        <w:tc>
          <w:tcPr>
            <w:tcW w:w="2260" w:type="dxa"/>
            <w:vAlign w:val="bottom"/>
            <w:gridSpan w:val="3"/>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97">
              <w:r>
                <w:rPr>
                  <w:rFonts w:ascii="Arial" w:cs="Arial" w:eastAsia="Arial" w:hAnsi="Arial"/>
                  <w:sz w:val="18"/>
                  <w:szCs w:val="18"/>
                  <w:color w:val="0000FF"/>
                  <w:w w:val="89"/>
                </w:rPr>
                <w:t>96</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205" w:lineRule="exact"/>
              <w:rPr>
                <w:rFonts w:ascii="Arial" w:cs="Arial" w:eastAsia="Arial" w:hAnsi="Arial"/>
                <w:sz w:val="18"/>
                <w:szCs w:val="18"/>
                <w:b w:val="1"/>
                <w:bCs w:val="1"/>
                <w:color w:val="0000FF"/>
                <w:w w:val="91"/>
              </w:rPr>
            </w:pPr>
            <w:hyperlink w:anchor="page98">
              <w:r>
                <w:rPr>
                  <w:rFonts w:ascii="Arial" w:cs="Arial" w:eastAsia="Arial" w:hAnsi="Arial"/>
                  <w:sz w:val="18"/>
                  <w:szCs w:val="18"/>
                  <w:b w:val="1"/>
                  <w:bCs w:val="1"/>
                  <w:color w:val="0000FF"/>
                  <w:w w:val="91"/>
                </w:rPr>
                <w:t>Item 9A.</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Borders>
              <w:bottom w:val="single" w:sz="8" w:color="0000FF"/>
            </w:tcBorders>
            <w:gridSpan w:val="10"/>
          </w:tcPr>
          <w:p>
            <w:pPr>
              <w:spacing w:after="0" w:line="205" w:lineRule="exact"/>
              <w:rPr>
                <w:rFonts w:ascii="Arial" w:cs="Arial" w:eastAsia="Arial" w:hAnsi="Arial"/>
                <w:sz w:val="18"/>
                <w:szCs w:val="18"/>
                <w:b w:val="1"/>
                <w:bCs w:val="1"/>
                <w:color w:val="0000FF"/>
                <w:w w:val="87"/>
              </w:rPr>
            </w:pPr>
            <w:hyperlink w:anchor="page98">
              <w:r>
                <w:rPr>
                  <w:rFonts w:ascii="Arial" w:cs="Arial" w:eastAsia="Arial" w:hAnsi="Arial"/>
                  <w:sz w:val="18"/>
                  <w:szCs w:val="18"/>
                  <w:b w:val="1"/>
                  <w:bCs w:val="1"/>
                  <w:color w:val="0000FF"/>
                  <w:w w:val="87"/>
                </w:rPr>
                <w:t>Controls and Procedures</w:t>
              </w:r>
            </w:hyperlink>
          </w:p>
        </w:tc>
        <w:tc>
          <w:tcPr>
            <w:tcW w:w="7140" w:type="dxa"/>
            <w:vAlign w:val="bottom"/>
            <w:gridSpan w:val="21"/>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96</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Item 9B.</w:t>
              </w:r>
            </w:hyperlink>
          </w:p>
        </w:tc>
        <w:tc>
          <w:tcPr>
            <w:tcW w:w="9280" w:type="dxa"/>
            <w:vAlign w:val="bottom"/>
            <w:gridSpan w:val="32"/>
          </w:tcPr>
          <w:p>
            <w:pPr>
              <w:ind w:left="240"/>
              <w:spacing w:after="0" w:line="205" w:lineRule="exact"/>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Other Information</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96</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660" w:type="dxa"/>
            <w:vAlign w:val="bottom"/>
            <w:gridSpan w:val="4"/>
          </w:tcPr>
          <w:p>
            <w:pPr>
              <w:spacing w:after="0" w:line="205" w:lineRule="exact"/>
              <w:rPr>
                <w:rFonts w:ascii="Arial" w:cs="Arial" w:eastAsia="Arial" w:hAnsi="Arial"/>
                <w:sz w:val="18"/>
                <w:szCs w:val="18"/>
                <w:b w:val="1"/>
                <w:bCs w:val="1"/>
                <w:color w:val="0000FF"/>
                <w:w w:val="91"/>
              </w:rPr>
            </w:pPr>
            <w:hyperlink w:anchor="page98">
              <w:r>
                <w:rPr>
                  <w:rFonts w:ascii="Arial" w:cs="Arial" w:eastAsia="Arial" w:hAnsi="Arial"/>
                  <w:sz w:val="18"/>
                  <w:szCs w:val="18"/>
                  <w:b w:val="1"/>
                  <w:bCs w:val="1"/>
                  <w:color w:val="0000FF"/>
                  <w:w w:val="91"/>
                </w:rPr>
                <w:t>Item 9C.</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gridSpan w:val="31"/>
          </w:tcPr>
          <w:p>
            <w:pPr>
              <w:spacing w:after="0" w:line="205" w:lineRule="exact"/>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Disclosure Regarding Foreign Jurisdictions that Prevent Inspections</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97</w:t>
              </w:r>
            </w:hyperlink>
          </w:p>
        </w:tc>
        <w:tc>
          <w:tcPr>
            <w:tcW w:w="20" w:type="dxa"/>
            <w:vAlign w:val="bottom"/>
          </w:tcPr>
          <w:p>
            <w:pPr>
              <w:spacing w:after="0"/>
              <w:rPr>
                <w:sz w:val="17"/>
                <w:szCs w:val="17"/>
                <w:color w:val="auto"/>
              </w:rPr>
            </w:pPr>
          </w:p>
        </w:tc>
      </w:tr>
      <w:tr>
        <w:trPr>
          <w:trHeight w:val="470"/>
        </w:trPr>
        <w:tc>
          <w:tcPr>
            <w:tcW w:w="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720" w:type="dxa"/>
            <w:vAlign w:val="bottom"/>
            <w:tcBorders>
              <w:top w:val="single" w:sz="8" w:color="0000FF"/>
              <w:bottom w:val="single" w:sz="8" w:color="0000FF"/>
            </w:tcBorders>
            <w:gridSpan w:val="9"/>
          </w:tcPr>
          <w:p>
            <w:pPr>
              <w:jc w:val="center"/>
              <w:spacing w:after="0"/>
              <w:rPr>
                <w:rFonts w:ascii="Arial" w:cs="Arial" w:eastAsia="Arial" w:hAnsi="Arial"/>
                <w:sz w:val="18"/>
                <w:szCs w:val="18"/>
                <w:b w:val="1"/>
                <w:bCs w:val="1"/>
                <w:color w:val="0000FF"/>
              </w:rPr>
            </w:pPr>
            <w:hyperlink w:anchor="page99">
              <w:r>
                <w:rPr>
                  <w:rFonts w:ascii="Arial" w:cs="Arial" w:eastAsia="Arial" w:hAnsi="Arial"/>
                  <w:sz w:val="18"/>
                  <w:szCs w:val="18"/>
                  <w:b w:val="1"/>
                  <w:bCs w:val="1"/>
                  <w:color w:val="0000FF"/>
                </w:rPr>
                <w:t>PART III</w:t>
              </w:r>
            </w:hyperlink>
          </w:p>
        </w:tc>
        <w:tc>
          <w:tcPr>
            <w:tcW w:w="320" w:type="dxa"/>
            <w:vAlign w:val="bottom"/>
            <w:tcBorders>
              <w:top w:val="single" w:sz="8" w:color="0000FF"/>
            </w:tcBorders>
          </w:tcPr>
          <w:p>
            <w:pPr>
              <w:spacing w:after="0"/>
              <w:rPr>
                <w:sz w:val="24"/>
                <w:szCs w:val="24"/>
                <w:color w:val="auto"/>
              </w:rPr>
            </w:pPr>
          </w:p>
        </w:tc>
        <w:tc>
          <w:tcPr>
            <w:tcW w:w="39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0" w:type="dxa"/>
            <w:vAlign w:val="bottom"/>
          </w:tcPr>
          <w:p>
            <w:pPr>
              <w:spacing w:after="0"/>
              <w:rPr>
                <w:sz w:val="17"/>
                <w:szCs w:val="17"/>
                <w:color w:val="auto"/>
              </w:rPr>
            </w:pPr>
          </w:p>
        </w:tc>
        <w:tc>
          <w:tcPr>
            <w:tcW w:w="640" w:type="dxa"/>
            <w:vAlign w:val="bottom"/>
            <w:tcBorders>
              <w:bottom w:val="single" w:sz="8" w:color="0000FF"/>
            </w:tcBorders>
            <w:gridSpan w:val="3"/>
          </w:tcPr>
          <w:p>
            <w:pPr>
              <w:spacing w:after="0" w:line="205" w:lineRule="exact"/>
              <w:rPr>
                <w:rFonts w:ascii="Arial" w:cs="Arial" w:eastAsia="Arial" w:hAnsi="Arial"/>
                <w:sz w:val="18"/>
                <w:szCs w:val="18"/>
                <w:b w:val="1"/>
                <w:bCs w:val="1"/>
                <w:color w:val="0000FF"/>
                <w:w w:val="89"/>
              </w:rPr>
            </w:pPr>
            <w:hyperlink w:anchor="page100">
              <w:r>
                <w:rPr>
                  <w:rFonts w:ascii="Arial" w:cs="Arial" w:eastAsia="Arial" w:hAnsi="Arial"/>
                  <w:sz w:val="18"/>
                  <w:szCs w:val="18"/>
                  <w:b w:val="1"/>
                  <w:bCs w:val="1"/>
                  <w:color w:val="0000FF"/>
                  <w:w w:val="89"/>
                </w:rPr>
                <w:t>Item 10.</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00" w:type="dxa"/>
            <w:vAlign w:val="bottom"/>
            <w:tcBorders>
              <w:bottom w:val="single" w:sz="8" w:color="0000FF"/>
            </w:tcBorders>
            <w:gridSpan w:val="19"/>
          </w:tcPr>
          <w:p>
            <w:pPr>
              <w:spacing w:after="0" w:line="205" w:lineRule="exact"/>
              <w:rPr>
                <w:rFonts w:ascii="Arial" w:cs="Arial" w:eastAsia="Arial" w:hAnsi="Arial"/>
                <w:sz w:val="18"/>
                <w:szCs w:val="18"/>
                <w:b w:val="1"/>
                <w:bCs w:val="1"/>
                <w:color w:val="0000FF"/>
                <w:w w:val="88"/>
              </w:rPr>
            </w:pPr>
            <w:hyperlink w:anchor="page100">
              <w:r>
                <w:rPr>
                  <w:rFonts w:ascii="Arial" w:cs="Arial" w:eastAsia="Arial" w:hAnsi="Arial"/>
                  <w:sz w:val="18"/>
                  <w:szCs w:val="18"/>
                  <w:b w:val="1"/>
                  <w:bCs w:val="1"/>
                  <w:color w:val="0000FF"/>
                  <w:w w:val="88"/>
                </w:rPr>
                <w:t>Directors, Executive Officers and Corporate Governance</w:t>
              </w:r>
            </w:hyperlink>
          </w:p>
        </w:tc>
        <w:tc>
          <w:tcPr>
            <w:tcW w:w="4740" w:type="dxa"/>
            <w:vAlign w:val="bottom"/>
            <w:gridSpan w:val="12"/>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98</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Item 11.</w:t>
              </w:r>
            </w:hyperlink>
          </w:p>
        </w:tc>
        <w:tc>
          <w:tcPr>
            <w:tcW w:w="9280" w:type="dxa"/>
            <w:vAlign w:val="bottom"/>
            <w:gridSpan w:val="32"/>
          </w:tcPr>
          <w:p>
            <w:pPr>
              <w:ind w:left="240"/>
              <w:spacing w:after="0" w:line="205" w:lineRule="exact"/>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Executive Compensation</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98</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640" w:type="dxa"/>
            <w:vAlign w:val="bottom"/>
            <w:tcBorders>
              <w:bottom w:val="single" w:sz="8" w:color="0000FF"/>
            </w:tcBorders>
            <w:gridSpan w:val="3"/>
          </w:tcPr>
          <w:p>
            <w:pPr>
              <w:spacing w:after="0" w:line="205" w:lineRule="exact"/>
              <w:rPr>
                <w:rFonts w:ascii="Arial" w:cs="Arial" w:eastAsia="Arial" w:hAnsi="Arial"/>
                <w:sz w:val="18"/>
                <w:szCs w:val="18"/>
                <w:b w:val="1"/>
                <w:bCs w:val="1"/>
                <w:color w:val="0000FF"/>
                <w:w w:val="89"/>
              </w:rPr>
            </w:pPr>
            <w:hyperlink w:anchor="page100">
              <w:r>
                <w:rPr>
                  <w:rFonts w:ascii="Arial" w:cs="Arial" w:eastAsia="Arial" w:hAnsi="Arial"/>
                  <w:sz w:val="18"/>
                  <w:szCs w:val="18"/>
                  <w:b w:val="1"/>
                  <w:bCs w:val="1"/>
                  <w:color w:val="0000FF"/>
                  <w:w w:val="89"/>
                </w:rPr>
                <w:t>Item 12.</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660" w:type="dxa"/>
            <w:vAlign w:val="bottom"/>
            <w:tcBorders>
              <w:bottom w:val="single" w:sz="8" w:color="0000FF"/>
            </w:tcBorders>
            <w:gridSpan w:val="29"/>
          </w:tcPr>
          <w:p>
            <w:pPr>
              <w:spacing w:after="0" w:line="205" w:lineRule="exact"/>
              <w:rPr>
                <w:rFonts w:ascii="Arial" w:cs="Arial" w:eastAsia="Arial" w:hAnsi="Arial"/>
                <w:sz w:val="18"/>
                <w:szCs w:val="18"/>
                <w:b w:val="1"/>
                <w:bCs w:val="1"/>
                <w:color w:val="0000FF"/>
                <w:w w:val="89"/>
              </w:rPr>
            </w:pPr>
            <w:hyperlink w:anchor="page100">
              <w:r>
                <w:rPr>
                  <w:rFonts w:ascii="Arial" w:cs="Arial" w:eastAsia="Arial" w:hAnsi="Arial"/>
                  <w:sz w:val="18"/>
                  <w:szCs w:val="18"/>
                  <w:b w:val="1"/>
                  <w:bCs w:val="1"/>
                  <w:color w:val="0000FF"/>
                  <w:w w:val="89"/>
                </w:rPr>
                <w:t>Security Ownership of Certain Beneficial Owners and Management and Related Stockholder Matters</w:t>
              </w:r>
            </w:hyperlink>
          </w:p>
        </w:tc>
        <w:tc>
          <w:tcPr>
            <w:tcW w:w="1380" w:type="dxa"/>
            <w:vAlign w:val="bottom"/>
            <w:gridSpan w:val="2"/>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98</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640" w:type="dxa"/>
            <w:vAlign w:val="bottom"/>
            <w:tcBorders>
              <w:bottom w:val="single" w:sz="8" w:color="0000FF"/>
            </w:tcBorders>
            <w:gridSpan w:val="3"/>
          </w:tcPr>
          <w:p>
            <w:pPr>
              <w:spacing w:after="0" w:line="205" w:lineRule="exact"/>
              <w:rPr>
                <w:rFonts w:ascii="Arial" w:cs="Arial" w:eastAsia="Arial" w:hAnsi="Arial"/>
                <w:sz w:val="18"/>
                <w:szCs w:val="18"/>
                <w:b w:val="1"/>
                <w:bCs w:val="1"/>
                <w:color w:val="0000FF"/>
                <w:w w:val="89"/>
              </w:rPr>
            </w:pPr>
            <w:hyperlink w:anchor="page100">
              <w:r>
                <w:rPr>
                  <w:rFonts w:ascii="Arial" w:cs="Arial" w:eastAsia="Arial" w:hAnsi="Arial"/>
                  <w:sz w:val="18"/>
                  <w:szCs w:val="18"/>
                  <w:b w:val="1"/>
                  <w:bCs w:val="1"/>
                  <w:color w:val="0000FF"/>
                  <w:w w:val="89"/>
                </w:rPr>
                <w:t>Item 13.</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5760" w:type="dxa"/>
            <w:vAlign w:val="bottom"/>
            <w:tcBorders>
              <w:bottom w:val="single" w:sz="8" w:color="0000FF"/>
            </w:tcBorders>
            <w:gridSpan w:val="26"/>
          </w:tcPr>
          <w:p>
            <w:pPr>
              <w:spacing w:after="0" w:line="205" w:lineRule="exact"/>
              <w:rPr>
                <w:rFonts w:ascii="Arial" w:cs="Arial" w:eastAsia="Arial" w:hAnsi="Arial"/>
                <w:sz w:val="18"/>
                <w:szCs w:val="18"/>
                <w:b w:val="1"/>
                <w:bCs w:val="1"/>
                <w:color w:val="0000FF"/>
                <w:w w:val="88"/>
              </w:rPr>
            </w:pPr>
            <w:hyperlink w:anchor="page100">
              <w:r>
                <w:rPr>
                  <w:rFonts w:ascii="Arial" w:cs="Arial" w:eastAsia="Arial" w:hAnsi="Arial"/>
                  <w:sz w:val="18"/>
                  <w:szCs w:val="18"/>
                  <w:b w:val="1"/>
                  <w:bCs w:val="1"/>
                  <w:color w:val="0000FF"/>
                  <w:w w:val="88"/>
                </w:rPr>
                <w:t>Certain Relationships and Related Transactions, and Director Independence</w:t>
              </w:r>
            </w:hyperlink>
          </w:p>
        </w:tc>
        <w:tc>
          <w:tcPr>
            <w:tcW w:w="3280" w:type="dxa"/>
            <w:vAlign w:val="bottom"/>
            <w:gridSpan w:val="5"/>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98</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880" w:type="dxa"/>
            <w:vAlign w:val="bottom"/>
            <w:gridSpan w:val="5"/>
          </w:tcPr>
          <w:p>
            <w:pPr>
              <w:spacing w:after="0" w:line="205" w:lineRule="exact"/>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Item 14.</w:t>
              </w:r>
            </w:hyperlink>
          </w:p>
        </w:tc>
        <w:tc>
          <w:tcPr>
            <w:tcW w:w="9280" w:type="dxa"/>
            <w:vAlign w:val="bottom"/>
            <w:gridSpan w:val="32"/>
          </w:tcPr>
          <w:p>
            <w:pPr>
              <w:ind w:left="240"/>
              <w:spacing w:after="0" w:line="205" w:lineRule="exact"/>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Principal Accounting Fees and Services</w:t>
              </w:r>
            </w:hyperlink>
          </w:p>
        </w:tc>
        <w:tc>
          <w:tcPr>
            <w:tcW w:w="1020" w:type="dxa"/>
            <w:vAlign w:val="bottom"/>
          </w:tcPr>
          <w:p>
            <w:pPr>
              <w:jc w:val="center"/>
              <w:spacing w:after="0" w:line="205"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98</w:t>
              </w:r>
            </w:hyperlink>
          </w:p>
        </w:tc>
        <w:tc>
          <w:tcPr>
            <w:tcW w:w="20" w:type="dxa"/>
            <w:vAlign w:val="bottom"/>
          </w:tcPr>
          <w:p>
            <w:pPr>
              <w:spacing w:after="0"/>
              <w:rPr>
                <w:sz w:val="17"/>
                <w:szCs w:val="17"/>
                <w:color w:val="auto"/>
              </w:rPr>
            </w:pPr>
          </w:p>
        </w:tc>
      </w:tr>
      <w:tr>
        <w:trPr>
          <w:trHeight w:val="470"/>
        </w:trPr>
        <w:tc>
          <w:tcPr>
            <w:tcW w:w="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gridSpan w:val="16"/>
          </w:tcPr>
          <w:p>
            <w:pPr>
              <w:jc w:val="center"/>
              <w:ind w:right="4240"/>
              <w:spacing w:after="0"/>
              <w:rPr>
                <w:rFonts w:ascii="Arial" w:cs="Arial" w:eastAsia="Arial" w:hAnsi="Arial"/>
                <w:sz w:val="18"/>
                <w:szCs w:val="18"/>
                <w:b w:val="1"/>
                <w:bCs w:val="1"/>
                <w:color w:val="0000FF"/>
                <w:w w:val="98"/>
              </w:rPr>
            </w:pPr>
            <w:hyperlink w:anchor="page100">
              <w:r>
                <w:rPr>
                  <w:rFonts w:ascii="Arial" w:cs="Arial" w:eastAsia="Arial" w:hAnsi="Arial"/>
                  <w:sz w:val="18"/>
                  <w:szCs w:val="18"/>
                  <w:b w:val="1"/>
                  <w:bCs w:val="1"/>
                  <w:color w:val="0000FF"/>
                  <w:w w:val="98"/>
                </w:rPr>
                <w:t>PART IV</w:t>
              </w:r>
            </w:hyperlink>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0" w:type="dxa"/>
            <w:vAlign w:val="bottom"/>
          </w:tcPr>
          <w:p>
            <w:pPr>
              <w:spacing w:after="0"/>
              <w:rPr>
                <w:sz w:val="17"/>
                <w:szCs w:val="17"/>
                <w:color w:val="auto"/>
              </w:rPr>
            </w:pPr>
          </w:p>
        </w:tc>
        <w:tc>
          <w:tcPr>
            <w:tcW w:w="640" w:type="dxa"/>
            <w:vAlign w:val="bottom"/>
            <w:gridSpan w:val="3"/>
          </w:tcPr>
          <w:p>
            <w:pPr>
              <w:spacing w:after="0" w:line="205" w:lineRule="exact"/>
              <w:rPr>
                <w:rFonts w:ascii="Arial" w:cs="Arial" w:eastAsia="Arial" w:hAnsi="Arial"/>
                <w:sz w:val="18"/>
                <w:szCs w:val="18"/>
                <w:b w:val="1"/>
                <w:bCs w:val="1"/>
                <w:color w:val="0000FF"/>
                <w:w w:val="89"/>
              </w:rPr>
            </w:pPr>
            <w:hyperlink w:anchor="page101">
              <w:r>
                <w:rPr>
                  <w:rFonts w:ascii="Arial" w:cs="Arial" w:eastAsia="Arial" w:hAnsi="Arial"/>
                  <w:sz w:val="18"/>
                  <w:szCs w:val="18"/>
                  <w:b w:val="1"/>
                  <w:bCs w:val="1"/>
                  <w:color w:val="0000FF"/>
                  <w:w w:val="89"/>
                </w:rPr>
                <w:t>Item 15.</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gridSpan w:val="16"/>
          </w:tcPr>
          <w:p>
            <w:pPr>
              <w:spacing w:after="0" w:line="205" w:lineRule="exact"/>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Exhibits, Financial Statement Schedules</w:t>
              </w:r>
            </w:hyperlink>
          </w:p>
        </w:tc>
        <w:tc>
          <w:tcPr>
            <w:tcW w:w="680" w:type="dxa"/>
            <w:vAlign w:val="bottom"/>
            <w:tcBorders>
              <w:top w:val="single" w:sz="8" w:color="0000FF"/>
            </w:tcBorders>
            <w:gridSpan w:val="7"/>
          </w:tcPr>
          <w:p>
            <w:pPr>
              <w:spacing w:after="0"/>
              <w:rPr>
                <w:sz w:val="17"/>
                <w:szCs w:val="17"/>
                <w:color w:val="auto"/>
              </w:rPr>
            </w:pPr>
          </w:p>
        </w:tc>
        <w:tc>
          <w:tcPr>
            <w:tcW w:w="4240" w:type="dxa"/>
            <w:vAlign w:val="bottom"/>
            <w:gridSpan w:val="8"/>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99</w:t>
              </w:r>
            </w:hyperlink>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640" w:type="dxa"/>
            <w:vAlign w:val="bottom"/>
            <w:tcBorders>
              <w:top w:val="single" w:sz="8" w:color="0000FF"/>
            </w:tcBorders>
            <w:gridSpan w:val="3"/>
          </w:tcPr>
          <w:p>
            <w:pPr>
              <w:spacing w:after="0" w:line="205" w:lineRule="exact"/>
              <w:rPr>
                <w:rFonts w:ascii="Arial" w:cs="Arial" w:eastAsia="Arial" w:hAnsi="Arial"/>
                <w:sz w:val="18"/>
                <w:szCs w:val="18"/>
                <w:b w:val="1"/>
                <w:bCs w:val="1"/>
                <w:color w:val="0000FF"/>
                <w:w w:val="89"/>
              </w:rPr>
            </w:pPr>
            <w:hyperlink w:anchor="page105">
              <w:r>
                <w:rPr>
                  <w:rFonts w:ascii="Arial" w:cs="Arial" w:eastAsia="Arial" w:hAnsi="Arial"/>
                  <w:sz w:val="18"/>
                  <w:szCs w:val="18"/>
                  <w:b w:val="1"/>
                  <w:bCs w:val="1"/>
                  <w:color w:val="0000FF"/>
                  <w:w w:val="89"/>
                </w:rPr>
                <w:t>Item 16.</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tcBorders>
              <w:top w:val="single" w:sz="8" w:color="0000FF"/>
            </w:tcBorders>
            <w:gridSpan w:val="13"/>
          </w:tcPr>
          <w:p>
            <w:pPr>
              <w:spacing w:after="0" w:line="205" w:lineRule="exact"/>
              <w:rPr>
                <w:rFonts w:ascii="Arial" w:cs="Arial" w:eastAsia="Arial" w:hAnsi="Arial"/>
                <w:sz w:val="18"/>
                <w:szCs w:val="18"/>
                <w:b w:val="1"/>
                <w:bCs w:val="1"/>
                <w:color w:val="0000FF"/>
              </w:rPr>
            </w:pPr>
            <w:hyperlink w:anchor="page105">
              <w:r>
                <w:rPr>
                  <w:rFonts w:ascii="Arial" w:cs="Arial" w:eastAsia="Arial" w:hAnsi="Arial"/>
                  <w:sz w:val="18"/>
                  <w:szCs w:val="18"/>
                  <w:b w:val="1"/>
                  <w:bCs w:val="1"/>
                  <w:color w:val="0000FF"/>
                </w:rPr>
                <w:t>Form 10-K Summary</w:t>
              </w:r>
            </w:hyperlink>
          </w:p>
        </w:tc>
        <w:tc>
          <w:tcPr>
            <w:tcW w:w="6020" w:type="dxa"/>
            <w:vAlign w:val="bottom"/>
            <w:gridSpan w:val="18"/>
          </w:tcPr>
          <w:p>
            <w:pPr>
              <w:spacing w:after="0"/>
              <w:rPr>
                <w:sz w:val="17"/>
                <w:szCs w:val="17"/>
                <w:color w:val="auto"/>
              </w:rPr>
            </w:pPr>
          </w:p>
        </w:tc>
        <w:tc>
          <w:tcPr>
            <w:tcW w:w="1020" w:type="dxa"/>
            <w:vAlign w:val="bottom"/>
          </w:tcPr>
          <w:p>
            <w:pPr>
              <w:jc w:val="center"/>
              <w:spacing w:after="0" w:line="205"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103</w:t>
              </w:r>
            </w:hyperlink>
          </w:p>
        </w:tc>
        <w:tc>
          <w:tcPr>
            <w:tcW w:w="20" w:type="dxa"/>
            <w:vAlign w:val="bottom"/>
          </w:tcPr>
          <w:p>
            <w:pPr>
              <w:spacing w:after="0"/>
              <w:rPr>
                <w:sz w:val="17"/>
                <w:szCs w:val="17"/>
                <w:color w:val="auto"/>
              </w:rPr>
            </w:pPr>
          </w:p>
        </w:tc>
      </w:tr>
      <w:tr>
        <w:trPr>
          <w:trHeight w:val="1497"/>
        </w:trPr>
        <w:tc>
          <w:tcPr>
            <w:tcW w:w="4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This annual report on Form 10-K for the fiscal year ended December 31, 2021 (the "Annual Report") contains "forward-looking statements" within the meaning of the Securities Act of 1933, as amended, and the Securities Exchange Act of 1934, as amended.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7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Item 1A. Risk Factors.</w:t>
      </w:r>
    </w:p>
    <w:p>
      <w:pPr>
        <w:spacing w:after="0" w:line="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of Risk Factors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38" w:lineRule="exact"/>
        <w:rPr>
          <w:sz w:val="20"/>
          <w:szCs w:val="20"/>
          <w:color w:val="auto"/>
        </w:rPr>
      </w:pPr>
    </w:p>
    <w:p>
      <w:pPr>
        <w:ind w:left="640" w:right="2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conditions in the primary and secondary mortgage markets, as well as the general economy, could have a material adverse effect on our business, financial condition and results of operations.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the financial strength of our Network Partners and our relationships with them and any adverse changes in these relationships could adversely affect our business, financial condition and results of operations.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reputation and brand recognition and attract and retain consumers in a cost-effective manner could materially and adversely affect our business, financial condition and results of operations. As such, adverse publicity from litigation or governmental investigations could impact our business and financial condition and results of operations.</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card product offering is subject to particular risks.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insurance business, QuoteWizard, is significant to our revenue, and operational issues in this business could have a material impact on our results of operations.</w:t>
      </w:r>
    </w:p>
    <w:p>
      <w:pPr>
        <w:spacing w:after="0" w:line="12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personal loan product is a key product within our Consumer segment.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118"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impacted our business, and the ultimate impact on our business, financial condition and results of operations will depend on future developments, which are highly uncertain and cannot be predicted, including the scope and duration of the pandemic and actions taken by governmental authorities in response to the pandemic.</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intended benefits of acquisitions may not be realized and acquisitions or strategic investments that we pursue may not be successful and could disrupt our business and harm our financial condition.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manage our growth effectively, our business and results of operations could be harmed.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the performance of highly skilled personnel and if we are unable to attract, retain, develop and motivate well-qualified employees, our business and results of operations could be harmed.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portion of our total revenue has, in the past, derived from one Network Partner, and our results from operations could be adversely affected and stockholder value harmed if we lose significant business from this Network Partner.</w:t>
      </w:r>
    </w:p>
    <w:p>
      <w:pPr>
        <w:spacing w:after="0" w:line="12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118"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58"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135"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past, existing or new laws, rules and regulations, or to obtain and maintain required licenses, could materially and adversely affect our business, financial condition and results of operations.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become subject to intellectual property disputes, which are costly and may subject us to significant liability and increased costs of doing business.</w:t>
      </w:r>
    </w:p>
    <w:p>
      <w:pPr>
        <w:spacing w:after="0" w:line="127" w:lineRule="exact"/>
        <w:rPr>
          <w:rFonts w:ascii="Arial" w:cs="Arial" w:eastAsia="Arial" w:hAnsi="Arial"/>
          <w:sz w:val="18"/>
          <w:szCs w:val="18"/>
          <w:color w:val="auto"/>
        </w:rPr>
      </w:pPr>
    </w:p>
    <w:p>
      <w:pPr>
        <w:ind w:left="640" w:right="2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effective tax rates or adverse outcomes resulting from examination of our income or other tax returns could adversely affect our operating results and financial condition.</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ordinary course of business, we are party to litigation involving contract, intellectual property and a variety of other claims, which could adversely affect our business and financial condition.</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operating results, quarter to quarter earnings and other factors may result in significant decreases in the price of our common stock.</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holder of our common stock owns a substantial portion of our outstanding common stock, which concentrates voting control and limits your ability to influence corporate matters.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results fluctuate as a result of seasonality, which may make it difficult to predict our future performance and may adversely affect our common stock price.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conditional conversion feature of our outstanding convertible senior notes, if triggered, may adversely affect our financial condition and operating results.</w:t>
      </w:r>
    </w:p>
    <w:p>
      <w:pPr>
        <w:spacing w:after="0" w:line="127"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hedge and warrant transactions may affect the value of the Notes and our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LendingTree, Inc. ("LendingTree", the "Company", "we" or "us") operates what we believe to be the leading online consumer platform that connects consumers with the choices they need to be confident in their financial decisions. Through multiple branded marketplaces, LendingTree empowers consumers to shop for financial services the same way they would shop for airline tickets or hotel stays, comparing multiple offers from a nationwide network of over 500 partners (which we refer to as "Network Partners") in one simple search, and choose the option that best fits their financial needs. Services include mortgage loans, mortgage refinances, home equity loans and lines of credit, reverse mortgage loans,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believe our platform, consisting of a deep network of Network Partners across a broad array of financial products, differentiates us from other loan or insurance comparison-shopping marketplaces which may focus on fewer product offerings or partner with fewer service providers.</w:t>
      </w:r>
    </w:p>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mobile applications and toll-free telephone numbers. Interested consumers complete inquiry forms, providing detailed information about themselves and the loans or other offerings they are seeking. We refer to such consumer inquiries as consumer requests. We then match these consumer requests with Network Partners in our marketplace that are seeking to serve these consumers' needs. We generate revenue from our Network Partners, generally at the time of transmitting a consumer request to them, in the form of a match fee. In certain instances outside our mortgage business, we charge other kinds of fees, such as closed loan or closed sale fees. In addition to our primary consumer request data referral business, we also match consumers with Network Partners by offering consumers the ability to click from our website to a Network Partner’s website or by calls for which Network Partners pay either front-end or back-end fees.</w:t>
      </w:r>
    </w:p>
    <w:p>
      <w:pPr>
        <w:spacing w:after="0" w:line="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continually working to improve the consumer experience. We have made investments in technologically-adept personnel and we use in-market real-time testing to improve our digital platforms. Additionally, we work with our Network Partners, including providing training and other resources, to improve the consumer experience throughout the process. Further, we have been building and improving our My LendingTree platform, which provides a relationship-based consumer experience, rather than just a transaction-based experience.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and Future Growth of Our Business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its inception, our original business was to serve consumers seeking home mortgage loans by matching them with various lenders. We launched the LendingTree brand nationally in 1998 and, over the last twenty-plus years, we have invested significantly in this brand to gain widespread consumer recognition.</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More recently, we have actively sought to expand the suite of financial services offerings we provide to consumers, in order to both leverage the applicability of the LendingTree brand as well as more fully serve the needs of consumers and Network Partners. We believe that consumers with existing LendingTree-branded associations will be more likely to utilize our other service offerings than those of other providers whose brands consumers may not recognize.</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have at a given point in time. This is designed to provide consumers with measurable savings opportunities over their lifetimes.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February 28, 2020, we acquired an equity interest in Stash Financial, Inc. (“Stash”).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3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Combining ValuePenguin’s high-quality content and search engine optimization capability with proprietary technology and insurance carrier network from QuoteWizard.com, LLC ("QuoteWizard") enables us to provide immense value to insurance carriers and agents. This strategic acquisition positions us to achieve further scale in the insurance space as well as the broader financial services industry.</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Of our three reportable segments, the Consumer segment was the most impacted as unsecured credit and the flow of capital in certain areas of the market contracted. The impact to our Home and Insurance segments was much less substantial. We believe our three reportable segments have generally recovered from the impacts of the pandemic.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Home segment includes the following products: purchase mortgage, refinance mortgage, home equity loans and lines of credit, reverse mortgage loans, and real estate. Our Consumer segment includes the following products: credit cards, personal loans, small business loans, student loans, auto loans, deposit accounts, and other credit products such as credit repair and debt settlement. Our Insurance segment consists of insurance quote products and insurance policies in our agency businesses. Revenue within the Other category includes revenue from the resale of online advertising space to third parties and revenue from home improvement referrals. We ceased offering home improvement referrals during the first quarter of 2019 and ceased reselling online advertising space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Segment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9"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For the 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2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8"/>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441,738</w:t>
            </w:r>
          </w:p>
        </w:tc>
        <w:tc>
          <w:tcPr>
            <w:tcW w:w="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320,992</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277,935</w:t>
            </w:r>
          </w:p>
        </w:tc>
      </w:tr>
      <w:tr>
        <w:trPr>
          <w:trHeight w:val="225"/>
        </w:trPr>
        <w:tc>
          <w:tcPr>
            <w:tcW w:w="6020" w:type="dxa"/>
            <w:vAlign w:val="bottom"/>
          </w:tcPr>
          <w:p>
            <w:pPr>
              <w:ind w:left="340"/>
              <w:spacing w:after="0"/>
              <w:rPr>
                <w:sz w:val="20"/>
                <w:szCs w:val="20"/>
                <w:color w:val="auto"/>
              </w:rPr>
            </w:pPr>
            <w:r>
              <w:rPr>
                <w:rFonts w:ascii="Arial" w:cs="Arial" w:eastAsia="Arial" w:hAnsi="Arial"/>
                <w:sz w:val="18"/>
                <w:szCs w:val="18"/>
                <w:color w:val="auto"/>
              </w:rPr>
              <w:t>Consumer</w:t>
            </w:r>
          </w:p>
        </w:tc>
        <w:tc>
          <w:tcPr>
            <w:tcW w:w="64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329,945</w:t>
            </w:r>
          </w:p>
        </w:tc>
        <w:tc>
          <w:tcPr>
            <w:tcW w:w="54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253,198</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515,037</w:t>
            </w:r>
          </w:p>
        </w:tc>
      </w:tr>
      <w:tr>
        <w:trPr>
          <w:trHeight w:val="22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w:t>
            </w: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326,153</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333,765</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284,792</w:t>
            </w:r>
          </w:p>
        </w:tc>
      </w:tr>
      <w:tr>
        <w:trPr>
          <w:trHeight w:val="232"/>
        </w:trPr>
        <w:tc>
          <w:tcPr>
            <w:tcW w:w="60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663</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2,035</w:t>
            </w: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28,839</w:t>
            </w:r>
          </w:p>
        </w:tc>
      </w:tr>
      <w:tr>
        <w:trPr>
          <w:trHeight w:val="232"/>
        </w:trPr>
        <w:tc>
          <w:tcPr>
            <w:tcW w:w="6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1,098,499</w:t>
            </w:r>
          </w:p>
        </w:tc>
        <w:tc>
          <w:tcPr>
            <w:tcW w:w="5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909,990</w:t>
            </w:r>
          </w:p>
        </w:tc>
        <w:tc>
          <w:tcPr>
            <w:tcW w:w="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1,106,603</w:t>
            </w:r>
          </w:p>
        </w:tc>
      </w:tr>
    </w:tbl>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LendingTree does not charge consumers for the use of our services, except for credit repair services. Revenues from our Home products are mostly derived from upfront match fees paid by Network Partners that receive a consumer request, and in some cases upfront fees for clicks or call transfers. Because a given consumer request form can be matched with more than one Network Partner, up to five match fees may be generated from a single consumer request form. Revenues from our Consumer products are generally derived from upfront match fees paid on delivery of a consumer request, click or call and closed loan fees. For our credit card product, we send click traffic to issuers and are generally paid per card approval. Revenues from our Insurance products are primarily derived from upfront match fees, and upfront fees for website clicks or fees for calls, earned through the delivery of consumer requests, as well as commissions earned on policy sales in our agency businesses.</w:t>
      </w:r>
    </w:p>
    <w:p>
      <w:pPr>
        <w:spacing w:after="0" w:line="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 ended December 31, 2021, no Network Partners accounted for more than 10% of total consolidated revenue. For the years ended December 31, 2020 and 2019, one Network Partner, Progressive Casualty Insurance, accounted for 15% and 12%, respectively, of total consolidated revenue, all of which was recorded within our Insurance segment.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Home Segment</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Consumers seeking purchase or refinance mortgages through our loan marketplace can receive multiple conditional loan offers from participating lenders in response to a single consumer request form. We refer to the process by which we match consumers and Network Partners as the matching process. This matching process consists of the following steps:</w:t>
      </w:r>
    </w:p>
    <w:p>
      <w:pPr>
        <w:spacing w:after="0" w:line="76" w:lineRule="exact"/>
        <w:rPr>
          <w:sz w:val="20"/>
          <w:szCs w:val="20"/>
          <w:color w:val="auto"/>
        </w:rPr>
      </w:pPr>
    </w:p>
    <w:p>
      <w:pPr>
        <w:ind w:left="640" w:hanging="316"/>
        <w:spacing w:after="0" w:line="271" w:lineRule="auto"/>
        <w:tabs>
          <w:tab w:leader="none" w:pos="63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Consumer Request. </w:t>
      </w:r>
      <w:r>
        <w:rPr>
          <w:rFonts w:ascii="Arial" w:cs="Arial" w:eastAsia="Arial" w:hAnsi="Arial"/>
          <w:sz w:val="18"/>
          <w:szCs w:val="18"/>
          <w:color w:val="auto"/>
        </w:rPr>
        <w:t>Consumers complete a single request form with information regarding the type of mortgage loan product they are seeking, loan</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preferences and other data. Consumers also consent to a soft inquiry regarding their credit.</w:t>
      </w:r>
    </w:p>
    <w:p>
      <w:pPr>
        <w:spacing w:after="0" w:line="62" w:lineRule="exact"/>
        <w:rPr>
          <w:rFonts w:ascii="Arial" w:cs="Arial" w:eastAsia="Arial" w:hAnsi="Arial"/>
          <w:sz w:val="18"/>
          <w:szCs w:val="18"/>
          <w:b w:val="1"/>
          <w:bCs w:val="1"/>
          <w:color w:val="auto"/>
        </w:rPr>
      </w:pPr>
    </w:p>
    <w:p>
      <w:pPr>
        <w:jc w:val="both"/>
        <w:ind w:left="640" w:hanging="316"/>
        <w:spacing w:after="0" w:line="334" w:lineRule="auto"/>
        <w:tabs>
          <w:tab w:leader="none" w:pos="634"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Consumer Request Form Matching and Transmission. </w:t>
      </w:r>
      <w:r>
        <w:rPr>
          <w:rFonts w:ascii="Arial" w:cs="Arial" w:eastAsia="Arial" w:hAnsi="Arial"/>
          <w:sz w:val="15"/>
          <w:szCs w:val="15"/>
          <w:color w:val="auto"/>
        </w:rPr>
        <w:t>Our proprietary systems and technology match a given consumer's request form data,</w:t>
      </w:r>
      <w:r>
        <w:rPr>
          <w:rFonts w:ascii="Arial" w:cs="Arial" w:eastAsia="Arial" w:hAnsi="Arial"/>
          <w:sz w:val="15"/>
          <w:szCs w:val="15"/>
          <w:b w:val="1"/>
          <w:bCs w:val="1"/>
          <w:color w:val="auto"/>
        </w:rPr>
        <w:t xml:space="preserve"> </w:t>
      </w:r>
      <w:r>
        <w:rPr>
          <w:rFonts w:ascii="Arial" w:cs="Arial" w:eastAsia="Arial" w:hAnsi="Arial"/>
          <w:sz w:val="15"/>
          <w:szCs w:val="15"/>
          <w:color w:val="auto"/>
        </w:rPr>
        <w:t>credit profile and geographic location against certain pre-established criteria of Network Partners, which may be modified from time to time. Once a given request passes through the matching process, the request is automatically transmitted to up to five participating Network Partners.</w:t>
      </w:r>
    </w:p>
    <w:p>
      <w:pPr>
        <w:spacing w:after="0" w:line="21" w:lineRule="exact"/>
        <w:rPr>
          <w:rFonts w:ascii="Arial" w:cs="Arial" w:eastAsia="Arial" w:hAnsi="Arial"/>
          <w:sz w:val="15"/>
          <w:szCs w:val="15"/>
          <w:b w:val="1"/>
          <w:bCs w:val="1"/>
          <w:color w:val="auto"/>
        </w:rPr>
      </w:pPr>
    </w:p>
    <w:p>
      <w:pPr>
        <w:ind w:left="640" w:hanging="316"/>
        <w:spacing w:after="0" w:line="271" w:lineRule="auto"/>
        <w:tabs>
          <w:tab w:leader="none" w:pos="63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Evaluation and Response. </w:t>
      </w:r>
      <w:r>
        <w:rPr>
          <w:rFonts w:ascii="Arial" w:cs="Arial" w:eastAsia="Arial" w:hAnsi="Arial"/>
          <w:sz w:val="18"/>
          <w:szCs w:val="18"/>
          <w:color w:val="auto"/>
        </w:rPr>
        <w:t>Network Partners that receive a consumer request form evaluate the information contained in it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to make a conditional loan offer.</w:t>
      </w:r>
    </w:p>
    <w:p>
      <w:pPr>
        <w:spacing w:after="0" w:line="62" w:lineRule="exact"/>
        <w:rPr>
          <w:rFonts w:ascii="Arial" w:cs="Arial" w:eastAsia="Arial" w:hAnsi="Arial"/>
          <w:sz w:val="18"/>
          <w:szCs w:val="18"/>
          <w:b w:val="1"/>
          <w:bCs w:val="1"/>
          <w:color w:val="auto"/>
        </w:rPr>
      </w:pPr>
    </w:p>
    <w:p>
      <w:pPr>
        <w:jc w:val="both"/>
        <w:ind w:left="640" w:hanging="316"/>
        <w:spacing w:after="0" w:line="281" w:lineRule="auto"/>
        <w:tabs>
          <w:tab w:leader="none" w:pos="63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Communication of a Conditional Offer. </w:t>
      </w:r>
      <w:r>
        <w:rPr>
          <w:rFonts w:ascii="Arial" w:cs="Arial" w:eastAsia="Arial" w:hAnsi="Arial"/>
          <w:sz w:val="17"/>
          <w:szCs w:val="17"/>
          <w:color w:val="auto"/>
        </w:rPr>
        <w:t>All matched Network Partners and any conditional offers are presented to the consumer upon completion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consumer request form. Consumers can return to the site and view their offer(s) at any time by logging in to their My LendingTree profile. Additionally, matched lenders and offers are also sent to the email address associated with the consumer request.</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also offer consumers other mortgage products such as:</w:t>
      </w:r>
    </w:p>
    <w:p>
      <w:pPr>
        <w:spacing w:after="0" w:line="111"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alternative matching process, which provides them with lender contact information rather than conditional offers from Network Partners.</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"rate table" loan marketplace, where consumers can enter their loan and credit profile and dynamically view real-time rates or other relevant information from lenders without entering their contact information.</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Home lending products on our online marketplace include the following: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640" w:hanging="316"/>
        <w:spacing w:after="0" w:line="330"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color w:val="auto"/>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30" w:lineRule="exact"/>
        <w:rPr>
          <w:rFonts w:ascii="Arial" w:cs="Arial" w:eastAsia="Arial" w:hAnsi="Arial"/>
          <w:sz w:val="15"/>
          <w:szCs w:val="15"/>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Reverse mortgage loans, which are a loan product available to qualifying homeowners age 62 or older.</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we offer real estate brokerage services, through which consumers are matched with local realtors who can assist them in their home purchase or sale efforts. We generate revenue from real estate brokerage services through match fees paid to us by real estate brokers participating in our online marketplace.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Consumer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Consumer lending products on our online marketplace include information, tools and access to multiple conditional loan offers for the following:</w:t>
      </w:r>
    </w:p>
    <w:p>
      <w:pPr>
        <w:spacing w:after="0" w:line="123" w:lineRule="exact"/>
        <w:rPr>
          <w:sz w:val="20"/>
          <w:szCs w:val="20"/>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 which includes our auto refinance and purchase loan products. Auto loans enable consumers to purchase new or used vehicles or refinance an existing loan secured by an automobile.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cards, which include offerings from most major card issuers.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Personal loans, which are unsecured obligations generally carrying shorter terms and smaller loan amounts than home mortgages.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Small business loans, which include a broad array of financing types, including but not limited to loans secured by working capital, equipment, real estate and other forms of financing, provided to small and medium-sized businesses.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Student loans, which includes both new loans to finance an education and related expenses, as well as refinancing of existing loans.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Non-lending Consumer products also includes information, tools and access to the following:</w:t>
      </w:r>
    </w:p>
    <w:p>
      <w:pPr>
        <w:spacing w:after="0" w:line="111"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accounts, through which consumers can access depository deals and analysis covering all major deposit product categories.</w:t>
      </w:r>
    </w:p>
    <w:p>
      <w:pPr>
        <w:spacing w:after="0" w:line="111"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color w:val="auto"/>
        </w:rPr>
        <w:t>Credit repair, through which consumers can obtain assistance improving their credit profiles, in order to expand and improve loan and other financial product opportunities available to them. Our Ovation business is a leading provider of credit services with a strong customer service reputation.</w:t>
      </w:r>
    </w:p>
    <w:p>
      <w:pPr>
        <w:spacing w:after="0" w:line="5" w:lineRule="exact"/>
        <w:rPr>
          <w:rFonts w:ascii="Arial" w:cs="Arial" w:eastAsia="Arial" w:hAnsi="Arial"/>
          <w:sz w:val="15"/>
          <w:szCs w:val="15"/>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relief services, through which consumers can obtain assistance negotiating existing loans.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refer to the various purchasers of leads from our other marketplaces as lead purchasers. We generate revenue from the deposit account product from a consumer clicking from our website through to a financial institution's website. We generate revenue from credit repair and debt relief services through subscription fees from consumers that enroll in our credit repair product, or a fee for a customer referral to a service provider partner or through a fee at the time a consumer enrolls in a program with one of our Network Partners.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Insurance Segment</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Insurance segment includes information, tools and access to insurance quote products, including automobile, home, health and Medicare, through which consumers are matched with insurance lead aggregators to obtain insurance offers, as well as insurance policies in our agency businesses. Our QuoteWizard business is one of the largest insurance comparison marketplaces in the growing online insurance advertising market. We also purchased ValuePenguin, a personal finance website that offers consumers objective analysis on a variety of financial topics from insurance to credit cards, in the first quarter of 2019.</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Products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products not included in the Home, Consumer and Insurance segments includes:</w:t>
      </w:r>
    </w:p>
    <w:p>
      <w:pPr>
        <w:spacing w:after="0" w:line="111" w:lineRule="exact"/>
        <w:rPr>
          <w:sz w:val="20"/>
          <w:szCs w:val="20"/>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Home improvement services, through which consumers had the opportunity to research and find home improvement professional services. Effective in the first quarter of 2019, we no longer offer home improvement services.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earned through resale of online advertising space to third parties is also classified in other products. Effective in the first quarter of 2020, we no longer resell online advertising space.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intend to continue adding new offerings for consumers, small businesses and Network Partners on our online marketplace, in order to grow and diversify our sources of revenue. We may develop such new offerings through internal product development efforts, strategic business relationships with third parties and/or acquisitions.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Revenue in our Home segment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related recession as well as the economic conditions related to the COVID-19 pandemic, have impacted customary seasonal trends.</w:t>
      </w:r>
    </w:p>
    <w:p>
      <w:pPr>
        <w:spacing w:after="0" w:line="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anticipate revenue in our newer products, primarily within the Consumer segment, to be cyclical as well; however, we have limited historical data to predict the nature and magnitude of this cyclicality. Based on industry data, we anticipate that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businesses include macro factors such as credit availability in the market, interest rates, the strength of the economy and employment.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businesses compete with other online marketing companies, including online intermediaries that operate network-type arrangements. We also face competition from lenders and insurance agents that source consumers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We were originally incorporated in the state of Delaware in June 1996 and commenced nationwide operations in July 1998.</w:t>
      </w:r>
    </w:p>
    <w:p>
      <w:pPr>
        <w:spacing w:after="0" w:line="8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May 2003, IAC/InterActiveCorp ("IAC") acquired LendingTree, LLC, which at the time of the acquisition was known as LendingTree, Inc. Following the acquisition, in December 2004, IAC converted LendingTree, Inc. to a Delaware limited liability company, LendingTree, LLC.</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April 2008, IAC formed Tree.com, Inc. (now known as LendingTree, Inc.), a Delaware corporation, which held all of the ownership interests of LendingTree, LLC. In August 2008, Tree.com Inc., including its wholly-owned subsidiary, LendingTree, LLC, was spun off from IAC and became the separately publicly-traded company that we are today.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Effective January 1, 2015, we changed our name from Tree.com, Inc. to LendingTree,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1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market and provide services in heavily regulated industries through a number of different online and offline channels across the United States. As a result, we are subject to a variety of federal and state laws and regulations, including:</w:t>
      </w:r>
    </w:p>
    <w:p>
      <w:pPr>
        <w:spacing w:after="0" w:line="75" w:lineRule="exact"/>
        <w:rPr>
          <w:sz w:val="20"/>
          <w:szCs w:val="20"/>
          <w:color w:val="auto"/>
        </w:rPr>
      </w:pPr>
    </w:p>
    <w:p>
      <w:pPr>
        <w:jc w:val="both"/>
        <w:ind w:left="640" w:hanging="316"/>
        <w:spacing w:after="0" w:line="271"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Truth-in-Lending Act, the Equal Credit Opportunity Act, the Fair Credit Reporting Act, Fair and Accurate Credit Transactions Act of 2003 ("FACTA"), the Fair Housing Act, the Real Estate Settlement Procedures Act (“RESPA”), and similar state laws, all of which place certain restrictions on the manner in which consumer loans are marketed and originated, and some of which impose restrictions on the amount and nature of fees that may be charged to lenders and real estate professionals for providing or obtaining consumer loan requests;</w:t>
      </w:r>
    </w:p>
    <w:p>
      <w:pPr>
        <w:spacing w:after="0" w:line="71"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which imposes, among other things, limitations on fees charged by mortgage lenders, and requirements related to mortgage disclosures;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licensing laws;</w:t>
      </w:r>
    </w:p>
    <w:p>
      <w:pPr>
        <w:spacing w:after="0" w:line="11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laws, which impose restrictions on activities conducted through telephone, mail, email, mobile device or the Internet, including the Telemarketing Sales Rule ("TSR"), the Telephone Consumer Protection Act ("TCPA"), the Controlling the Assault of Non-Solicited Pornography and Marketing Act of 2003 ("CAN-SPAM") and the Federal Trade Commission Act;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6"/>
        <w:spacing w:after="0" w:line="294"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Federal and state laws relating to offering of credit repair services to consumers, including such laws that impose restrictions on the usage and storage of consumer credit information such as the Credit Repair Organizations Act ("CROA") and the Fair Credit Reporting Act; and</w:t>
      </w:r>
    </w:p>
    <w:p>
      <w:pPr>
        <w:spacing w:after="0" w:line="51"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laws and regulations relating to data privacy and security, including the Gramm-Leach-Bliley Act (“GLBA”), which may impact how we collect, use, store, share and otherwise process personal information of consumers and other individuals.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believe that our intellectual property and proprietary rights are vital to our success. To protect our intellectual property and proprietary rights in our brand, technology, products, services, data, improvements and inventions, we rely on a combination of patent, trademark, copyright, trade secret, and other laws, as well as contractual restrictions on disclosure, such as confidentiality agreements with strategic partners, employees, consultants and other third parties. However, we cannot guarantee that such laws or contractual restrictions will provide us with sufficient protection or that we have entered into confidentiality agreements with each party that has or may have had access to our confidential or proprietary information, know-how or trade secrets.</w:t>
      </w:r>
    </w:p>
    <w:p>
      <w:pPr>
        <w:spacing w:after="0" w:line="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we develop or identify new or improved proprietary technologies, we seek patent protection in the United States and abroad, as appropriate. As of December 31, 2021, we owned one issued U.S. patent related to the system and method for collecting financial information over a global communications network, which expires in 2032. We also own one provisional U.S. patent related to systems and methods for optimizing software development and testing which expires in October 2022, at which time a non-provisional patent application will be filed.</w:t>
      </w:r>
    </w:p>
    <w:p>
      <w:pPr>
        <w:spacing w:after="0" w:line="7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Many of our services are offered under proprietary trademarks and service marks. We believe that our LendingTree trademark, which is applied to all of our services, including our acquired businesses, creates positive responses in network partners and consumers. We generally apply to register or secure by contract our principal trademarks and service marks as they are developed and used. As of December 31, 2021, we owned 41 trademarks and service marks, 35 of which are registered with the United States Patent and Trademark Office ("USPTO"), and six of which have applications pending with the USPTO but have not yet been registered. These registrations can typically be renewed at 10-year intervals.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we reserve and register domain names when and where we deem appropriate. As of December 31, 2021, we owned approximately 1,600 registered domain names. We also have agreements with third parties that provide for the licensing of patented, copyrighted and other proprietary technology used in our business.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success will significantly depend on our ability to obtain, maintain, enforce and protect our intellectual property and proprietary rights and operate our business without infringing, misappropriating or otherwise violating any intellectual property or proprietary rights of third parties. However, there can be no assurance that our efforts will be successful. Even if our efforts are successful, we may incur significant costs in defending our intellectual property and proprietary rights or combatting allegations by third parties.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such as Uniform Domain Name Dispute Resolution, may be necessary for us to enforce our intellectual property rights, including our trade secrets, or to determine the validity and scope of intellectual property or proprietary rights claimed by others. See "Risk Factors" for a more comprehensive description of risks related to our intellectual property.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committed to investing in our employees, and nurturing an entrepreneurial and dynamic work environment. We achieve this through dedication to our core principles which include: building truly outstanding products, being open and candid, acting with urgency and creativity, taking charge, setting goals and being accountable, and committing to excellence. Employees are stockholders of the Company, allowing them to take charge and have a direct impact on company choices. We provide individual, career and leadership development opportunities to strengthen skills. We have implemented strong policies and practices to foster a safe and inclusive workplace allowing employees to develop and reach their full potential, and although our employees hold many values in common, our leadership team actively works to attract, develop, and retain talent from a range of backgrounds and experiences in order to benefit from diverse perspectives. The Company and our employees are committed to helping our communities thrive through a variety of Company-sponsored annual and ongoing community outreach efforts.</w:t>
      </w:r>
    </w:p>
    <w:p>
      <w:pPr>
        <w:spacing w:after="0" w:line="7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of December 31, 2021, we had 1,425 employees, of which approximately 1,407 are full-time and 18 are temporary or part-time. None of our employees are represented under collective bargaining agreements, and we consider our relations with employees and independent contractors to be good.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Website and Public Filings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and an investor relations website at </w:t>
      </w:r>
      <w:r>
        <w:rPr>
          <w:rFonts w:ascii="Arial" w:cs="Arial" w:eastAsia="Arial" w:hAnsi="Arial"/>
          <w:sz w:val="18"/>
          <w:szCs w:val="18"/>
          <w:i w:val="1"/>
          <w:iCs w:val="1"/>
          <w:color w:val="auto"/>
        </w:rPr>
        <w:t>investors.lendingtree.com</w:t>
      </w:r>
      <w:r>
        <w:rPr>
          <w:rFonts w:ascii="Arial" w:cs="Arial" w:eastAsia="Arial" w:hAnsi="Arial"/>
          <w:sz w:val="18"/>
          <w:szCs w:val="18"/>
          <w:color w:val="auto"/>
        </w:rPr>
        <w:t>. None of the information on or accessible through our websites is incorporated by reference in this report, or in any other filings with, or in any information furnished or submitted to, the Securities and Exchange Commission (the "SEC").</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We make available, free of charge through our website, our reports on Forms 10-K, 10-Q and 8-K, our proxy statement for the annual shareholders' meeting and beneficial ownership reports on Forms 3, 4 and 5 as soon as reasonably practicable after we file such material with, or furnish such material to, the SEC. Our filings with the SEC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code of business conduct and ethics, which applies to all employees, including all executive officers and senior financial officers and directors, is posted on the investor relations section of our website.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 or in public filings to the extent required by the applicable rules.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decision, you should carefully consider the risks described below, together with all of the other information included in this annual report and the information incorporated by reference herein. If any of the risks described below, or incorporated by reference into this annual report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 included elsewhere in this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general economy, could have a material adverse effect on our business, financial condition and results of operations.</w:t>
      </w:r>
    </w:p>
    <w:p>
      <w:pPr>
        <w:spacing w:after="0" w:line="7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Constraints in the primary and secondary mortgage markets in the past have had, and may in the future have, an adverse effect on our business, financial condition and results of operations. Generally, increases in interest rates adversely affect the ability of our mortgage Network Partners to close loans, and adverse economic trends limit the ability of our mortgage Network Partners to offer home loans other than low-margin conforming loans. Our businesses may experience a decline in demand for their offerings due to decreased consumer demand as a result of the conditions described above, now or in the future. The decreased consumer demand for mortgage refinancing typically leads to decreased traffic to our website and higher associated selling and marketing efforts associated with that traffic. While higher lender demand during these periods often leads to an increase in the amount lenders will pay per matched lead and higher revenue earned per consumer, increases in the amount lenders will pay per matched lead in this situation is limited by the overall cost models of our lenders, and our revenue earned per consumer can be adversely affected by the overall reduced demand for refinancing in a rising interest rate environment. Conversely, during periods with decreased interest rates, mortgage Network Partners have less incentive to use our marketplaces, or in the case of sudden increases in consumer demand, our mortgage Network Partners may lack the ability to support sudden increases in volume. Situations like this could have a material adverse effect on our business, financial condition and results of operations.</w:t>
      </w:r>
    </w:p>
    <w:p>
      <w:pPr>
        <w:spacing w:after="0" w:line="3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the financial strength of our Network Partners and our relationships with them, and any adverse changes in these relationships could adversely affect our business, financial condition and results of operations.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success depends in significant part on the financial strength of lenders, insurers and lead purchasers participating on our marketplaces and continuing relationships with such lenders, insurers and lead purchases. Network Partners could, for any reason, experience financial difficulties and cease participating on our marketplaces, fail to pay match and/or closing fees when due and/or drop the quality of their services to consumers. We could also have commercial or other disputes with such Network Partners from time to time. The occurrence of one or more of these events with a significant number of Network Partners could, alone or in combination, have a material and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meet certain metrics required by Network Partners, then our business and financial results may be harmed.</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compete against other online marketing companies in significant part based on the quality and convertibility of the leads we generate. Network Partners have expectations as to the quality and conversion rate of the leads that we generate, and such expectations could change over time. The leads that we supply to Network Partners may not meet the expectations that they have for such leads. Conversion rates for leads may be impacted by factors other than the lead quality, many of which are outside our control. Such factors include competition in lending and insurance markets and sales and marketing practices of Network Partners. Failure to meet the expectations of Network Partners in terms of quality and convertibility of leads may result in reduced fees paid to us by such Network Partners, or in extreme cases, the loss of one or more Network Partners, which could materially and adversely affect our business, financial condition and results of operations.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Failure to maintain our reputation and brand recognition and attract and retain consumers in a cost-effective manner could materially and adversely affect our business, financial condition and results of operations. As such, adverse publicity from litigation or governmental investigations could impact our business and financial condition and results of operations.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order to attract visitors to our websites, convert these visitors into loan or other financial product requests for our Network Partners and lead purchasers and generate repeat visits from consumers, our businesses must promote and maintain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their reputations and various brands. Brand promotion and maintenance requires the expenditure of considerable money and resources for online and offline advertising, marketing and related efforts, as well as the continued provision and introduction of high-quality products and services that meet the needs of consumers at competitive prices, the ability to maintain consumers' trust, and the ability to successfully differentiate our brand, products and services from those of our competitors.</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8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Adverse publicity and the potential corresponding impact on our reputation may be accelerated and amplified by the widespread use of social media platforms. Furthermore, adverse publicity, from legal proceedings against us or our businesses, including governmental proceedings and consumer class action or other litigation, or the disclosure of information from security breaches or other incidents, could negatively impact our reputation and our various brands, which could materially 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4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failure of our businesses to maintain or enhance the reputation and recognition of their respective brands and attract and retain consumers in a cost-effective manner could materially and adversely affect our business, financial condition and results of operations.</w:t>
      </w:r>
    </w:p>
    <w:p>
      <w:pPr>
        <w:spacing w:after="0" w:line="18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that depend upon the searchable content on our sites. Search engines and other online sources revise their algorithms, and introduce new advertising products, from time to time in an attempt to optimize their search results.</w:t>
      </w:r>
    </w:p>
    <w:p>
      <w:pPr>
        <w:spacing w:after="0" w:line="8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In addition, if our online advertisements are not able to reach certain consumers due to consumers' use of ad-blocking software or other ad-blocking capabilities, our business could suffer. Furthermore,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card product offering is subject to particular risks.</w:t>
      </w:r>
    </w:p>
    <w:p>
      <w:pPr>
        <w:spacing w:after="0" w:line="111"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conditions in the economy may affect credit card issuers and their willingness to issue new credit;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losses among credit card issuers may increase beyond normal and budgeted levels which could cause a reduction in demand;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 increases may make balance transfer cards less profitable for issuers;</w:t>
      </w:r>
    </w:p>
    <w:p>
      <w:pPr>
        <w:spacing w:after="0" w:line="11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card issuers and other advertisers in the business verticals in which we operate may be unwilling to advertise on our websites or mobile applications;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application approval rates by credit card issuer customers;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and its effect on our website traffic, click-through rates, advertising rates, revenue, margins, and market share;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provide competitive service to credit card issuers and to consumers using our online offerings and other platforms;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card issuers may determine that the online digital marketing channel is no longer a viable marketing platform for generating new credit card customers;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right="2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LendingTree and CompareCards and to effectively leverage the LendingTree brand with the CompareCards brand;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our credit card product is impacted by the risks described above, then our results of operations and future growth prospects could be materially and adversely affected.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insurance business, QuoteWizard, is significant to our revenue, and operational issues in this business could have a material impact on our results of operations.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QuoteWizard business poses risks for our ongoing operations, including, among others:</w:t>
      </w:r>
    </w:p>
    <w:p>
      <w:pPr>
        <w:spacing w:after="0" w:line="111"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conditions in the economy may affect insurance carriers and their willingness to issue policies;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covered losses among insurance carriers may increase beyond normal and budgeted levels which could cause a reduction in demand for leads;</w:t>
      </w:r>
    </w:p>
    <w:p>
      <w:pPr>
        <w:spacing w:after="0" w:line="145" w:lineRule="exact"/>
        <w:rPr>
          <w:rFonts w:ascii="Arial" w:cs="Arial" w:eastAsia="Arial" w:hAnsi="Arial"/>
          <w:sz w:val="15"/>
          <w:szCs w:val="15"/>
          <w:color w:val="auto"/>
        </w:rPr>
      </w:pPr>
    </w:p>
    <w:p>
      <w:pPr>
        <w:ind w:left="640" w:right="62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carriers and other advertisers in the business verticals in which we or QuoteWizard operate may be unwilling to advertise on our or QuoteWizard’s websites or mobile applications;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publishers may determine they no longer want QuoteWizard as an advertising partner;</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underwriting approval rates by insurance carrier customers;</w:t>
      </w:r>
    </w:p>
    <w:p>
      <w:pPr>
        <w:spacing w:after="0" w:line="111" w:lineRule="exact"/>
        <w:rPr>
          <w:rFonts w:ascii="Arial" w:cs="Arial" w:eastAsia="Arial" w:hAnsi="Arial"/>
          <w:sz w:val="18"/>
          <w:szCs w:val="18"/>
          <w:color w:val="auto"/>
        </w:rPr>
      </w:pPr>
    </w:p>
    <w:p>
      <w:pPr>
        <w:ind w:left="640" w:right="40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and its effect on our or QuoteWizard’s website traffic, click-through rates, advertising rates, revenue, margins, and market share;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media may rise at a faster pace than QuoteWizard's monetization of traffic;</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ability to provide competitive service to insurance carriers and to consumers using QuoteWizard’s and our online offerings and other platforms;</w:t>
      </w:r>
    </w:p>
    <w:p>
      <w:pPr>
        <w:spacing w:after="0" w:line="145" w:lineRule="exact"/>
        <w:rPr>
          <w:rFonts w:ascii="Arial" w:cs="Arial" w:eastAsia="Arial" w:hAnsi="Arial"/>
          <w:sz w:val="15"/>
          <w:szCs w:val="15"/>
          <w:color w:val="auto"/>
        </w:rPr>
      </w:pPr>
    </w:p>
    <w:p>
      <w:pPr>
        <w:ind w:left="640" w:right="36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carriers may determine that the online digital marketing channel is no longer a viable marketing platform for generating new insurance customers;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regulatory agencies may hinder or disallow the operation of QuoteWizard's marketplace;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government regulations and/or laws that affect the ability of private insurance carriers to market products directly to the consumer;</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government regulations and/or laws that would replace private insurance programs with government run programs;</w:t>
      </w:r>
    </w:p>
    <w:p>
      <w:pPr>
        <w:spacing w:after="0" w:line="111" w:lineRule="exact"/>
        <w:rPr>
          <w:rFonts w:ascii="Arial" w:cs="Arial" w:eastAsia="Arial" w:hAnsi="Arial"/>
          <w:sz w:val="18"/>
          <w:szCs w:val="18"/>
          <w:color w:val="auto"/>
        </w:rPr>
      </w:pPr>
    </w:p>
    <w:p>
      <w:pPr>
        <w:ind w:left="640" w:right="70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LendingTree and QuoteWizard and to effectively leverage the LendingTree brand with the QuoteWizard brand;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key employees of QuoteWizard;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the business acquired in the acquisition may not continue to perform as well as anticipated; and</w:t>
      </w:r>
    </w:p>
    <w:p>
      <w:pPr>
        <w:spacing w:after="0" w:line="111" w:lineRule="exact"/>
        <w:rPr>
          <w:rFonts w:ascii="Arial" w:cs="Arial" w:eastAsia="Arial" w:hAnsi="Arial"/>
          <w:sz w:val="18"/>
          <w:szCs w:val="18"/>
          <w:color w:val="auto"/>
        </w:rPr>
      </w:pPr>
    </w:p>
    <w:p>
      <w:pPr>
        <w:ind w:left="640" w:right="72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assumed liabilities associated with QuoteWizard’s historical operations, including liabilities arising from data privacy and security laws and regulations or security breaches.</w:t>
      </w:r>
    </w:p>
    <w:p>
      <w:pPr>
        <w:spacing w:after="0" w:line="75"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If the QuoteWizard business is impacted by the risks described above, then our results of operations and future growth prospects could be materially and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agency businesses pose unique risks.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Medicare and Property and Casualty insurance agency businesses employ a different business model than the rest of our businesses and are subject to unique risks because of our role in selling insurance policies direct to consumers. In that role, we act as agents of insurance carriers or of other insurance agents, known as uplines, that we contract with. We must secure and maintain contracts with those carriers and agents, and our individual agents must be state-licensed. Our revenues are generated from sales commissions which are based upon the insurance premiums of policies sold and our models to determine the appropriate policies for consumers. Our models could be incorrect, and we could generate less revenue than expected. We could also lose appointments with carriers or uplines that affect our ability to sell policies and generate revenue. Carrier losses, which could result from increased repair time and costs due to inflation and supply chain issues in the automotive and housing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industries, among other issues, could cause carriers to reduce commissions or increase premiums, both of which would have a negative effect on us. Insurance carriers could increase premiums to the point where we cannot profitably sell policies or consumers make the decision to forego the purchase of insurance. Our licensed insurance agents are critical to our agency business, and our inability to attract and retain effective agents or for them to obtain or retain their licenses to sell policies could have a negative impact on our results of operation.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personal loan product is a key product within our Consumer segment.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6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Personal loans are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requests generated 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Personal loan lenders are increasingly focused on profitability and are attempting to reduce their acquisition costs of new customers. If lenders participating on our marketplace decide to reduce their offerings of personal loans, tighten their underwriting standards, or if personal loans become unattractive to consumers because of higher interest rates demanded by lenders or other reasons, then our results of operations and future growth prospects could be materially and adversely affected.</w:t>
      </w:r>
    </w:p>
    <w:p>
      <w:pPr>
        <w:spacing w:after="0" w:line="3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Any adverse changes in relationships with our Network Partners, or failure to meet certain metrics required by Network Partners, could adversely affect our business. Network Partners affiliated with our marketplaces are not precluded from offering products and services outside of our marketplaces, or obtaining products and services from our competitors.</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Because our businesses do not have exclusive relationships with Network Partners, consumers may obtain loans, insurance and other financial products from these third-party service providers without having to use our marketplaces. Network Partners can offer loans, insurance and other financial products directly to consumers through their own marketing campaigns or other traditional methods of distribution, such as referral arrangements, physical store-front operations or broker agreements. Network Partners may also offer loans, insurance and other financial products and services to prospective customers online directly, through one or more online competitors of our businesses, or both. If a significant number of consumers seek loans, insurance and other financial products and services directly from Network Partners or through our competitors as opposed to through our marketplaces, our business, financial condition and results of operations could be materially and adversely affected.</w:t>
      </w:r>
    </w:p>
    <w:p>
      <w:pPr>
        <w:spacing w:after="0" w:line="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The COVID-19 pandemic impacted our business, and the ultimate impact on our business, financial condition and results of operations will depend on future developments, which are highly uncertain and cannot be predicted, including the scope and duration of the pandemic and actions taken by governmental authorities in response to the pandemic.</w:t>
      </w:r>
    </w:p>
    <w:p>
      <w:pPr>
        <w:spacing w:after="0" w:line="8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COVID-19 pandemic has negatively impacted the global economy, disrupted global supply chains, created significant volatility and disruption in financial markets, and, at times, increased unemployment levels. In addition, the pandemic resulted in temporary closures of many businesses and the institution of various lockdown orders and sheltering in place requirements in many states and communities. As a result, the demand for our products, in particular in our Consumer segment, was significantly impacted. Our business operations may be disrupted if closures or lockdowns are reinstated or if significant portions of our workforce are unable to work effectively, including because of illness, quarantines, government actions, or other restrictions in connection with the pandemic. The extent to which the COVID-19 pandemic impacts our business, financial condition and results of operations, as well as our regulatory capital and liquidity ratios, will depend on future developments, which are highly uncertain and cannot be predicted, including the scope and duration of the pandemic and actions taken by governmental authorities and other third parties in response to the pandemic.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products are new to the market and may fail to achieve or maintain customer acceptance and profitability.</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launched a number of new products over the last several years. We do not have as much experience with these new products as with the other more mature products. Accordingly, new products may be subject to greater risks than our more mature products.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success of our new products will depend on a number of factors, including: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Implementing, at an acceptable cost, product features offered by our competitors and/or expected by consumers, lenders and lead purchasers;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by consumers, lenders and lead purchasers;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businesses;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collect amounts owed to us from third parties;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Network Partners.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results of operations may suffer if we fail to successfully anticipate and manage these issues associated with new products.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are unable to continually enhance our products and services and adapt them to technological changes and consumer and lender, insurer and/or lead purchaser needs, including the emergence of new computing devices and more sophisticated online services, we may lose market share and revenue and our business could suffer.</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tablets, mobile telephones, voice assistants,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Consumers access many traditional web services on mobile devices through applications, or apps.</w:t>
      </w:r>
    </w:p>
    <w:p>
      <w:pPr>
        <w:spacing w:after="0" w:line="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or if consumers and customers respond negatively to changes, we may lose market share, which could materially and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improve our products and services in ways that forego short-term gains.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are constantly striving to improve the user experience for our consumers who use our websites and applications and for our Network Partners.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benefits of acquisitions may not be realized.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acquisitions pose risks for our ongoing operations, including, among others:</w:t>
      </w:r>
    </w:p>
    <w:p>
      <w:pPr>
        <w:spacing w:after="0" w:line="111" w:lineRule="exact"/>
        <w:rPr>
          <w:sz w:val="20"/>
          <w:szCs w:val="20"/>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senior management’s attention may be diverted from the management of daily operations to the integration of the businesses acquired in the acquisition;</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retain key employees of businesses acquired;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fully integrate the businesses acquired;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the businesses acquired in the acquisition may not perform as well as anticipated;</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conditions in the economy may affect the lenders or insurance carriers or other customers of the acquired businesses and their willingness to issue new credit, write new policies or otherwise expand their businesses;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advertisers in the business verticals in which we or the acquired businesses operate may be unwilling to advertise on our websites or mobile applications;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and its effect on our or the acquired businesses' website traffic, click-through rates, submitted consumer requests, advertising rates, revenue, margins, and market share;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us and the acquired businesses and to effectively leverage the LendingTree brand with the newly acquired brands;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assumed liabilities associated with the historical operations of the acquired businesses, including as a result of data privacy and security laws and regulations or security breaches.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acquisitions or strategic investments that we pursue may not be successful and could disrupt our business and harm our financial condition.</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consider or undertake strategic acquisitions of, or material investments in, businesses, products or technologies, such as our February 2020 acquisition of an equity interest in Stash.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Credit Facility (as defined herein),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7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and/or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and results of operations could be harmed.</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experienced rapid and significant growth in our headcount and operations, including as a result of acquisitions,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business and results of operations.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develop and motivate well-qualified employees, our business and results of operations could be harmed.</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believe our success has depended, continues to and in the future will depend, on the efforts and talents of our management team and our highly skilled employees and workers,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that they have undertaken and to execute our business plan, and we may not be able to find adequate replacements. Despite our current efforts, we cannot ensure that we will be able to retain the services of any members of our senior management or other key employees. If we do not succeed in attracting well-qualified employees or developing, retaining and motivating existing employees, our business and results of operations could be harmed.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Network Partners on our marketplaces may not provide competitive levels of service to consumers, which could materially and adversely affect our brands and businesses and their ability to attract consumers.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ability of our businesses to provide consumers with a high-quality experience depends, in part, on consumers receiving competitive levels of convenience, customer service, price and responsiveness from Network Partners participating on our marketplaces with whom they are matched. If these providers do not provide consumers with competitive levels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revenue has, in the past, derived from one Network Partner, and our results of operations could be adversely affected and stockholder value harmed if we lose significant business from this Network Partner.</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For the years ended December 31, 2020 and 2019, one Network Partner accounted for 15% and 12%, respectively, of total consolidated revenue, and this Network Partner remains a significant contributor to our total revenue. If this significant Network Partner were to cease purchasing consumer requests and we were unable to replace the associated demand, the loss could have a material adverse effect on our results of operations in the short term and potentially also the longer term. Also, if this Network Partner reduces its volume of consumer requests for any reason, our business could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operating losses in the past and we may not be able to generate sufficient revenue to be profitable over the long term.</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incurred operating losses from continuing operations at times in our history, and although we were profitable in 2021, we have an accumulated deficit of $571.8 million at December 31, 2021. If we fail to maintain or grow our revenue and manage our expenses, we may incur significant losses in the future and not be able to maintain profitability.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Credit Facility contains financial covenants and other restrictions on our actions, and it could therefore limit our operational flexibility or otherwise adversely affect our financial condition. Failure to comply with the terms of any such facility could impair our rights to the assets that have been pledged as collateral under the facility.</w:t>
      </w:r>
    </w:p>
    <w:p>
      <w:pPr>
        <w:spacing w:after="0" w:line="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September 15, 2021, we entered into a $200.0 million five-year senior secured revolving credit facility (the “Revolving Facility”) and a $250.0 million seven-year senior secured delayed draw term loan facility (the “Term Loan Facility” and together with the Revolving Facility, the “Credit Facility”). The Revolving Facility matures on September 15, 2026, and the Term Loan Facility matures on September 15, 2028. The delayed draw commitments under the Term Loan Facility will be available until June 1, 2022. Borrowings under the Credit Facility can be used to finance working capital needs, capital expenditures, and general corporate purposes, including to finance permitted acquisitions. As of February 28, 2022, we have outstanding a $0.2 million letter of credit under the Revolving Facility. No term loans have been drawn under the Term Loan Facility as of February 28, 2022.</w:t>
      </w:r>
    </w:p>
    <w:p>
      <w:pPr>
        <w:spacing w:after="0" w:line="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Credit Facility contains a restrictive financial covenant, which limits the amount of first lien consolidated debt to an EBITDA ratio subject to a step up following a material acquisition. In addition, the Credit Facility contains customary affirmative and negative covenants, including, subject to certain exceptions, restrictions on our ability to, among other things:</w:t>
      </w:r>
    </w:p>
    <w:p>
      <w:pPr>
        <w:spacing w:after="0" w:line="82"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mergers or make certain fundamental changes;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restricted payments, including dividends, distributions, stock repurchases or redemptions;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restrictive transactions.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Credit Facility requires us to pledge as collateral, subject to certain customary exclusions, substantially all of our assets. The obligations under this facility are unconditionally guaranteed, subject to certain customary exclusions, on a senior basis by our material domestic subsidiaries, which guaranties are secured, subject to certain customary exclusions, by substantially all of each such guarantor's assets.</w:t>
      </w:r>
    </w:p>
    <w:p>
      <w:pPr>
        <w:spacing w:after="0" w:line="6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If an event of default occurs or if we otherwise fail to comply with any of the negative or affirmative covenants of the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Credit Facility,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15—Debt, in the notes to the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3"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3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currently compete with a number of other online marketing companies and we expect that competition will intensify. We also face the possibility of new competitors.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new competitors may enter the market and may be able to innovate and bring products and services to market faster, or anticipate and meet consumer or Network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retaining customers or Network Partners, our business, financial condition and results of operations could be materially and adversely affected.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3"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and other resiliency measures in place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26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are continuously developing, updating, and rewriting critical platforms that support our business. The risks associated with this work include, but are not limited to, operational implementation, downtimes, and diversion of management and technical resources. If the work is more challenging or time consuming than expected, then our business, financial condition and results of operations could be materially and adversely affected.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processing of consumer transactions, our businesses collect, use, store, disclose, transfer, and otherwise process a large volume of personal information and other confidential, proprietary and sensitive data. Breaches or failures of security involving our systems or website or those of any of our affiliates, Network Partners or external service providers have occurred in the past and may occur in the future, and have in the past resulted in, and could in the future result in, the theft, unauthorized access, acquisition, use, disclosure, modification or misappropriation of personal information of our consumers, employees or third parties with whom we conduct business, or other confidential, proprietary and sensitive data, fraudulent activity, or system disruptions or shutdowns. The occurrence of any actual or attempted breach, failure of security or fraudulent activity, the reporting of such an incident, whether accurate or not, or our failure to make adequate or timely disclosures to the public or law enforcement agencies following any such event, whether due to delayed discovery or a failure to follow existing protocols,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could result in claims made against us or our affiliates, Network Partners or external service providers, which could result in state and/or federal litigation and related financial liabilities, as well as criminal penalties or civil liabilities, regulatory actions from state and/or federal governmental authorities, and significant fines, orders, sanctions, litigation and claims against us by consumers or third parties and related indemnification obligations. Actual or perceived security breaches or failures also have in the past caused, and may in the future cause, financial losses, increased costs, interruptions in the operations of our business, misappropriation of assets, significant damage to our brand and reputation with consumers and third parties with whom we do business, and result in adverse publicity, loss of consumer confidence, distraction to our management, and reduced sales and profits, any or all of which could have a material and adverse impact on our business, financial condition and results of operations.</w:t>
      </w:r>
    </w:p>
    <w:p>
      <w:pPr>
        <w:spacing w:after="0" w:line="7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Such breaches, failures and fraudulent activity may take many forms, including check fraud, fraudulent inducement, electronic fraud, wire fraud, computer viruses, phishing, social engineering, denial or degradation of service attacks, malware, ransomware or other cyber-attacks, and other dishonest acts, any of which could be the result of a circumvention or failure of our data security processes, procedures, tools, and controls. Our systems are also subject to compromise from internal threats, such as theft, misuse, unauthorized access or other improper actions by employees, external service providers and other third parties with otherwise legitimate access to our systems and website. Data security-related incidents and fraudulent activity are increasing in frequency and evolving in nature. We rely on a framework of security, processes, procedures, tools, and controls designed to protect our information and assets but, given the unpredictability of the timing, nature and scope of data security-related incidents and fraudulent activity, there can be no assurance that any security procedures and controls that we or our external service providers have implemented will be sufficient to prevent data security-related incidents or other fraudulent activity from occurring. Furthermore, because the methods of attack and deception change frequently, are increasingly complex and sophisticated, and can originate from a wide variety of sources, including third parties such as external service providers and even nation-state actors, despite our reasonable efforts to ensure the integrity of our systems and website, it is possible that we may not be able to anticipate, detect, appropriately react and respond to, or implement effective preventative measures against, all security breaches and failures and fraudulent activity. As a result, our business, financial condition or results of operations could be materially and adversely affected.</w:t>
      </w:r>
    </w:p>
    <w:p>
      <w:pPr>
        <w:spacing w:after="0" w:line="26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also face risks associated with security breaches affecting third parties and their suppliers or partners (fourth parties) with whom we are affiliated or otherwise conduct business. Due to applicable laws and regulations or contractual obligations, we may be held responsible for any breach, failure or fraudulent activity attributed to our affiliates, Network Partners or external service providers as they relate to the information we share with them. In addition, because we do not control our Network Partners or external service providers and our ability to monitor their data security is limited, we cannot ensure the security measures they take will be sufficient to protect our information. 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and adverse impact on our business, financial condition and results of operations. Moreover, there could be public announcements regarding any data security-related incidents and any steps we take to respond to or remediate such incidents, and if securities analysts or investors perceive these announcements to be negative, it could, among other things, have a substantial adverse effect on the price of our common stock. Consumers are generally concerned with security and privacy of the internet, and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2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Compliance and Regulation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market and provide services in heavily regulated industries through a number of different channels across the United States. As a result, our businesses have been and remain subject to a variety of laws, rules, regulations, statutes, standards, policies and procedures in various jurisdictions in the United States and abroad, which are subject to change at any time. The failure of our businesses to comply with past, existing or new laws, rules and regulations, or to obtain and maintain required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licenses, could result in administrative fines or proceedings against us or our businesses by governmental agencies and/or litigation by consumers, which could materially and adversely affect our business, financial condition and results of operations and our brand.</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businesses conduct marketing activities via telephone, mail and/or through online marketing channels, and these general marketing activities are governed by numerous federal regulations, such as the TSR, the CAN-SPAM Act, the TCPA, the Federal Trade Commission Act, the Dodd-Frank Wall Street Reform and Consumer Protection Act, and various state telemarketing laws, federal and state data privacy and security laws and their accompanying regulations and guidelines, among others. Additionally, increased regulation by the Bureau of Consumer Financial Protection (“CFPB”), the U.S. Federal Trade Commission ("FTC") and Federal Communications Commission ("FCC") has resulted in restrictions on our marketing activities.</w:t>
      </w:r>
    </w:p>
    <w:p>
      <w:pPr>
        <w:spacing w:after="0" w:line="4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Additional federal, state and in some instances, local laws regulate secured and unsecured lending, and insurance brokerage activities, and certain solicitation activities related to registered investment advisors, which impacts our marketplace, partners and consumers. These laws generally regulate the manner in which lending and lending-related activities, and insurance brokerage activities, and solicitation activities related to registered investment advisors are marketed or made available, including advertising and other consumer disclosures, payments for services and record keeping requirements; these laws include RESPA, the Fair Credit Reporting Act, the Truth-in-Lending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spacing w:after="0" w:line="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State and federal lending laws and regulations generally require accurate disclosure of the critical components of credit costs so that consumers can readily compare credit terms from various lenders. These laws and regulations also impose certain restrictions on the marketing and advertisement of these credit terms. Because we are an aggregator of rate and other information regarding many financial products, including mortgages, loans, deposits and credit cards, we may be subject to some of these laws and regulations and we may be held liable under these laws and regulations for information provided through our online services.</w:t>
      </w:r>
    </w:p>
    <w:p>
      <w:pPr>
        <w:spacing w:after="0" w:line="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Partners' ability to conduct marketing and referral activities.</w:t>
      </w:r>
    </w:p>
    <w:p>
      <w:pPr>
        <w:spacing w:after="0" w:line="7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Various federal, state and, in some instances, local, laws also prohibit unfair, deceptive and abusive marketing and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3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mortgage origination operation (which was subject to various state and local laws, rules and regulations).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5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 Failure to comply with applicable laws and regulatory requirements may result in, among other things, revocation of or inability to renew required licenses or registrations, loss of approval status, termination of contracts without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administrative enforcement actions and fines, private lawsuits, including those styled as class actions, cease and desist orders and civil and criminal liability.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8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the course of our operations and the processing of consumer transactions, our businesses collect, use, store, disclose, transfer and otherwise process a large volume of personal information, including from our consumers, employees and third parties with whom we conduct business, and other user data. The collection, use, storage, disclosure, transfer and other processing of personal information is increasingly subject to a wide array of federal and state laws and regulations regarding data privacy and security, including the GLBA, that are intended to protect the privacy of personal information that is collected, used, stored, disclosed, transferred and otherwise processed in or from the governing jurisdiction. Some countries, including India, also are considering or have passed legislation requiring local storage and processing of data, or similar requirements, which could increase the cost and complexity of delivering our products and services. As we seek to expand our business, we are, and may increasingly become, subject to various laws, regulations and standards, as well as contractual obligations, relating to data use, privacy and security in the jurisdictions in which we operate. In many cases, these laws and regulations apply not only to third-party transactions, but also to transfers of information between or among us, our affiliates and other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266"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CFPB and FTC, have adopted, or are considering adopting, laws and regulations concerning personal information and data privacy and security. This patchwork of legislation and regulation may give rise to conflicts or differing views of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At the federal level, we are subject to the GLBA, which restricts certain collection, storage, use, disclosure and other processing by covered companies of certain personal information, requires notice to individuals of privacy practices and provides individuals with certain rights to prevent the use and disclosure of certain non-public or otherwise legally protected personal information. The GLBA also imposes requirements regarding the safeguarding and proper destruction of personal information through the issuance of data security standards or guidelines. In addition, many states in which we operate have laws that protect the privacy and security of personal information. For example, the California Consumer Privacy Act (the "CCPA") requires covered companies to, among other things, provide certain disclosures to California residents and provide such residents with certain data protection and privacy rights, including the ability to opt-out of certain sales of personal information. The CCPA provides for civil penalties for violations, as well as a private right of action for certain data breaches that result in the loss of certain personal information. This private right of action may increase the likelihood of, and risks associated with, data breach litigation. The passage of the California Privacy Rights Act (“CPRA”), which expands upon the CCPA, will bring additional compliance obligations with respect to certain processing of personal information of California residents once it comes into effect in most material respects on January 1, 2023. The CCPA and the CPRA contain several exemptions, including a provision to the effect that the CCPA and CPRA do not apply where the personal information is collected, processed, sold or disclosed pursuant to the GLBA. It is possible that further amendments to the CCPA and the CPRA will be enacted, but even in their current forms it remains unclear how various provisions of the CCPA and CPRA will be interpreted and enforced. Numerous other states also have enacted or are in the process of enacting state-level data privacy and security laws and regulations and there is discussion in Congress of a new federal data protection and privacy law to which we may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200" w:lineRule="exact"/>
        <w:rPr>
          <w:sz w:val="20"/>
          <w:szCs w:val="20"/>
          <w:color w:val="auto"/>
        </w:rPr>
      </w:pPr>
    </w:p>
    <w:p>
      <w:pPr>
        <w:spacing w:after="0" w:line="28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Many statutory requirements, both in the United States and abroad, include obligations for companies to notify individuals of data breaches involving certain personal information, which have in the past resulted from and may in the future result from, breaches experienced by us or our external service providers. For example, laws in all 50 U.S. states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consumers or other third parties of a security breach. Although we may have contractual protections with our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external service providers, actual or perceived security breaches have in the past resulted in, and may in the future result in, harm to our reputation and brand, exposure to potential liability or a need to expend significant resources on data security and in responding to any such actual or perceived breach. Any contractual protections we may have from our external service providers may not be sufficient to adequately protect us from any such liabilities and losses, and we may be unable to enforce any such contractual protections.</w:t>
      </w:r>
    </w:p>
    <w:p>
      <w:pPr>
        <w:spacing w:after="0" w:line="8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We may be unable to make such changes and modifications in a commercially reasonable manner, or at all.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w:t>
      </w:r>
    </w:p>
    <w:p>
      <w:pPr>
        <w:spacing w:after="0" w:line="27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products and services compromise the privacy of consumers and others. Any concerns about our data privacy and security practices, even if unfounded, could damage the reputation of our businesses, discourage potential users from our products and services and have a material and adverse impact on our business, financial condition and results of operations.</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Any failure or perceived failure by us or our Network Partners or external service providers to comply with our posted privacy policies or with any applicable federal, state or foreign laws, regulations, standards, certifications or orders relating to data privacy or security or consumer protection, or any compromise of security that results in the theft, unauthorized access, acquisition, use, disclosure, or misappropriation of personal information or other user data, could result in fines or proceedings or litigation by governmental agencies or consumers, including class action privacy litigation in certain jurisdictions, which would subject us to significant awards, penalties or judgments, one or all of which could materially and adversely affect our business, financial condition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severe criminal or civil sanctions, all of which may affect our financial condition, operating results and our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subject to intellectual property disputes, which are costly and may subject us to significant liability and increased costs of doing business.</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From time to time, in the ordinary course of business we are subjected to actual and threatened legal proceedings, claims and counterclaims, including allegations relating to infringement of the patents, trademarks, copyrights and other intellectual property and similar proprietary rights, and misappropriation of trade secrets, of third parties. Our success depends, in part, on our ability to develop and commercialize our products and services without infringing, misappropriating or otherwise violating the intellectual property rights of third parties. However, we may not be aware or we may disagree that our products or services are infringing, misappropriating or otherwise violating third-party intellectual property rights and such third parties may bring claims alleging such infringement, misappropriation or violation. Lawsuits are often time-consuming and expensive to resolve and they may divert management’s time and attention. Patent litigation tends to be particularly protracted and expensive. Our technologies may not be able to withstand any third-party claims against their use.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many companies may have the capability to dedicate substantially greater resources to enforce their intellectual property rights and to defend claims that may be brought against them. If a third party is able to obtain an injunction preventing us from accessing third-party intellectual property rights, or if we cannot license or develop alternative technology for any infringing aspect of our business, we may be forced to limit or stop sales of our products and services or cease business activities related to such intellectual property. Our insurance may not cover potential claims of this type or may not be adequate to indemnify us for all liability that may be imposed. We cannot predict the outcome of lawsuits and cannot ensure that the results of any such actions will not have an adverse impact on our business, financial condition or results of operations. Uncertainties resulting from the initiation and continuation of intellectual property-related litigation or proceedings could adversely affect our ability to compete in the marketplace. Any intellectual property litigation to which we might become a party, or for which we are required to provide indemnification, may require us to do one or more of the following:</w:t>
      </w:r>
    </w:p>
    <w:p>
      <w:pPr>
        <w:spacing w:after="0" w:line="48"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cease selling or using products or services that incorporate the intellectual property rights that we allegedly infringe, misappropriate or violate;</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redesign or rebrand the allegedly infringing products or services to avoid infringement, misappropriation or violation, which could be costly, time-consuming or impossible.</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Any litigation of this nature, regardless of outcome or merit, could result in substantial costs and diversion of management and technical resources, any of which could materially and adversely impact our business, financial condition and results of operations.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or other adverse consequences.</w:t>
      </w:r>
    </w:p>
    <w:p>
      <w:pPr>
        <w:spacing w:after="0" w:line="14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5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Further, as mandated by the federal Secure and Fair Enforcement of Mortgage Licensing Act of 2008 (the "SAFE Act"), states adopted certain minimum standards for the licensing of individuals involved in mortgage lending or loan brokering. States also require licenses to undertake certain insurance brokerage activities, and state or federal licensure or registration is required to undertake solicitation activities involving registered investment advisors. Compliance with these requirements may render it more difficult for us and our Network Partners to operate or may raise our internal costs or the costs of our Network Partners, which may be passed on to us through less favorable commercial arrangements.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5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impact of the changes in tax legislation on future years may be material to our consolidated financial statements. Similarly, changes in tax laws and regulations that impact our Network Partners or the economy generally may also impact our financial condition and results of operations. 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rules or regulatory or judicial interpretations (including any attempt to tax online services such as those offered by us);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of December 31, 2021, we had pre-tax consolidated federal net operating losses (“NOLs”) of $220.1 million. The federal NOLs no longer expire under the Tax Cuts and Jobs Act ("TCJA"). Our NOLs will be available to offset taxable income subject to the limitations found in Internal Revenue Code Sections 382 and 383. In addition, we have state NOLs of approximately $542.7 million at December 31, 2021, that will expire at various times between 2022 and 2041. The state NOLs could expire before we are able to utilize them. If we experience one or more ownership changes in the future as a result of future transactions in our stock, our ability to utilize NOLs could be limited. Our ability to use our NOLs was limited on an annual basis by the TCJA. This limitation was deferred for tax years 2019 and 2020 by the 2020 Coronavirus Aid, Relief, and Economic Security ("CARES") Act.</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regard our intellectual property rights, including our patents, trademarks, service marks, copyrights, domain names, trade secrets and similar intellectual property and proprietary rights (as applicable), as critical to our success. Our businesses also rely heavily upon software, informational databases and other components that make up their products and services.</w:t>
      </w:r>
    </w:p>
    <w:p>
      <w:pPr>
        <w:spacing w:after="0" w:line="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rely on a combination of laws, confidentiality procedures and contractual restrictions with employees, consumers, suppliers, affiliates and others to establish and protect our intellectual property and similar proprietary rights. However, the steps we take to obtain, maintain, enforce and protect our intellectual property and similar proprietary rights may be inadequate. We may not be able to protect our intellectual property and similar proprietary rights if we are unable to enforce our rights or if we do not detect unauthorized use of our intellectual property or similar proprietary rights. If we fail to protect our intellectual property and similar proprietary rights adequately, third parties, including our competitors, may gain access to our intellectual property and proprietary technology and develop and commercialize substantially identical products, services or technologies, which would harm our business, financial condition and results of operations. Despite the precautions we have in place, it may be possible for a third party to copy or otherwise obtain and use our intellectual property, including our trade secrets, without authorization. In addition, third parties may independently and lawfully develop substantially similar intellectual property.</w:t>
      </w:r>
    </w:p>
    <w:p>
      <w:pPr>
        <w:spacing w:after="0" w:line="8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some cases, litigation or other actions may be necessary to protect or enforce our intellectual property and similar proprietary rights or to determine the validity and scope of intellectual or proprietary rights claimed by others. Defending, protecting and enforcing our intellectual property and similar proprietary rights might entail significant expense or be time-consuming or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Furthermore, because of the substantial amount of discovery required in connection with intellectual property litigation, there is a risk that some of our confidential or sensitive information could be compromised by disclosure in the event of litigation.</w:t>
      </w:r>
    </w:p>
    <w:p>
      <w:pPr>
        <w:spacing w:after="0" w:line="9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strive to protect our trademarks, service marks and domain names, effective trademark protection may not be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our brand names and reputation, and limit our ability to control marketing on or through the Internet using our various domain names or otherwise, which could materially and adversely impact our business, financial condition and results of operations.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have been granted one U.S. patent and from time to time we may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Likewise, the issuance of a patent to us does not mean that our processes or inventions will be found not to infringe upon patents or other intellectual property rights of third parties. There may be issued patents of which we are not aware, held by third parties that, if found to be valid and enforceable,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could be alleged to be infringed by our current or future processes or inventions. There also may be pending patent applications of which we are not aware that may result in issued patents, which could be alleged to be infringed by our current or future processes or inventions. Moreover, third parties may create new products or methods that achieve similar results without infringing upon patents that we own.</w:t>
      </w:r>
    </w:p>
    <w:p>
      <w:pPr>
        <w:spacing w:after="0" w:line="8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interference and derivation proceedings and equivalent proceedings in foreign jurisdictions (e.g., opposition proceedings) or litigation. Furthermore, legal standards relating to the validity, enforceability, and scope of protection of intellectual property rights are often uncertain. Patent, trademark, copyright, and trade secret protection may not be available to us. In addition, the laws of some foreign countries may not be as protective of intellectual property rights as those in the United States, and mechanisms for enforcement of intellectual property rights may be inadequate. As we expand our activities, our exposure to unauthorized copying and use of our intellectual property and similar proprietary rights will likely increase. Moreover, policing unauthorized use of our intellectual property and similar proprietary rights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misappropriating or otherwise violating our intellectual property or similar proprietary rights.</w:t>
      </w:r>
    </w:p>
    <w:p>
      <w:pPr>
        <w:spacing w:after="0" w:line="5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cannot ensure that all persons and entities contributing to our intellectual property have validly assigned to us all applicable intellectual property rights they may have or that we will be able to enforce our rights under any such agreements. Moreover, we cannot guarantee that we have entered into confidentiality agreements with each party that has or may have had access to our confidential or proprietary information, know-how and trade secrets, or that any such confidentiality agreements will be effective in controlling access to, and distribution, use, misuse, misappropriation, reverse engineering or disclosure of, our confidential or proprietary information, know-how and trade secrets. These agreements may be breached, and we may not have adequate remedies for any such breach.</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the ordinary course of business, we are party to litigation involving contract, intellectual property and a variety of other claims, which could adversely affect our business and financial condition.</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involved in various legal proceedings and claims involving taxes, contract, alleged infringement of third-party intellectual property rights, consumer protection, securities laws, and other claims, including, but not limited to, the legal proceedings described in Part I, Item 3, Legal Proceedings. These matters could involve claims for substantial amounts of money or for other relief that might necessitate changes to our business or operations. The defense of these actions has been, and will likely continue to be, both time consuming and expensive, and the outcomes of these actions cannot be predicted with certainty. Determining reserves for pending litigation is a complex, fact-intensive process that requires significant legal judgment. It is possible that unfavorable outcomes in one or more such proceedings could result in substantial payments that could adversely affect our business, consolidated financial position, results of operations, or cash flows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ability to do business and financial statements may be harmed by improper conduct by our business partners.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business partners (or businesses we acquire or partner with) may violate U.S. and/or non-U.S. laws, including the laws governing payments to government officials, bribery, fraud, kickbacks and false claims, pricing, sales and marketing practices, conflicts of interest, competition, employment practices and workplace behavior, export and import compliance, money laundering and data privacy and security. Our business partners typically act as independent contractors and not as agents in their solicitations and transactions with consumers, and we cannot ensure that these entities will comply with applicable laws and regulations at all times. Failure on the part of a lender, insurer, website operator or other third party to comply with applicable laws or regulations could result in, among other things, claims of vicarious liability or a negative impact on our reputation and business.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Some of the states in which our businesses maintain licenses require us to collect various loan documents from our Network Partners and produce these documents for examination by state regulators. While our Network Partners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event that our chief executive officer, chief financial officer, or independent registered public accounting firm determines in the future that our internal control over financial reporting is not effective as defined under Section 404 of the Sarbanes-Oxley Act, we could be subject to one or more investigations or enforcement actions by state or federal regulatory agencies, stockholder lawsuits or other adverse actions requiring us to incur defense costs, pay fines, settlements or judgments, thereby causing investor perceptions to be adversely affected and potentially resulting in restatement of our financial statements for prior periods and a decline in the market price of our stock.</w:t>
      </w:r>
    </w:p>
    <w:p>
      <w:pPr>
        <w:spacing w:after="0" w:line="8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our current internal controls and any new controls we implement may become inadequate because of changes in conditions in our business or information technology systems or changes in the applicable laws, regulations and standards. We may, in the future, acquire companies that were not subject to the Sarbanes-Oxley regulations prior to acquisition and accordingly were not required to establish and maintain an internal control infrastructure meeting the standards promulgated under the Sarbanes-Oxley Act. Any failure to design or operate effective controls, any difficulties encountered in their implementation or improvement, or any failure to implement adequate internal controls for our acquired companies could harm our operating results or cause us to fail to meet our reporting obligations. Not correctly designing controls nor fully recognizing, understanding or testing the state of or changes in our internal control environment could also adversely affect the results of management evaluations and independent registered public accounting firm audits of our internal control over financial reporting, about which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stock market in the future.</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exposed to liabilities under the Foreign Corrupt Practices Act (FCPA), which could have a material adverse effect on our business.</w:t>
      </w:r>
    </w:p>
    <w:p>
      <w:pPr>
        <w:spacing w:after="0" w:line="14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operations in India may subject us to compliance with various laws and regulations, including the FCPA and similar anti-bribery and anti-corruption laws, which generally prohibit companies and their intermediaries from engaging in bribery or making other improper payments to private or public parties for the purpose of obtaining or retaining business or gaining an unfair business advantage. The FCPA also requires proper record keeping and characterization of such payments in our reports filed with the SEC. Violations of these laws could result in severe criminal or civil sanctions and financial penalties and other consequences that may have a material adverse effect on our business, reputation, financial condition or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regulation of the Internet, mobile carriers and their partners could negatively affect our business.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business is dependent on the continued growth and maintenance of the Internet’s infrastructure, as well as our ability to market products through channels such as e-mail and voice and text messaging. There can be no assurance that the Internet’s infrastructure will continue to be able to support the demands placed on it by sustained growth in the number of users and amount of traffic. To the extent that the Internet’s infrastructure is unable to support the demands placed on it, our business may be impacted. We may also be disadvantaged by the adverse effect of any delays or cancellations of private sector or government initiatives designed to expand broadband access. The reduction in the growth of, or a decline in, broadband and Internet access poses a risk to us.</w:t>
      </w:r>
    </w:p>
    <w:p>
      <w:pPr>
        <w:spacing w:after="0" w:line="45"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In addition, federal, state and international government bodies and agencies have in the past adopted, and may in the future adopt, laws and regulations affecting the use of the Internet as a commercial medium. Changes in these laws or regulations could adversely affect the demand for our products and services or require us to modify our products and services in order to comply with these changes. Laws, rules and regulations governing advertising and e-commerce through Internet communications and mobile carriers and their partners are dynamic, and the extent of future government regulation is uncertain. Federal and state regulations govern various aspects of our online business, including intellectual property ownership, infringement and misappropriation, including with respect to trade secrets, the distribution of electronic communications, marketing and advertising, data privacy and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3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response to conditions in the U.S. financial markets and economy, as well as a heightened regulatory and Congressional focus on consumer and small business lending and consumer investing, regulators have increased their scrutiny of the financial services industry, the result of which has included new regulations and guidance. We are unable to predict the long-term impact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of this enhanced scrutiny. We are also unable to predict whether any additional or similar changes to statutes or regulations, including the interpretation or implementation thereof, will occur in the future. Likewise, states or municipalities may adopt statutes or regulations making it unattractive, impracticable or infeasible for our businesses to continue to conduct business in such jurisdictions. The impact of additional future regulations and/or withdrawal from any jurisdiction due to emerging legal requirements could materially and adversely affect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operating results, quarter to quarter earnings and other factors may result in significant decreases in the price of our common stock.</w:t>
      </w:r>
    </w:p>
    <w:p>
      <w:pPr>
        <w:spacing w:after="0" w:line="14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market price for our common stock has been volatile, as the trading volume has fluctuated and may continue to fluctuate, causing significant price variations to occur. From when we became a publicly-traded company to as of December 31, 2021, the price per share of our common stock has fluctuated from an intra-day low of $1.42 per share to an intra-day high of $434.94 per share. The market price of our common stock may fluctuate or decline significantly in the future. Some of the factors that could negatively affect the price of our common stock or result in fluctuations in the price or trading volume of our common stock include:</w:t>
      </w:r>
    </w:p>
    <w:p>
      <w:pPr>
        <w:spacing w:after="0" w:line="88"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success of introductions of new services;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rapid technological change, frequent new product introductions and evolving industry standards;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our quarterly operating and financial results or our projected operating and financial results;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analysts' earnings estimates;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publication of research reports about us, our Network Partners or our industry;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preferred or common stock we may issue in the future;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by stockholders, including "activist" investors;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market valuations of other companies in our industry, including our Network Partners and competitors;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 from one or more large, well-established technology companies;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systems, data center, website and internet failures, breaches and service interruptions;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speculation in the press or investment community, including the short selling of our common stock;</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affecting our industry or enforcement of these laws and regulations, or announcements relating to these matters;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threatened or actual ligation;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estimated fair value of contingent consideration related to acquisitions;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general economic or market conditions.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stock market is subject to frequent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securities or industry analysts publish inaccurate or unfavorable research about our business, our stock price and trading volume could decline.</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One holder of our common stock owns a substantial portion of our outstanding common stock, which concentrates voting control and limits your ability to influence corporate matters.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February 18, 2022, Douglas Lebda, our Chairman and Chief Executive Officer, beneficially owned approximately 16% of our outstanding common stock. Additionally, Mr. Lebda holds options to purchase a maximum of 1,271,300 shares that are not included in beneficial ownership because Mr. Lebda does not have the right to acquire them within 60 days. If these options were exercisable, they would represent additional beneficial ownership of approximately 7% of our outstanding common stock.</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Therefore, for the foreseeable future, Mr. Lebda will have influence over our management and affairs and all matters requiring stockholder approval, including the election or removal (with or without cause) of directors and approval of any significant corporate transaction, such as a merger or other sale of us or our assets. The interests of Mr. Lebda may not necessarily align with the interests of our other stockholders. Mr. Lebda could 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common stock by our existing stockholders may cause our stock price to fall.</w:t>
      </w:r>
    </w:p>
    <w:p>
      <w:pPr>
        <w:spacing w:after="0" w:line="11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7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Provisions in our certificate of incorporation and bylaws, as amended and restated, may have the effect of delaying or preventing a change of control or changes in our management. Our amended and restated certificate of incorporation and/or amended and restated bylaws include provisions that:</w:t>
      </w:r>
    </w:p>
    <w:p>
      <w:pPr>
        <w:spacing w:after="0" w:line="5" w:lineRule="exact"/>
        <w:rPr>
          <w:sz w:val="20"/>
          <w:szCs w:val="20"/>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five million shares of undesignated preferred stock, sometimes referred to as "blank check preferred";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any cash dividends on our common stock in the foreseeable future.</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We have not declared or paid a cash dividend on our common stock during the eight most recent fiscal years. We have no current intention to declare or pay cash dividends on our common stock in the foreseeable future. In addition, the Credit Facility contains certain restrictions on our ability to pay dividends. </w:t>
      </w:r>
      <w:r>
        <w:rPr>
          <w:rFonts w:ascii="Arial" w:cs="Arial" w:eastAsia="Arial" w:hAnsi="Arial"/>
          <w:sz w:val="17"/>
          <w:szCs w:val="17"/>
          <w:i w:val="1"/>
          <w:iCs w:val="1"/>
          <w:color w:val="auto"/>
        </w:rPr>
        <w:t xml:space="preserve">See </w:t>
      </w:r>
      <w:r>
        <w:rPr>
          <w:rFonts w:ascii="Arial" w:cs="Arial" w:eastAsia="Arial" w:hAnsi="Arial"/>
          <w:sz w:val="17"/>
          <w:szCs w:val="17"/>
          <w:color w:val="auto"/>
        </w:rPr>
        <w:t>Note 15—Debt, in the notes to the consolidated financial statements included elsewhere in this annual report. The declaration, payment and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future cash dividends, if any, will be at the discretion of our board of directors. As a result, capital appreciation, if any, of our common stock will be the sole source of gain for the foreseeable future for holders of our common stock.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Several of our products are subject to seasonal trends. Products in our Home segment have seasonal trends that reflect the general patterns of the mortgage industry and housing sales, which typically peak in the spring and summer seasons and decline in the winter. Our quarterly operating results may fluctuate as a result of these seasonal trends. In certain historical periods, broader cyclical trends in interest rates, as well as the mortgage and real estate markets, have upset the customary seasonal trends. Our Consumer and Insurance segments also have certain products with various seasonality trends which may create further uncertainty in our quarterly operating results. </w:t>
      </w:r>
      <w:r>
        <w:rPr>
          <w:rFonts w:ascii="Arial" w:cs="Arial" w:eastAsia="Arial" w:hAnsi="Arial"/>
          <w:sz w:val="15"/>
          <w:szCs w:val="15"/>
          <w:i w:val="1"/>
          <w:iCs w:val="1"/>
          <w:color w:val="auto"/>
        </w:rPr>
        <w:t>See</w:t>
      </w:r>
      <w:r>
        <w:rPr>
          <w:rFonts w:ascii="Arial" w:cs="Arial" w:eastAsia="Arial" w:hAnsi="Arial"/>
          <w:sz w:val="15"/>
          <w:szCs w:val="15"/>
          <w:color w:val="auto"/>
        </w:rPr>
        <w:t xml:space="preserve"> Item 1. Business—Seasonality included elsewhere in this annual report for more information. Any of these seasonal trends, or the combination of them, may negatively impact the price of our common stock.</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conditional conversion feature of our outstanding convertible senior notes, if triggered, may adversely affect our financial condition and operating results.</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If the conditional conversion feature of our 0.50% Convertible Senior Notes due July 15, 2025 (the “2025 Notes”) and 0.625% Convertible Senior Notes due June 1, 2022 (the “2022 Notes”, and, together with the 2025 Notes, the “Notes”) is triggered, holders of Notes will be entitled to convert the Notes at any time during specified periods at their option. Convertibility for each quarter will be determined based on whether the last reported sales price of our common stock, for at least 20 trading days (whether or not consecutive) during the period of 30 consecutive trading days ending on, and including, the last trading day of the immediately preceding calendar quarter, is greater than or equal to 130% of the conversion price under the Notes on each applicable trading day. If so, then the Notes will be convertible during that calendar quarter. The Notes will also be convertible at any time during the five business day period immediately following any five consecutive trading day period in which the trading price per $1,000 principal amount of Notes for each trading Day of such five trading day period is less than 98% of the product of the last reported sale price of our common stock on each such trading day and the conversion ratio under the Notes, as more fully described in the respective indentures governing the Notes, which are incorporated by reference as an exhibit to this annual report.</w:t>
      </w:r>
    </w:p>
    <w:p>
      <w:pPr>
        <w:spacing w:after="0" w:line="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respective Notes as a current rather than long-term liability, which would result in a material reduction of our net working capital.</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 to make repurchases of Notes surrendered therefore, or pay cash with respect to Notes being converted if we elect not to issue shares, which could harm our reputation and affect the trading price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hedge and warrant transactions may affect the value of the Notes and our common stock.</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initial strike price of the warrants is $709.52 for the warrants associated with the 2025 Notes and $266.39 for the warrants associated with the 2022 Notes.</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accounting method for our convertible senior notes and warrants issued could have a material adverse effect on our reported financial results.</w:t>
      </w:r>
    </w:p>
    <w:p>
      <w:pPr>
        <w:spacing w:after="0" w:line="14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August 2020, the Financial Accounting Standards Board ("FASB") issued Accounting Standards Update ("ASU") 2020-06, which simplifies the accounting for convertible instruments, amends the derivatives scope exception guidance for contracts in an entity’s own equity, and amends the related earnings-per-share guidance. These amendments are required to be adopted in reporting periods beginning after December 15, 2021. We expect these amendments to impact the accounting for our convertible senior notes and warrants issued. Subsequent to adoption, these amendments are expected to result in an increase to the carrying value of the debt liability, and lower dilutive earnings per share, compared to the historical method of accounting.</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additional equity, debt or other financing in the future, which we may not be able to obtain on acceptable terms, or at all, and any additional financing may result in restrictions on our operations or substantial dilution to our stockholders.</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may need to raise funds in the future, for example, to develop new technologies, expand our business, respond to competitive pressures and make acquisitions. We may try to raise additional funds through public or private financings, strategic relationships or other arrangements. Although our existing credit facility limits our ability to incur additional indebtedness, these restrictions are subject to a number of qualifications and exceptions and may be amended with the consent of our lenders. Accordingly, under certain circumstances, we may incur substantial additional debt.</w:t>
      </w:r>
    </w:p>
    <w:p>
      <w:pPr>
        <w:spacing w:after="0" w:line="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ability to obtain debt or equity funding will depend on a number of factors, including market conditions, interest rates, our operating performance, our credit rating and investor interest. Additional funding may not be available to us on acceptable terms or at all. If adequate funds are not available, we may be required to reduce expenditures, including curtailing our growth strategies, foregoing acquisitions or reducing our business development efforts. If we succeed in raising additional funds through the issuance of equity or equity-linked securities, then existing stockholders could experience substantial dilution. If we raise additional funds through the issuance of debt securities or preferred stock, these new securities would have rights, preferences and privileges senior to those of the holders of our common stock. In addition, any such issuance could subject us to restrictive covenants relating to our capital raising activities and other financial and operational matters, which may make it more difficult for us to obtain additional capital and to pursue business opportunities, including potential acquisitions. Further, to the extent we incur additional indebtedness or such other obligations, the risks associated with our existing debt, including our possible inability to service our existing debt, would increase.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goodwill or indefinite-lived intangible assets become impaired, we may be required to record a significant charge to earnings.</w:t>
      </w:r>
    </w:p>
    <w:p>
      <w:pPr>
        <w:spacing w:after="0" w:line="12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a period in which any impairment of our goodwill or indefinite-lived intangible assets is determined, negatively impacting our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fair value of our equity investments decrease, we will be required to record a significant charge to earnings.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equity investments do not have readily determinable fair values and, upon acquisition, we elected the measurement alternative to value these securities. These equity securities are carried at cost and subsequently marked to market upon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observable market events with any gains or losses recorded in operating income in the consolidated statement of operations. If there is an observable market event that indicates a decrease in the fair value of our equity investments, we will be required to record a significant charge in our financial statements, negatively impacting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GAAP, 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spacing w:after="0" w:line="88" w:lineRule="exact"/>
        <w:rPr>
          <w:sz w:val="20"/>
          <w:szCs w:val="20"/>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or relocation expenses;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goodwill or intangible assets;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reduction in the useful lives of intangible assets acquired;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fair value of any contingent consideration;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charges to our operating results due to duplicative pre-merger activities;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charges to our operating results from expenses incurred to effect the acquisition;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charges to our operating results due to the expensing of certain stock awards assumed in an acquisition.</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 acquisitions with potential future contingent consideration payments, we assign a fair value to the contingent consideration and reassess this fair value quarterly. Increases or decreases based on the actual performance of the acquired company against the contingent consideration targets or other factors will cause decreases or increases, respectively, in our results of operations. These quarterly adjustments could have a material adverse effect on our results of operations. During 2021, 2020 and 2019, we incurred $(8.2) million, $5.3 million and $28.4 million, respectively, of contingent consideration expense due to the change in estimated fair value of the earnout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principal executive offices are located on approximately 176,000 square feet of office space in Charlotte, North Carolina under a lease that expires in 2036. We have an additional Charlotte office located on approximately 27,800 square feet under a lease that expires in 2024.</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Primarily as a result of our acquisitions in recent years, we also operate offices in: Charleston, South Carolina; Chicago, Illinois; Denver, Colorado; Jacksonville, Florida; New York City, New York; Rancho Cordova, California; San Mateo, California; Seattle, Washington; Tampa, Florida; Beachwood, Ohio; and Makarba, India.</w:t>
      </w:r>
    </w:p>
    <w:p>
      <w:pPr>
        <w:spacing w:after="0" w:line="8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Charlotte operations support all three of our segments: Home, Consumer and Insurance. Our Home segment is also supported by our San Mateo office. The Consumer segment has personnel in the Charleston, Chicago, Jacksonville, New York City, San Mateo, and Makarba offices. The Insurance segment has personnel in the Denver, New York City, Rancho Cordova, Tampa, Beachwood, and Seattle offices.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Arial" w:cs="Arial" w:eastAsia="Arial" w:hAnsi="Arial"/>
          <w:sz w:val="15"/>
          <w:szCs w:val="15"/>
          <w:i w:val="1"/>
          <w:iCs w:val="1"/>
          <w:color w:val="auto"/>
        </w:rPr>
        <w:t>See</w:t>
      </w:r>
      <w:r>
        <w:rPr>
          <w:rFonts w:ascii="Arial" w:cs="Arial" w:eastAsia="Arial" w:hAnsi="Arial"/>
          <w:sz w:val="15"/>
          <w:szCs w:val="15"/>
          <w:color w:val="auto"/>
        </w:rPr>
        <w:t xml:space="preserve"> Note 17</w:t>
      </w:r>
      <w:r>
        <w:rPr>
          <w:rFonts w:ascii="Arial" w:cs="Arial" w:eastAsia="Arial" w:hAnsi="Arial"/>
          <w:sz w:val="15"/>
          <w:szCs w:val="15"/>
          <w:b w:val="1"/>
          <w:bCs w:val="1"/>
          <w:color w:val="auto"/>
        </w:rPr>
        <w:t>—</w:t>
      </w:r>
      <w:r>
        <w:rPr>
          <w:rFonts w:ascii="Arial" w:cs="Arial" w:eastAsia="Arial" w:hAnsi="Arial"/>
          <w:sz w:val="15"/>
          <w:szCs w:val="15"/>
          <w:color w:val="auto"/>
        </w:rPr>
        <w:t>Contingencies and Note 21—Discontinued Operations in the notes to the consolidated financial statements included elsewhere in this report for a discussion of our current and recently settled litigation.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 Holders and Dividends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common stock is quoted on the Nasdaq Global Select Market under the ticker symbol "TREE". As of February 18, 2022, there were approximately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528 holders of record of our common stock.</w:t>
      </w:r>
    </w:p>
    <w:p>
      <w:pPr>
        <w:spacing w:after="0" w:line="10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no current intention to declare or pay cash dividends on our common stock in the foreseeable future. The declaration, payment and amount of future cash dividends, if any, will be at the discretion of our board of directors.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Performance Graph</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Set forth below is a line graph, for the period from December 31, 2016 through December 31, 2021,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61595</wp:posOffset>
            </wp:positionV>
            <wp:extent cx="5755005" cy="4779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5005" cy="47790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year ended December 31, 2021, we did not issue or sell any shares of our common stock or other equity securities in transactions that were not registered under the Securities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December 31, 2021, 334,253 shares of common stock were repurchased under the stock repurchase program. As of February 18, 2022, approximately $121.7 million is authorized for future share repurchases.</w:t>
      </w:r>
    </w:p>
    <w:p>
      <w:pPr>
        <w:spacing w:after="0" w:line="9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the LendingTree Seventh Amended and Restated 2008 Stock Plan approved by our stockholders on June 9, 2021 allows, and the LendingTree 2017 Inducement Grant Plan terminated by us in April 2021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2021, 8,637 shares were purchased related to these obligations under the LendingTree Seventh Amended and Restated 2008 Stock Plan and 1,085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about the Company's purchases of equity securities during the quarter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93"/>
              </w:rPr>
              <w:t>Total Number of</w:t>
            </w:r>
          </w:p>
        </w:tc>
        <w:tc>
          <w:tcPr>
            <w:tcW w:w="500" w:type="dxa"/>
            <w:vAlign w:val="bottom"/>
          </w:tcPr>
          <w:p>
            <w:pPr>
              <w:spacing w:after="0"/>
              <w:rPr>
                <w:sz w:val="14"/>
                <w:szCs w:val="14"/>
                <w:color w:val="auto"/>
              </w:rPr>
            </w:pPr>
          </w:p>
        </w:tc>
        <w:tc>
          <w:tcPr>
            <w:tcW w:w="2000" w:type="dxa"/>
            <w:vAlign w:val="bottom"/>
          </w:tcPr>
          <w:p>
            <w:pPr>
              <w:jc w:val="right"/>
              <w:ind w:right="622"/>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tcPr>
          <w:p>
            <w:pPr>
              <w:jc w:val="center"/>
              <w:ind w:left="142"/>
              <w:spacing w:after="0" w:line="133" w:lineRule="exact"/>
              <w:rPr>
                <w:sz w:val="20"/>
                <w:szCs w:val="20"/>
                <w:color w:val="auto"/>
              </w:rPr>
            </w:pPr>
            <w:r>
              <w:rPr>
                <w:rFonts w:ascii="Arial" w:cs="Arial" w:eastAsia="Arial" w:hAnsi="Arial"/>
                <w:sz w:val="14"/>
                <w:szCs w:val="14"/>
                <w:b w:val="1"/>
                <w:bCs w:val="1"/>
                <w:color w:val="auto"/>
                <w:w w:val="87"/>
              </w:rPr>
              <w:t>Shares Purchased as</w:t>
            </w:r>
          </w:p>
        </w:tc>
        <w:tc>
          <w:tcPr>
            <w:tcW w:w="500" w:type="dxa"/>
            <w:vAlign w:val="bottom"/>
          </w:tcPr>
          <w:p>
            <w:pPr>
              <w:spacing w:after="0"/>
              <w:rPr>
                <w:sz w:val="11"/>
                <w:szCs w:val="11"/>
                <w:color w:val="auto"/>
              </w:rPr>
            </w:pPr>
          </w:p>
        </w:tc>
        <w:tc>
          <w:tcPr>
            <w:tcW w:w="2000" w:type="dxa"/>
            <w:vAlign w:val="bottom"/>
          </w:tcPr>
          <w:p>
            <w:pPr>
              <w:jc w:val="center"/>
              <w:ind w:right="422"/>
              <w:spacing w:after="0" w:line="133" w:lineRule="exact"/>
              <w:rPr>
                <w:sz w:val="20"/>
                <w:szCs w:val="20"/>
                <w:color w:val="auto"/>
              </w:rPr>
            </w:pPr>
            <w:r>
              <w:rPr>
                <w:rFonts w:ascii="Arial" w:cs="Arial" w:eastAsia="Arial" w:hAnsi="Arial"/>
                <w:sz w:val="14"/>
                <w:szCs w:val="14"/>
                <w:b w:val="1"/>
                <w:bCs w:val="1"/>
                <w:color w:val="auto"/>
                <w:w w:val="90"/>
              </w:rPr>
              <w:t>Dollar Value of Shares</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vMerge w:val="restart"/>
          </w:tcPr>
          <w:p>
            <w:pPr>
              <w:jc w:val="center"/>
              <w:ind w:left="138"/>
              <w:spacing w:after="0"/>
              <w:rPr>
                <w:sz w:val="20"/>
                <w:szCs w:val="20"/>
                <w:color w:val="auto"/>
              </w:rPr>
            </w:pPr>
            <w:r>
              <w:rPr>
                <w:rFonts w:ascii="Arial" w:cs="Arial" w:eastAsia="Arial" w:hAnsi="Arial"/>
                <w:sz w:val="14"/>
                <w:szCs w:val="14"/>
                <w:b w:val="1"/>
                <w:bCs w:val="1"/>
                <w:color w:val="auto"/>
                <w:w w:val="91"/>
              </w:rPr>
              <w:t>Total Number of</w:t>
            </w:r>
          </w:p>
        </w:tc>
        <w:tc>
          <w:tcPr>
            <w:tcW w:w="480" w:type="dxa"/>
            <w:vAlign w:val="bottom"/>
          </w:tcPr>
          <w:p>
            <w:pPr>
              <w:spacing w:after="0"/>
              <w:rPr>
                <w:sz w:val="11"/>
                <w:szCs w:val="11"/>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Average Price</w:t>
            </w:r>
          </w:p>
        </w:tc>
        <w:tc>
          <w:tcPr>
            <w:tcW w:w="2260" w:type="dxa"/>
            <w:vAlign w:val="bottom"/>
            <w:gridSpan w:val="2"/>
          </w:tcPr>
          <w:p>
            <w:pPr>
              <w:jc w:val="center"/>
              <w:ind w:left="142"/>
              <w:spacing w:after="0" w:line="133" w:lineRule="exact"/>
              <w:rPr>
                <w:sz w:val="20"/>
                <w:szCs w:val="20"/>
                <w:color w:val="auto"/>
              </w:rPr>
            </w:pPr>
            <w:r>
              <w:rPr>
                <w:rFonts w:ascii="Arial" w:cs="Arial" w:eastAsia="Arial" w:hAnsi="Arial"/>
                <w:sz w:val="14"/>
                <w:szCs w:val="14"/>
                <w:b w:val="1"/>
                <w:bCs w:val="1"/>
                <w:color w:val="auto"/>
                <w:w w:val="94"/>
              </w:rPr>
              <w:t>Part of Publicly</w:t>
            </w:r>
          </w:p>
        </w:tc>
        <w:tc>
          <w:tcPr>
            <w:tcW w:w="500" w:type="dxa"/>
            <w:vAlign w:val="bottom"/>
          </w:tcPr>
          <w:p>
            <w:pPr>
              <w:spacing w:after="0"/>
              <w:rPr>
                <w:sz w:val="11"/>
                <w:szCs w:val="11"/>
                <w:color w:val="auto"/>
              </w:rPr>
            </w:pPr>
          </w:p>
        </w:tc>
        <w:tc>
          <w:tcPr>
            <w:tcW w:w="2000" w:type="dxa"/>
            <w:vAlign w:val="bottom"/>
          </w:tcPr>
          <w:p>
            <w:pPr>
              <w:jc w:val="center"/>
              <w:ind w:right="422"/>
              <w:spacing w:after="0" w:line="133" w:lineRule="exact"/>
              <w:rPr>
                <w:sz w:val="20"/>
                <w:szCs w:val="20"/>
                <w:color w:val="auto"/>
              </w:rPr>
            </w:pPr>
            <w:r>
              <w:rPr>
                <w:rFonts w:ascii="Arial" w:cs="Arial" w:eastAsia="Arial" w:hAnsi="Arial"/>
                <w:sz w:val="14"/>
                <w:szCs w:val="14"/>
                <w:b w:val="1"/>
                <w:bCs w:val="1"/>
                <w:color w:val="auto"/>
                <w:w w:val="91"/>
              </w:rPr>
              <w:t>that May Yet be</w:t>
            </w:r>
          </w:p>
        </w:tc>
        <w:tc>
          <w:tcPr>
            <w:tcW w:w="0" w:type="dxa"/>
            <w:vAlign w:val="bottom"/>
          </w:tcPr>
          <w:p>
            <w:pPr>
              <w:spacing w:after="0"/>
              <w:rPr>
                <w:sz w:val="1"/>
                <w:szCs w:val="1"/>
                <w:color w:val="auto"/>
              </w:rPr>
            </w:pPr>
          </w:p>
        </w:tc>
      </w:tr>
      <w:tr>
        <w:trPr>
          <w:trHeight w:val="133"/>
        </w:trPr>
        <w:tc>
          <w:tcPr>
            <w:tcW w:w="244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Period</w:t>
            </w:r>
          </w:p>
        </w:tc>
        <w:tc>
          <w:tcPr>
            <w:tcW w:w="20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260" w:type="dxa"/>
            <w:vAlign w:val="bottom"/>
            <w:gridSpan w:val="2"/>
          </w:tcPr>
          <w:p>
            <w:pPr>
              <w:jc w:val="center"/>
              <w:ind w:left="122"/>
              <w:spacing w:after="0" w:line="133" w:lineRule="exact"/>
              <w:rPr>
                <w:sz w:val="20"/>
                <w:szCs w:val="20"/>
                <w:color w:val="auto"/>
              </w:rPr>
            </w:pPr>
            <w:r>
              <w:rPr>
                <w:rFonts w:ascii="Arial" w:cs="Arial" w:eastAsia="Arial" w:hAnsi="Arial"/>
                <w:sz w:val="14"/>
                <w:szCs w:val="14"/>
                <w:b w:val="1"/>
                <w:bCs w:val="1"/>
                <w:color w:val="auto"/>
                <w:w w:val="89"/>
              </w:rPr>
              <w:t>Announced Plans or</w:t>
            </w:r>
          </w:p>
        </w:tc>
        <w:tc>
          <w:tcPr>
            <w:tcW w:w="500" w:type="dxa"/>
            <w:vAlign w:val="bottom"/>
          </w:tcPr>
          <w:p>
            <w:pPr>
              <w:spacing w:after="0"/>
              <w:rPr>
                <w:sz w:val="11"/>
                <w:szCs w:val="11"/>
                <w:color w:val="auto"/>
              </w:rPr>
            </w:pPr>
          </w:p>
        </w:tc>
        <w:tc>
          <w:tcPr>
            <w:tcW w:w="2000" w:type="dxa"/>
            <w:vAlign w:val="bottom"/>
          </w:tcPr>
          <w:p>
            <w:pPr>
              <w:jc w:val="center"/>
              <w:ind w:right="422"/>
              <w:spacing w:after="0" w:line="133" w:lineRule="exact"/>
              <w:rPr>
                <w:sz w:val="20"/>
                <w:szCs w:val="20"/>
                <w:color w:val="auto"/>
              </w:rPr>
            </w:pPr>
            <w:r>
              <w:rPr>
                <w:rFonts w:ascii="Arial" w:cs="Arial" w:eastAsia="Arial" w:hAnsi="Arial"/>
                <w:sz w:val="14"/>
                <w:szCs w:val="14"/>
                <w:b w:val="1"/>
                <w:bCs w:val="1"/>
                <w:color w:val="auto"/>
                <w:w w:val="89"/>
              </w:rPr>
              <w:t>Purchased Under the</w:t>
            </w:r>
          </w:p>
        </w:tc>
        <w:tc>
          <w:tcPr>
            <w:tcW w:w="0" w:type="dxa"/>
            <w:vAlign w:val="bottom"/>
          </w:tcPr>
          <w:p>
            <w:pPr>
              <w:spacing w:after="0"/>
              <w:rPr>
                <w:sz w:val="1"/>
                <w:szCs w:val="1"/>
                <w:color w:val="auto"/>
              </w:rPr>
            </w:pPr>
          </w:p>
        </w:tc>
      </w:tr>
      <w:tr>
        <w:trPr>
          <w:trHeight w:val="186"/>
        </w:trPr>
        <w:tc>
          <w:tcPr>
            <w:tcW w:w="2440" w:type="dxa"/>
            <w:vAlign w:val="bottom"/>
            <w:gridSpan w:val="2"/>
            <w:vMerge w:val="continue"/>
          </w:tcPr>
          <w:p>
            <w:pPr>
              <w:spacing w:after="0"/>
              <w:rPr>
                <w:sz w:val="16"/>
                <w:szCs w:val="16"/>
                <w:color w:val="auto"/>
              </w:rPr>
            </w:pPr>
          </w:p>
        </w:tc>
        <w:tc>
          <w:tcPr>
            <w:tcW w:w="2000" w:type="dxa"/>
            <w:vAlign w:val="bottom"/>
            <w:gridSpan w:val="2"/>
          </w:tcPr>
          <w:p>
            <w:pPr>
              <w:jc w:val="center"/>
              <w:ind w:left="138"/>
              <w:spacing w:after="0" w:line="186" w:lineRule="exact"/>
              <w:rPr>
                <w:sz w:val="20"/>
                <w:szCs w:val="20"/>
                <w:color w:val="auto"/>
              </w:rPr>
            </w:pPr>
            <w:r>
              <w:rPr>
                <w:rFonts w:ascii="Arial" w:cs="Arial" w:eastAsia="Arial" w:hAnsi="Arial"/>
                <w:sz w:val="14"/>
                <w:szCs w:val="14"/>
                <w:b w:val="1"/>
                <w:bCs w:val="1"/>
                <w:color w:val="auto"/>
                <w:w w:val="86"/>
              </w:rPr>
              <w:t xml:space="preserve">Shares Purchased </w:t>
            </w:r>
            <w:r>
              <w:rPr>
                <w:rFonts w:ascii="Arial" w:cs="Arial" w:eastAsia="Arial" w:hAnsi="Arial"/>
                <w:sz w:val="18"/>
                <w:szCs w:val="18"/>
                <w:b w:val="1"/>
                <w:bCs w:val="1"/>
                <w:color w:val="auto"/>
                <w:w w:val="86"/>
                <w:vertAlign w:val="superscript"/>
              </w:rPr>
              <w:t>(1)</w:t>
            </w:r>
          </w:p>
        </w:tc>
        <w:tc>
          <w:tcPr>
            <w:tcW w:w="48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 per Share</w:t>
            </w:r>
          </w:p>
        </w:tc>
        <w:tc>
          <w:tcPr>
            <w:tcW w:w="2260" w:type="dxa"/>
            <w:vAlign w:val="bottom"/>
            <w:gridSpan w:val="2"/>
          </w:tcPr>
          <w:p>
            <w:pPr>
              <w:jc w:val="center"/>
              <w:ind w:left="122"/>
              <w:spacing w:after="0" w:line="186"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8"/>
                <w:szCs w:val="18"/>
                <w:b w:val="1"/>
                <w:bCs w:val="1"/>
                <w:color w:val="auto"/>
                <w:w w:val="88"/>
                <w:vertAlign w:val="superscript"/>
              </w:rPr>
              <w:t>(2)</w:t>
            </w:r>
          </w:p>
        </w:tc>
        <w:tc>
          <w:tcPr>
            <w:tcW w:w="500" w:type="dxa"/>
            <w:vAlign w:val="bottom"/>
          </w:tcPr>
          <w:p>
            <w:pPr>
              <w:spacing w:after="0"/>
              <w:rPr>
                <w:sz w:val="16"/>
                <w:szCs w:val="16"/>
                <w:color w:val="auto"/>
              </w:rPr>
            </w:pPr>
          </w:p>
        </w:tc>
        <w:tc>
          <w:tcPr>
            <w:tcW w:w="2000" w:type="dxa"/>
            <w:vAlign w:val="bottom"/>
          </w:tcPr>
          <w:p>
            <w:pPr>
              <w:jc w:val="center"/>
              <w:ind w:right="422"/>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6"/>
        </w:trPr>
        <w:tc>
          <w:tcPr>
            <w:tcW w:w="2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jc w:val="right"/>
              <w:ind w:right="58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28"/>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10/1/21 - 10/31/21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25"/>
        </w:trPr>
        <w:tc>
          <w:tcPr>
            <w:tcW w:w="2340" w:type="dxa"/>
            <w:vAlign w:val="bottom"/>
          </w:tcPr>
          <w:p>
            <w:pPr>
              <w:ind w:left="340"/>
              <w:spacing w:after="0"/>
              <w:rPr>
                <w:sz w:val="20"/>
                <w:szCs w:val="20"/>
                <w:color w:val="auto"/>
              </w:rPr>
            </w:pPr>
            <w:r>
              <w:rPr>
                <w:rFonts w:ascii="Arial" w:cs="Arial" w:eastAsia="Arial" w:hAnsi="Arial"/>
                <w:sz w:val="18"/>
                <w:szCs w:val="18"/>
                <w:color w:val="auto"/>
              </w:rPr>
              <w:t>11/1/21 - 11/30/21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141,399</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128.22</w:t>
            </w:r>
          </w:p>
        </w:tc>
        <w:tc>
          <w:tcPr>
            <w:tcW w:w="100" w:type="dxa"/>
            <w:vAlign w:val="bottom"/>
          </w:tcPr>
          <w:p>
            <w:pPr>
              <w:spacing w:after="0"/>
              <w:rPr>
                <w:sz w:val="19"/>
                <w:szCs w:val="19"/>
                <w:color w:val="auto"/>
              </w:rPr>
            </w:pPr>
          </w:p>
        </w:tc>
        <w:tc>
          <w:tcPr>
            <w:tcW w:w="2160" w:type="dxa"/>
            <w:vAlign w:val="bottom"/>
          </w:tcPr>
          <w:p>
            <w:pPr>
              <w:jc w:val="right"/>
              <w:ind w:right="2"/>
              <w:spacing w:after="0"/>
              <w:rPr>
                <w:sz w:val="20"/>
                <w:szCs w:val="20"/>
                <w:color w:val="auto"/>
              </w:rPr>
            </w:pPr>
            <w:r>
              <w:rPr>
                <w:rFonts w:ascii="Arial" w:cs="Arial" w:eastAsia="Arial" w:hAnsi="Arial"/>
                <w:sz w:val="18"/>
                <w:szCs w:val="18"/>
                <w:color w:val="auto"/>
              </w:rPr>
              <w:t>141,225</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161,566</w:t>
            </w:r>
          </w:p>
        </w:tc>
        <w:tc>
          <w:tcPr>
            <w:tcW w:w="0" w:type="dxa"/>
            <w:vAlign w:val="bottom"/>
          </w:tcPr>
          <w:p>
            <w:pPr>
              <w:spacing w:after="0"/>
              <w:rPr>
                <w:sz w:val="1"/>
                <w:szCs w:val="1"/>
                <w:color w:val="auto"/>
              </w:rPr>
            </w:pPr>
          </w:p>
        </w:tc>
      </w:tr>
      <w:tr>
        <w:trPr>
          <w:trHeight w:val="225"/>
        </w:trPr>
        <w:tc>
          <w:tcPr>
            <w:tcW w:w="23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12/1/21 - 12/31/21</w:t>
            </w:r>
          </w:p>
        </w:tc>
        <w:tc>
          <w:tcPr>
            <w:tcW w:w="1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196,104</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193,028</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139,665</w:t>
            </w:r>
          </w:p>
        </w:tc>
        <w:tc>
          <w:tcPr>
            <w:tcW w:w="0" w:type="dxa"/>
            <w:vAlign w:val="bottom"/>
          </w:tcPr>
          <w:p>
            <w:pPr>
              <w:spacing w:after="0"/>
              <w:rPr>
                <w:sz w:val="1"/>
                <w:szCs w:val="1"/>
                <w:color w:val="auto"/>
              </w:rPr>
            </w:pPr>
          </w:p>
        </w:tc>
      </w:tr>
      <w:tr>
        <w:trPr>
          <w:trHeight w:val="225"/>
        </w:trPr>
        <w:tc>
          <w:tcPr>
            <w:tcW w:w="24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343,975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120.30</w:t>
            </w: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334,253</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139,665</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640" w:hanging="316"/>
        <w:spacing w:after="0" w:line="330" w:lineRule="auto"/>
        <w:tabs>
          <w:tab w:leader="none" w:pos="634" w:val="left"/>
        </w:tabs>
        <w:numPr>
          <w:ilvl w:val="0"/>
          <w:numId w:val="25"/>
        </w:numPr>
        <w:rPr>
          <w:rFonts w:ascii="Arial" w:cs="Arial" w:eastAsia="Arial" w:hAnsi="Arial"/>
          <w:sz w:val="15"/>
          <w:szCs w:val="15"/>
          <w:color w:val="auto"/>
        </w:rPr>
      </w:pPr>
      <w:r>
        <w:rPr>
          <w:rFonts w:ascii="Arial" w:cs="Arial" w:eastAsia="Arial" w:hAnsi="Arial"/>
          <w:sz w:val="15"/>
          <w:szCs w:val="15"/>
          <w:color w:val="auto"/>
        </w:rPr>
        <w:t>During October 2021, November 2021 and December 2021, 6,472 shares, 174 shares and 3,076 shares, respectively (totaling 9,722 shares), were purchased to satisfy federal and state withholding obligations of our employees upon the settlement of restricted stock units and restricted stock awards, all in accordance with our Seventh Amended and Restated 2008 Stock Plan and 2017 Inducement Grant Plan, as described above.</w:t>
      </w:r>
    </w:p>
    <w:p>
      <w:pPr>
        <w:spacing w:after="0" w:line="30" w:lineRule="exact"/>
        <w:rPr>
          <w:rFonts w:ascii="Arial" w:cs="Arial" w:eastAsia="Arial" w:hAnsi="Arial"/>
          <w:sz w:val="15"/>
          <w:szCs w:val="15"/>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4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LendingTree Loans business is presented as discontinued operations in the accompanying consolidated balance sheets, consolidated statements of operations and comprehensive income (loss)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Of our three reportable segments, the Consumer segment was most impacted as unsecured credit and the flow of capital in certain areas of the market have contracted. The impact to our Home and Insurance segments was much less substantial. We believe our three reporting segments have generally recovered from the impact of the pandemic.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February 28, 2020, we acquired an equity interest in Stash for $80.0 million. On January 6, 2021 we acquired an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 In the fourth quarter of 2021, we sold a portion of our investment in Stash for $46.3 million, realizing a gain on the sale of $27.9 million.</w:t>
      </w:r>
    </w:p>
    <w:p>
      <w:pPr>
        <w:spacing w:after="0" w:line="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January 10, 2019, we acquired ValuePenguin, a personal finance website that offers consumers objective analysis on a variety of financial topics from insurance to credit cards, for $106.2 million. Combining ValuePenguin’s high-quality content and search engine optimization capability with proprietary technology and insurance carrier network from QuoteWizard enables us to provide immense value to insurance carriers and agents. This strategic acquisition positions us to achieve further scale in the insurance space as well as the broader financial services industry.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4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2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According to Freddie Mac, 30-year mortgage interest rates steadily decreased from a monthly average of 4.46% in January 2019, ending at a monthly average of 3.72% in December 2019. The declining trend continued into 2020, largely as a result of stimulus efforts in response to the COVID-19 pandemic, beginning at a monthly average of 3.62% in January 2020 and ending at a monthly average of 2.68% in December 2020. During 2021, 30-year mortgage interest rates steadily increased from a monthly average of 2.74% in January 2021, ending at a monthly average of 3.10% in December.</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 full-year basis, 30-year mortgage interest rates decreased to an average 2.96% in 2021, compared to 3.11% and 3.94% in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391160</wp:posOffset>
            </wp:positionV>
            <wp:extent cx="5031105" cy="3020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31105" cy="302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Typically, as mortgage interest rates decline, there are more consumers in the marketplace seeking refinancings and, accordingly, the mix of mortgage origination dollars will move towards refinance mortgages. According to Mortgage Bankers Association ("MBA") data, total refinance origination dollars increased from 38% of total 2019 mortgage origination dollars to 60% in 2020, then remained relatively consistent at 59% in 2021 as a result of the general trend in average mortgage interest rates. Total refinance origination dollars increased by 109% in 2020 over 2019 and decreased by 11% in 2021 over 2020. Industry-wide mortgage origination dollars increased by 59% in 2020 over 2019 and decreased by 3% in 2021 over 2020.</w:t>
      </w:r>
    </w:p>
    <w:p>
      <w:pPr>
        <w:spacing w:after="0" w:line="45"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Looking forward, the MBA is projecting 30-year mortgage interest rates to increase slightly in 2022 to an average 4.0%. According to MBA projections, the mix of mortgage origination dollars is expected to move back towards purchase mortgages with the refinance share representing just 33% for 2022.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According to Fannie Mae data, existing-home sales in 2019 remained consistent with 2018 levels, which had decreased due to limited inventory of homes for sale and rising interest rates. In 2020, existing home sales grew by 6% over 2019, fueled by increased competition for low inventory as well as an increase in first-time home buyers. This trend continued into 2021 with existing home sales growing 9% over 2020. Fannie Mae expects a 5% decrease in existing home sales in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July 24, 2020, we issued $575.0 million aggregate principal amount of our 0.50% Convertible Senior Notes due July 15, 2025 and, in connection therewith, entered into Convertible Note Hedge and Warrant transactions with respect to our common stock.</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May 31, 2017, we issued $300.0 million aggregate principal amount of our 0.625% Convertible Senior Notes due June 1, 2022 and, in connection therewith, entered into Convertible Note Hedge and Warrant transactions with respect to our common stock. On July 24, 2020, a portion of the net proceeds from the issuance of the 2025 Notes was used to repurchase approximately $130.3 million principal amount of the 2022 Notes. A portion of the call spread transactions associated with the 2022 Notes was also terminated on July 24, 2020 in notional amounts corresponding to the principal amount of the 2022 Notes repurchased.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in the notes to the consolidated financial statements included elsewhere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principal executive office is located on approximately 176,000 square feet of office space in Charlotte, North Carolina under an approximate 15-year lease that commenced in the second quarter of 2021.</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With our expansion in North Carolina, in December 2016, we received a grant from the state that provides an aggregate amount up to $4.9 million in reimbursements through 2029 beginning in 2017 for investing in real estate and infrastructure in addition to increasing jobs in North Carolina at specific targeted levels through 2021,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an aggregate amount up to $8.4 million in reimbursements through 2032 beginning in 2021 for increasing jobs in North Carolina at specific targeted levels through 2024, and maintaining the jobs thereafter.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2021 and 2020</w:t>
      </w:r>
    </w:p>
    <w:p>
      <w:pPr>
        <w:spacing w:after="0" w:line="223" w:lineRule="exact"/>
        <w:rPr>
          <w:sz w:val="20"/>
          <w:szCs w:val="20"/>
          <w:color w:val="auto"/>
        </w:rPr>
      </w:pPr>
    </w:p>
    <w:p>
      <w:pPr>
        <w:ind w:right="380"/>
        <w:spacing w:after="0" w:line="321" w:lineRule="auto"/>
        <w:rPr>
          <w:sz w:val="20"/>
          <w:szCs w:val="20"/>
          <w:color w:val="auto"/>
        </w:rPr>
      </w:pPr>
      <w:r>
        <w:rPr>
          <w:rFonts w:ascii="Arial" w:cs="Arial" w:eastAsia="Arial" w:hAnsi="Arial"/>
          <w:sz w:val="15"/>
          <w:szCs w:val="15"/>
          <w:color w:val="auto"/>
        </w:rPr>
        <w:t xml:space="preserve">For information on fiscal 2019 results and similar comparisons, </w:t>
      </w:r>
      <w:r>
        <w:rPr>
          <w:rFonts w:ascii="Arial" w:cs="Arial" w:eastAsia="Arial" w:hAnsi="Arial"/>
          <w:sz w:val="15"/>
          <w:szCs w:val="15"/>
          <w:i w:val="1"/>
          <w:iCs w:val="1"/>
          <w:color w:val="auto"/>
        </w:rPr>
        <w:t>see</w:t>
      </w:r>
      <w:r>
        <w:rPr>
          <w:rFonts w:ascii="Arial" w:cs="Arial" w:eastAsia="Arial" w:hAnsi="Arial"/>
          <w:sz w:val="15"/>
          <w:szCs w:val="15"/>
          <w:color w:val="auto"/>
        </w:rPr>
        <w:t xml:space="preserve"> Item 7. Management's Discussion and Analysis of Financial Condition and Results of Operations—Results of Operations for the Years ended December 31, 2020 and 2019 of our Form 10-K for the fiscal year ended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6"/>
                <w:szCs w:val="16"/>
                <w:b w:val="1"/>
                <w:bCs w:val="1"/>
                <w:color w:val="auto"/>
                <w:w w:val="97"/>
              </w:rPr>
              <w:t>Year Ended December 31,</w:t>
            </w: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6"/>
                <w:szCs w:val="16"/>
                <w:b w:val="1"/>
                <w:bCs w:val="1"/>
                <w:color w:val="auto"/>
              </w:rPr>
              <w:t>2021 vs. 2020</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3"/>
                <w:szCs w:val="1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3"/>
                <w:szCs w:val="13"/>
                <w:color w:val="auto"/>
              </w:rPr>
            </w:pPr>
          </w:p>
        </w:tc>
        <w:tc>
          <w:tcPr>
            <w:tcW w:w="1260" w:type="dxa"/>
            <w:vAlign w:val="bottom"/>
          </w:tcPr>
          <w:p>
            <w:pPr>
              <w:jc w:val="right"/>
              <w:ind w:right="733"/>
              <w:spacing w:after="0" w:line="155"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52"/>
              <w:spacing w:after="0" w:line="155"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3"/>
          </w:tcPr>
          <w:p>
            <w:pPr>
              <w:jc w:val="right"/>
              <w:ind w:right="813"/>
              <w:spacing w:after="0"/>
              <w:rPr>
                <w:sz w:val="20"/>
                <w:szCs w:val="20"/>
                <w:color w:val="auto"/>
              </w:rPr>
            </w:pPr>
            <w:r>
              <w:rPr>
                <w:rFonts w:ascii="Arial" w:cs="Arial" w:eastAsia="Arial" w:hAnsi="Arial"/>
                <w:sz w:val="13"/>
                <w:szCs w:val="13"/>
                <w:b w:val="1"/>
                <w:bCs w:val="1"/>
                <w:i w:val="1"/>
                <w:iCs w:val="1"/>
                <w:color w:val="auto"/>
              </w:rPr>
              <w:t>(Dollars in thousands)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441,738</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320,992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120,746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329,945</w:t>
            </w:r>
          </w:p>
        </w:tc>
        <w:tc>
          <w:tcPr>
            <w:tcW w:w="34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253,198</w:t>
            </w:r>
          </w:p>
        </w:tc>
        <w:tc>
          <w:tcPr>
            <w:tcW w:w="30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76,747</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326,153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333,765</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(7,612)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2,035</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(1,372)</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1,098,499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909,990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188,509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7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9"/>
              </w:rPr>
              <w:t xml:space="preserve">Cost of revenue </w:t>
            </w:r>
            <w:r>
              <w:rPr>
                <w:rFonts w:ascii="Arial" w:cs="Arial" w:eastAsia="Arial" w:hAnsi="Arial"/>
                <w:sz w:val="18"/>
                <w:szCs w:val="18"/>
                <w:i w:val="1"/>
                <w:iCs w:val="1"/>
                <w:color w:val="auto"/>
                <w:w w:val="89"/>
              </w:rPr>
              <w:t>(exclusive of depreciation and amortization shown separately</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57,297</w:t>
            </w: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54,494</w:t>
            </w: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rPr>
              <w:t>2,803</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below)</w:t>
            </w: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773,990</w:t>
            </w:r>
          </w:p>
        </w:tc>
        <w:tc>
          <w:tcPr>
            <w:tcW w:w="34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617,404</w:t>
            </w:r>
          </w:p>
        </w:tc>
        <w:tc>
          <w:tcPr>
            <w:tcW w:w="30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156,586</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153,472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129,101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24,371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52,865</w:t>
            </w:r>
          </w:p>
        </w:tc>
        <w:tc>
          <w:tcPr>
            <w:tcW w:w="34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43,636</w:t>
            </w:r>
          </w:p>
        </w:tc>
        <w:tc>
          <w:tcPr>
            <w:tcW w:w="30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9,229</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17,910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14,201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3,709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42,738</w:t>
            </w:r>
          </w:p>
        </w:tc>
        <w:tc>
          <w:tcPr>
            <w:tcW w:w="34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53,078</w:t>
            </w:r>
          </w:p>
        </w:tc>
        <w:tc>
          <w:tcPr>
            <w:tcW w:w="30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(10,340)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5,327</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(13,576)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1,335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1,090,468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916,593</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173,875</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18"/>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8,031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14,634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222 %</w:t>
            </w: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10,567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123,272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376</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122,896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84,436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(42,527)</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126,963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299 %</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19,961</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(31,259)</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73,138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(22,566)</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95,704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424 %</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Loss from discontinued operations, net of tax</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(25,689)</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(21,666)</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69,115</w:t>
            </w: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(48,255)</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117,370</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243 %</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 increased in 2021 compared to 2020 due to increases in our Home and Consumer segments, partially offset by decreases in our Insurance segment.</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increased $76.7 million in 2021 from 2020, or 30%, primarily due to increases in our personal loans, small business loans products, and credit cards.</w:t>
      </w:r>
    </w:p>
    <w:p>
      <w:pPr>
        <w:spacing w:after="0" w:line="71" w:lineRule="exact"/>
        <w:rPr>
          <w:sz w:val="20"/>
          <w:szCs w:val="20"/>
          <w:color w:val="auto"/>
        </w:rPr>
      </w:pPr>
    </w:p>
    <w:p>
      <w:pPr>
        <w:ind w:right="440" w:firstLine="318"/>
        <w:spacing w:after="0" w:line="237" w:lineRule="auto"/>
        <w:rPr>
          <w:sz w:val="20"/>
          <w:szCs w:val="20"/>
          <w:color w:val="auto"/>
        </w:rPr>
      </w:pPr>
      <w:r>
        <w:rPr>
          <w:rFonts w:ascii="Arial" w:cs="Arial" w:eastAsia="Arial" w:hAnsi="Arial"/>
          <w:sz w:val="18"/>
          <w:szCs w:val="18"/>
          <w:color w:val="auto"/>
        </w:rPr>
        <w:t>Revenue from our personal loans product increased $43.6 million to $110.1 million in 2021 from $66.5 million in 2020, or 66%, primarily due to an increase in revenue earned per consumer, and an increase in the number of consumers completing request forms.</w:t>
      </w:r>
    </w:p>
    <w:p>
      <w:pPr>
        <w:spacing w:after="0" w:line="21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periods presented, no other products in our Consumer segment represented more than 10% of revenue; however, certain other Consumer products experienced notable changes. Revenue from our small business loans product increased $21.5 million in 2021 compared to 2020, due to loosening underwriting standards and improved flow of capital, as well as 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 in revenue earned per consumer. Revenue from our credit cards product increased $16.1 million in 2021 compared to 2020 due to an increase in the number of approvals and an increase in revenue earned per approval.</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 from our Insurance segment decreased $7.6 million to $326.2 million in 2021 from $333.8 million in 2020, or 2%, due to a decrease in revenue earned per consumer, partially offset by an increase in the number of consumers seeking insurance coverage.</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Home segment includes the following products: purchase mortgage, refinance mortgage, home equity loans and lines of credit, reverse mortgage loans, and real estate. Revenue from our Home segment increased $120.7 million in 2021 from 2020, or 38%, primarily due to increases in revenue from our refinance mortgage, purchase mortgage, and home equity loans products.</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Revenue from our refinance mortgage product increased $65.5 million in 2021 compared to 2020, primarily due to an increase in revenue earned per consumer, partially offset by a decrease in the number of consumers completing request forms. Revenue from our purchase mortgage product and our home equity loans and lines of credit product increased $24.5 million and $31.5 million, respectively, in 2021 compared to 2020. Revenue from our purchase mortgage product and home equity loans and lines of credit product increased due to a shift in both lender and consumer focus away from refinance products as well as an increase in revenue earned per consumer.</w:t>
      </w:r>
    </w:p>
    <w:p>
      <w:pPr>
        <w:spacing w:after="0" w:line="8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While we believe our three reportable segments have generally recovered from the impacts of the ongoing COVID-19 pandemic, we are continuously monitoring the impacts of the pandemic on the economy and any potential future impacts to our segment revenue.</w:t>
      </w:r>
    </w:p>
    <w:p>
      <w:pPr>
        <w:spacing w:after="0" w:line="7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Other category primarily includes revenue from the resale of online advertising space to third parties. Revenue in the Other category decreased $1.4 million in 2021 compared to 2020, as we ceased reselling online advertising space during the first quarter of 2020.</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Cost of revenue</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8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Cost of revenue increased in 2021 from 2020, primarily due to increases in compensation and benefits, website network hosting and server fees, and call center technology of $3.7 million, $1.5 million, and $1.5 million, respectively, partially offset by a $3.3 million decrease in credit card fees.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Cost of revenue as a percentage of revenue decreased to 5% in 2021 compared to 6% in 2020.</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Selling and marketing expense</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7" w:lineRule="exact"/>
        <w:rPr>
          <w:sz w:val="20"/>
          <w:szCs w:val="20"/>
          <w:color w:val="auto"/>
        </w:rPr>
      </w:pPr>
    </w:p>
    <w:p>
      <w:pPr>
        <w:ind w:right="480" w:firstLine="318"/>
        <w:spacing w:after="0" w:line="230" w:lineRule="auto"/>
        <w:rPr>
          <w:sz w:val="20"/>
          <w:szCs w:val="20"/>
          <w:color w:val="auto"/>
        </w:rPr>
      </w:pPr>
      <w:r>
        <w:rPr>
          <w:rFonts w:ascii="Arial" w:cs="Arial" w:eastAsia="Arial" w:hAnsi="Arial"/>
          <w:sz w:val="18"/>
          <w:szCs w:val="18"/>
          <w:color w:val="auto"/>
        </w:rPr>
        <w:t>The increase in selling and marketing expense in 2021 compared to 2020 was primarily due to the increases in advertising and promotional expense discussed below. Additionally, compensation and benefits increased $7.7 million in 2021 compared to 2020.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4"/>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380" w:type="dxa"/>
            <w:vAlign w:val="bottom"/>
          </w:tcPr>
          <w:p>
            <w:pPr>
              <w:spacing w:after="0"/>
              <w:rPr>
                <w:sz w:val="18"/>
                <w:szCs w:val="18"/>
                <w:color w:val="auto"/>
              </w:rPr>
            </w:pPr>
          </w:p>
        </w:tc>
        <w:tc>
          <w:tcPr>
            <w:tcW w:w="2360" w:type="dxa"/>
            <w:vAlign w:val="bottom"/>
            <w:gridSpan w:val="2"/>
          </w:tcPr>
          <w:p>
            <w:pPr>
              <w:jc w:val="right"/>
              <w:ind w:right="835"/>
              <w:spacing w:after="0"/>
              <w:rPr>
                <w:sz w:val="20"/>
                <w:szCs w:val="20"/>
                <w:color w:val="auto"/>
              </w:rPr>
            </w:pPr>
            <w:r>
              <w:rPr>
                <w:rFonts w:ascii="Arial" w:cs="Arial" w:eastAsia="Arial" w:hAnsi="Arial"/>
                <w:sz w:val="16"/>
                <w:szCs w:val="16"/>
                <w:b w:val="1"/>
                <w:bCs w:val="1"/>
                <w:color w:val="auto"/>
              </w:rPr>
              <w:t>2021 vs. 2020</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516"/>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55"/>
              <w:spacing w:after="0" w:line="155" w:lineRule="exact"/>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555"/>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85"/>
              </w:rPr>
              <w:t>Change</w:t>
            </w: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(Dollars in thousands)</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Online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687,976</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539,910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148,066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5180" w:type="dxa"/>
            <w:vAlign w:val="bottom"/>
          </w:tcPr>
          <w:p>
            <w:pPr>
              <w:ind w:left="140"/>
              <w:spacing w:after="0"/>
              <w:rPr>
                <w:sz w:val="20"/>
                <w:szCs w:val="20"/>
                <w:color w:val="auto"/>
              </w:rPr>
            </w:pPr>
            <w:r>
              <w:rPr>
                <w:rFonts w:ascii="Arial" w:cs="Arial" w:eastAsia="Arial" w:hAnsi="Arial"/>
                <w:sz w:val="18"/>
                <w:szCs w:val="18"/>
                <w:color w:val="auto"/>
              </w:rPr>
              <w:t>Broadcast</w:t>
            </w:r>
          </w:p>
        </w:tc>
        <w:tc>
          <w:tcPr>
            <w:tcW w:w="34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8,738</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13,415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(4,677)</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19,925</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5,502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advertising expense</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716,639</w:t>
            </w: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567,748</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148,891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adjusted our advertising expenditures in 2021 compared to 2020 in response to changes in Network Partner demand on our marketplace as they recovered from the COVID-19 pandemic discussed above. We will continue to adjust selling and marketing expenditures dynamically in relation to this and in response to anticipated revenue opportunities.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 expense</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 and administrative expense increased in 2021 compared to 2020, primarily due to increases in compensation and benefits, technology expense, and facilities expense of $18.0 million, $4.0 million, and $2.1 million, respectively. This was partially offset by decrease in professional fees of $2.3 million. Losses on the disposal of assets also increased $2.3 million in 2021 compared to 2020.</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Non-cash compensation expense within general and administrative expense increased in 2021, which resulted in reductions in net income from continuing operations in 2021 compared to historical periods. For additional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and administrative expense as a percentage of revenue remained consistent at 14% for each of 2021 and 2020.</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Product development</w:t>
      </w:r>
    </w:p>
    <w:p>
      <w:pPr>
        <w:spacing w:after="0" w:line="11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Product development expense increased in 2021 compared to 2020 as we continued to invest in internal development of new and enhanced features, functionality and business opportunities that we believe will enable us to better and more fully serve consumers and Network Partners.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Depreciation</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increase in depreciation expense in 2021 compared to 2020 was primarily the result of higher investment in internally developed software in recent years, to support the growth of our business.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Contingent consideration</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2021, we recorded aggregate contingent consideration gains of $8.2 million due to adjustments in the estimated fair value of the earnout payment related to the QuoteWizard acquisition for which the earnout period ended in 2021.</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2020, we recorded aggregate contingent consideration expense of $5.3 million due to adjustments in the estimated fair value of the earnout payments related to our recent acquisitions. For 2020, the net contingent consideration expense for the QuoteWizard, Ovation, and SnapCap acquisitions was $4.0 million, $1.3 million and $0.1 million, respectively.</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Interest expense</w:t>
      </w:r>
    </w:p>
    <w:p>
      <w:pPr>
        <w:spacing w:after="0" w:line="1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Interest expense increased in 2021 compared to 2020 primarily due to the issuance of the 0.50% Convertible Senior Notes due July 15, 2025 (the “2025 Notes”) as well as the partial repurchase of the 2022 Notes in July 2020. Interest expense was recognized on the 2025 Notes for the entire year of 2021, compared to the partial period in 2020. This incremental interest expense was partially offset by lower interest expense on the 2022 Notes in 2021 compared to 2020 as a result of the July 2020 partial repurchase of the notes. The overall increase was further offset by the loss on debt extinguishment of $7.8 million recognized in July 2020, noted above.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for additional information on the issuance of the 2025 Notes and the partial repurchase of the 2022 Notes.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Income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2021, we sold a portion of our investment in Stash and realized a gain of $27.9 million. Additionally, we recorded unrealized gains of $95.4 million as a result of an adjustment to the fair value of the Stash equity securities still held by us based on observable market events.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Income tax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2"/>
          </w:tcPr>
          <w:p>
            <w:pPr>
              <w:ind w:left="780"/>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06"/>
        </w:trPr>
        <w:tc>
          <w:tcPr>
            <w:tcW w:w="66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2021</w:t>
            </w:r>
          </w:p>
        </w:tc>
        <w:tc>
          <w:tcPr>
            <w:tcW w:w="1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7"/>
                <w:szCs w:val="17"/>
                <w:color w:val="auto"/>
              </w:rPr>
            </w:pPr>
          </w:p>
        </w:tc>
      </w:tr>
      <w:tr>
        <w:trPr>
          <w:trHeight w:val="205"/>
        </w:trPr>
        <w:tc>
          <w:tcPr>
            <w:tcW w:w="6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20" w:type="dxa"/>
            <w:vAlign w:val="bottom"/>
            <w:gridSpan w:val="3"/>
          </w:tcPr>
          <w:p>
            <w:pPr>
              <w:jc w:val="right"/>
              <w:ind w:right="575"/>
              <w:spacing w:after="0"/>
              <w:rPr>
                <w:sz w:val="20"/>
                <w:szCs w:val="20"/>
                <w:color w:val="auto"/>
              </w:rPr>
            </w:pPr>
            <w:r>
              <w:rPr>
                <w:rFonts w:ascii="Arial" w:cs="Arial" w:eastAsia="Arial" w:hAnsi="Arial"/>
                <w:sz w:val="16"/>
                <w:szCs w:val="16"/>
                <w:i w:val="1"/>
                <w:iCs w:val="1"/>
                <w:color w:val="auto"/>
              </w:rPr>
              <w:t>(in thousands, except percentages)</w:t>
            </w:r>
          </w:p>
        </w:tc>
        <w:tc>
          <w:tcPr>
            <w:tcW w:w="340" w:type="dxa"/>
            <w:vAlign w:val="bottom"/>
          </w:tcPr>
          <w:p>
            <w:pPr>
              <w:spacing w:after="0"/>
              <w:rPr>
                <w:sz w:val="17"/>
                <w:szCs w:val="17"/>
                <w:color w:val="auto"/>
              </w:rPr>
            </w:pPr>
          </w:p>
        </w:tc>
      </w:tr>
      <w:tr>
        <w:trPr>
          <w:trHeight w:val="228"/>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(11,298)</w:t>
            </w:r>
          </w:p>
        </w:tc>
        <w:tc>
          <w:tcPr>
            <w:tcW w:w="14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19,961</w:t>
            </w:r>
          </w:p>
        </w:tc>
        <w:tc>
          <w:tcPr>
            <w:tcW w:w="340" w:type="dxa"/>
            <w:vAlign w:val="bottom"/>
            <w:shd w:val="clear" w:color="auto" w:fill="CCEEFF"/>
          </w:tcPr>
          <w:p>
            <w:pPr>
              <w:spacing w:after="0"/>
              <w:rPr>
                <w:sz w:val="19"/>
                <w:szCs w:val="19"/>
                <w:color w:val="auto"/>
              </w:rPr>
            </w:pPr>
          </w:p>
        </w:tc>
      </w:tr>
      <w:tr>
        <w:trPr>
          <w:trHeight w:val="225"/>
        </w:trPr>
        <w:tc>
          <w:tcPr>
            <w:tcW w:w="668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Effective tax rate</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i w:val="1"/>
                <w:iCs w:val="1"/>
                <w:color w:val="auto"/>
              </w:rPr>
              <w:t>13.4</w:t>
            </w:r>
          </w:p>
        </w:tc>
        <w:tc>
          <w:tcPr>
            <w:tcW w:w="148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i w:val="1"/>
                <w:iCs w:val="1"/>
                <w:color w:val="auto"/>
              </w:rPr>
              <w:t>46.9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2021, the effective tax rate varied from the federal statutory rate of 21% in part due to the benefit derived from excess tax deductions from exercise of stock options of $11.7 million, including state taxes and from research and experimentation ("R&amp;D") tax credits of $3.2 million, partially offset by expense due to nondeductible executive compensation of $3.1 million and incremental valuation allowance on state net operating losses of $0.6 million, primarily due to state legislative changes.</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2020, the effective tax rate varied from the federal statutory rate of 21% in part due to the benefit derived from excess tax deductions from the vesting of restricted stock and exercise of stock options of $2.5 million, including state taxes. The effective tax rate for 2020 was also impacted by a tax benefit of $6.1 million for the impact of the CARES Act, as described below.</w:t>
      </w:r>
    </w:p>
    <w:p>
      <w:pPr>
        <w:spacing w:after="0" w:line="8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us, including, but not limited to, modifications for net operating losses, accelerated timeframe for refunds associated with prior minimum taxes and modifications of the limitation on business interest.</w:t>
      </w:r>
    </w:p>
    <w:p>
      <w:pPr>
        <w:spacing w:after="0" w:line="6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revalued deferred tax assets related to net operating losses in light of the changes in the CARES Act and recorded a net tax benefit of $6.1 million during 2020. These deferred tax assets have been revalued, as they have been carried back to 2016 and 2017, which are tax periods prior to the TCJA when the federal statutory tax rate was 35% versus the 21% federal statutory tax rate in effect after the enactment of the TCJA.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Discontinued Operations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HLC bankruptcy, a bar date for claims against HLC was set, establishing a deadline for all HLC's creditors to assert any claim they may have had against HLC. Distributions were made to holders of allowed claims deemed timely filed. After all distributions to creditors were made and HLC's Chapter 7 bankruptcy estate was fully administered, the HLC bankruptcy case was closed on July 14, 2021.</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legal proceedings.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legal proceedings against LendingTree, Inc. or LendingTree, LLC that arose due to the LendingTree Loans business or the HLC bankruptcy filing.</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21—Discontinued Operations to the consolidated financial statements included elsewhere in this report for more information,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effect of HLC’s bankruptcy filing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Segment Profit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457"/>
              <w:spacing w:after="0"/>
              <w:rPr>
                <w:sz w:val="20"/>
                <w:szCs w:val="20"/>
                <w:color w:val="auto"/>
              </w:rPr>
            </w:pPr>
            <w:r>
              <w:rPr>
                <w:rFonts w:ascii="Arial" w:cs="Arial" w:eastAsia="Arial" w:hAnsi="Arial"/>
                <w:sz w:val="16"/>
                <w:szCs w:val="16"/>
                <w:b w:val="1"/>
                <w:bCs w:val="1"/>
                <w:color w:val="auto"/>
              </w:rPr>
              <w:t>2021 vs. 2020</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vMerge w:val="restart"/>
          </w:tcPr>
          <w:p>
            <w:pPr>
              <w:jc w:val="right"/>
              <w:ind w:right="594"/>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5"/>
                <w:szCs w:val="15"/>
                <w:color w:val="auto"/>
              </w:rPr>
            </w:pPr>
          </w:p>
        </w:tc>
        <w:tc>
          <w:tcPr>
            <w:tcW w:w="1300" w:type="dxa"/>
            <w:vAlign w:val="bottom"/>
            <w:vMerge w:val="restart"/>
          </w:tcPr>
          <w:p>
            <w:pPr>
              <w:jc w:val="right"/>
              <w:ind w:right="676"/>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5"/>
                <w:szCs w:val="15"/>
                <w:color w:val="auto"/>
              </w:rPr>
            </w:pPr>
          </w:p>
        </w:tc>
        <w:tc>
          <w:tcPr>
            <w:tcW w:w="1260" w:type="dxa"/>
            <w:vAlign w:val="bottom"/>
          </w:tcPr>
          <w:p>
            <w:pPr>
              <w:jc w:val="right"/>
              <w:ind w:right="695"/>
              <w:spacing w:after="0" w:line="181" w:lineRule="exact"/>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w w:val="88"/>
              </w:rPr>
              <w:t>Change</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00" w:type="dxa"/>
            <w:vAlign w:val="bottom"/>
            <w:gridSpan w:val="3"/>
          </w:tcPr>
          <w:p>
            <w:pPr>
              <w:jc w:val="right"/>
              <w:ind w:right="1115"/>
              <w:spacing w:after="0"/>
              <w:rPr>
                <w:sz w:val="20"/>
                <w:szCs w:val="20"/>
                <w:color w:val="auto"/>
              </w:rPr>
            </w:pPr>
            <w:r>
              <w:rPr>
                <w:rFonts w:ascii="Arial" w:cs="Arial" w:eastAsia="Arial" w:hAnsi="Arial"/>
                <w:sz w:val="13"/>
                <w:szCs w:val="13"/>
                <w:b w:val="1"/>
                <w:bCs w:val="1"/>
                <w:i w:val="1"/>
                <w:iCs w:val="1"/>
                <w:color w:val="auto"/>
              </w:rPr>
              <w:t>(Dollars in thousands)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Home</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153,352</w:t>
            </w: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132,123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21,229</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80" w:type="dxa"/>
            <w:vAlign w:val="bottom"/>
          </w:tcPr>
          <w:p>
            <w:pPr>
              <w:ind w:left="460"/>
              <w:spacing w:after="0"/>
              <w:rPr>
                <w:sz w:val="20"/>
                <w:szCs w:val="20"/>
                <w:color w:val="auto"/>
              </w:rPr>
            </w:pPr>
            <w:r>
              <w:rPr>
                <w:rFonts w:ascii="Arial" w:cs="Arial" w:eastAsia="Arial" w:hAnsi="Arial"/>
                <w:sz w:val="18"/>
                <w:szCs w:val="18"/>
                <w:color w:val="auto"/>
              </w:rPr>
              <w:t>Consumer</w:t>
            </w:r>
          </w:p>
        </w:tc>
        <w:tc>
          <w:tcPr>
            <w:tcW w:w="64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143,497</w:t>
            </w:r>
          </w:p>
        </w:tc>
        <w:tc>
          <w:tcPr>
            <w:tcW w:w="500" w:type="dxa"/>
            <w:vAlign w:val="bottom"/>
          </w:tcPr>
          <w:p>
            <w:pPr>
              <w:spacing w:after="0"/>
              <w:rPr>
                <w:sz w:val="19"/>
                <w:szCs w:val="19"/>
                <w:color w:val="auto"/>
              </w:rPr>
            </w:pPr>
          </w:p>
        </w:tc>
        <w:tc>
          <w:tcPr>
            <w:tcW w:w="1300" w:type="dxa"/>
            <w:vAlign w:val="bottom"/>
          </w:tcPr>
          <w:p>
            <w:pPr>
              <w:jc w:val="right"/>
              <w:ind w:right="196"/>
              <w:spacing w:after="0"/>
              <w:rPr>
                <w:sz w:val="20"/>
                <w:szCs w:val="20"/>
                <w:color w:val="auto"/>
              </w:rPr>
            </w:pPr>
            <w:r>
              <w:rPr>
                <w:rFonts w:ascii="Arial" w:cs="Arial" w:eastAsia="Arial" w:hAnsi="Arial"/>
                <w:sz w:val="18"/>
                <w:szCs w:val="18"/>
                <w:color w:val="auto"/>
              </w:rPr>
              <w:t>106,890</w:t>
            </w:r>
          </w:p>
        </w:tc>
        <w:tc>
          <w:tcPr>
            <w:tcW w:w="340" w:type="dxa"/>
            <w:vAlign w:val="bottom"/>
          </w:tcPr>
          <w:p>
            <w:pPr>
              <w:spacing w:after="0"/>
              <w:rPr>
                <w:sz w:val="19"/>
                <w:szCs w:val="19"/>
                <w:color w:val="auto"/>
              </w:rPr>
            </w:pPr>
          </w:p>
        </w:tc>
        <w:tc>
          <w:tcPr>
            <w:tcW w:w="1260" w:type="dxa"/>
            <w:vAlign w:val="bottom"/>
          </w:tcPr>
          <w:p>
            <w:pPr>
              <w:jc w:val="right"/>
              <w:ind w:right="255"/>
              <w:spacing w:after="0"/>
              <w:rPr>
                <w:sz w:val="20"/>
                <w:szCs w:val="20"/>
                <w:color w:val="auto"/>
              </w:rPr>
            </w:pPr>
            <w:r>
              <w:rPr>
                <w:rFonts w:ascii="Arial" w:cs="Arial" w:eastAsia="Arial" w:hAnsi="Arial"/>
                <w:sz w:val="18"/>
                <w:szCs w:val="18"/>
                <w:color w:val="auto"/>
              </w:rPr>
              <w:t>36,607</w:t>
            </w:r>
          </w:p>
        </w:tc>
        <w:tc>
          <w:tcPr>
            <w:tcW w:w="940" w:type="dxa"/>
            <w:vAlign w:val="bottom"/>
          </w:tcPr>
          <w:p>
            <w:pPr>
              <w:jc w:val="right"/>
              <w:ind w:right="117"/>
              <w:spacing w:after="0"/>
              <w:rPr>
                <w:sz w:val="20"/>
                <w:szCs w:val="20"/>
                <w:color w:val="auto"/>
              </w:rPr>
            </w:pPr>
            <w:r>
              <w:rPr>
                <w:rFonts w:ascii="Arial" w:cs="Arial" w:eastAsia="Arial" w:hAnsi="Arial"/>
                <w:sz w:val="18"/>
                <w:szCs w:val="18"/>
                <w:color w:val="auto"/>
              </w:rPr>
              <w:t>34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Insurance</w:t>
            </w: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113,464</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131,142</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(17,678)</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53</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(682)</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735</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108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Segment profit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410,366</w:t>
            </w:r>
          </w:p>
        </w:tc>
        <w:tc>
          <w:tcPr>
            <w:tcW w:w="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369,473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b w:val="1"/>
                <w:bCs w:val="1"/>
                <w:color w:val="auto"/>
              </w:rPr>
              <w:t>40,893</w:t>
            </w: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22— Segment Information in the notes to the consolidated financial statements for additional information on segments and a reconciliation of segment profit to pre-tax income from continuing operations.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HOME</w:t>
      </w:r>
    </w:p>
    <w:p>
      <w:pPr>
        <w:spacing w:after="0" w:line="11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The Home segment had an increase in revenue and segment profit of 38% and 16%, respectively in 2021 compared to 2020. Our unit economics steadily improved throughout the year, with increases in revenue per lead for refinance, purchase and home equity in 2021 compared to 2020. Mortgage rates have risen from historic lows and refinance volumes have subsequently declined. The purchase market remains competitive as a national home inventory shortage and lower affordability impact purchase application rates. In this type of environment our lender partners rely even more on LendingTree to help meet their origination goals. We continue to look for opportunities to optimize towards higher converting products such as cash-out refinance and home equity loans, as our partners are focused on these products. The average home with a mortgage has increased its available equity from a year ago. As interest rates have risen broadly from all-time lows, loans secured with home equity represent the lowest cost source of financing for most consumers. We continue to focus on improving the consumer experience to increase repeat users, cross-sell, and conversion rates. This will allow us to increase our reach and better align the right borrowers to the right experiences based on their readiness to transact.</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CONSUMER</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Consumer segment grew steadily throughout the year, generating revenue and segment profit growth of 30% and 34%, respectively, in 2021 compared to 2020. Personal loans and small business revenue in the fourth quarter of 2021 returned to 2019 levels and we are forecasting strong growth to continue in 2022, while credit card is experiencing a slower rebound. As we add new lending partners to the TreeQual platform, we anticipate a significantly improved customer experience that should drive increased conversion rates, margins, and pace of revenue growth in both credit card and personal loans.</w:t>
      </w:r>
    </w:p>
    <w:p>
      <w:pPr>
        <w:spacing w:after="0" w:line="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Demand for the personal loans continues to grow as consumer savings rates decline with the end of government stimulus programs and higher consumer spending. Our partner network has grown in 2021 compared to 2020, and we maintain a strong pipeline of new lenders looking to onboard. The addition of TreeQual to the personal loans product and our continued investment in the down funnel experience should continue to push close rates higher and increase monetization.</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credit card business continues its recovery from pandemic lows. Issuers remain aggressive with the introduction of new cards and features, and we have expanded our partner network. Margins in the credit card business continue to lag pre-pandemic levels. We are working to diversify our marketing mix, actively pursuing more profitable marketing channels and partnerships to expand our reach and attract more consumers, which should lead to improved unit economics over time.</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small business product has been consistently growing, and we expect that to continue in 2022. We launched our Premium Marketplace offering in the fourth quarter of 2021, which led to increased conversions and higher revenue per referral from enhanced customer tiering. Volume increased as our concierge model helps small business owners find the right financing options to fit their unique business needs. We expect these positive trends to continue in 2022 as we focus on product diversification, optimization of customer matching by segment, and cross-sell to unlock additional marketing opportunities.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INSURANCE</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claims market for our carrier partners was challenging in the last half of 2021, driving insurance revenue down 2% in 2021 from 2020 and segment profit down 13%. Property and Casualty ("P&amp;C") carriers reduced marketing budgets as they incurred significantly higher loss ratios, but we believe this down cycle may be behind us. Although the dynamic remains fluid, we expect the business to return to a normalized operating environment by mid-year. In the face of the overall industry challenge, we are committed to capturing additional share of carrier budgets by focusing on conversion rate and lead quality,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which will benefit results when carriers look to aggressively acquire new customers. Consumer demand, as measured by traffic to our sites, remains robust and continued to strengthen into year end. We expect this trend to continue as significant rate increases kicks-off a historic cycle of drivers shopping for new auto policies.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made significant progress expanding our P&amp;C Agency, adding P&amp;C carriers to the platform and increasing our agent base, driving growth in policies sold and written premium in our direct-to-consumer channel. Providing bindable insurance quotes improves the consumer experience and increases conversion rates, and aligns well with our strategy of improving customer fulfillment across our platform.</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Medicare Agency has scaled nicely, with growth in written policies of 111% in 2021 compared to 2020 as we invested in additional training while managing our agent count responsibly. Exiting our second Annual Enrollment Period, we continue to evaluate our performance and look for ways to improve unit economics through marketing effectiveness and close rates. We have observed the challenges increased customer churn and lower policy persistency have created for competitors in the space. We will only scale this business to the extent we can do so with attractive targeted returns.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Definition of Adjusted EBITDA</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and (8)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One-Time Items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One-time items for the year ended December 31, 2020 consisted of expenses incurred in connection with a secondary public offering of our common stock by our largest shareholder, for which we did not receive any proceeds. There are no adjustments for one-time items for the year ended December 31, 2021.</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is a reconciliation of net income (loss) from continuing operations to Adjusted EBITDA.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6"/>
                <w:szCs w:val="16"/>
                <w:b w:val="1"/>
                <w:bCs w:val="1"/>
                <w:color w:val="auto"/>
              </w:rPr>
              <w:t>Year Ended December 31,</w:t>
            </w:r>
          </w:p>
        </w:tc>
      </w:tr>
      <w:tr>
        <w:trPr>
          <w:trHeight w:val="206"/>
        </w:trPr>
        <w:tc>
          <w:tcPr>
            <w:tcW w:w="8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178"/>
        </w:trPr>
        <w:tc>
          <w:tcPr>
            <w:tcW w:w="8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73,138</w:t>
            </w:r>
          </w:p>
        </w:tc>
        <w:tc>
          <w:tcPr>
            <w:tcW w:w="52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(22,566)</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42,738</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53,078</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17,910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14,201</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3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3,465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investments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(123,272)</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68,555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53,733</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of secondary public offering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5,327</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392</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(943)</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46,867</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r>
      <w:tr>
        <w:trPr>
          <w:trHeight w:val="225"/>
        </w:trPr>
        <w:tc>
          <w:tcPr>
            <w:tcW w:w="8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11,298</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(19,961)</w:t>
            </w:r>
          </w:p>
        </w:tc>
      </w:tr>
      <w:tr>
        <w:trPr>
          <w:trHeight w:val="226"/>
        </w:trPr>
        <w:tc>
          <w:tcPr>
            <w:tcW w:w="8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134,691</w:t>
            </w:r>
          </w:p>
        </w:tc>
        <w:tc>
          <w:tcPr>
            <w:tcW w:w="5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123,704</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For information on fiscal 2019 results and similar comparisons,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Management's Discussion and Analysis of Financial Condition and Results of Operations—Financial Position, Liquidity and Capital Resources of our Form 10-K for the fiscal year ended December 31, 2020.</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we had $251.2 million of cash and cash equivalents, compared to $169.9 million of cash and cash equivalents as of December 31, 2020.</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credit facility described below is an additional potential source of liquidity. We will continue to monitor the impact of the ongoing COVID-19 pandemic on our liquidity and capital resources.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Notable transactions affecting cash and cash equivalents during the reported periods are as follows: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2021</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2021, we repurchased an aggregate of 334,253 shares of our common stock pursuant to a stock repurchase program for $40.0 million.</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In the first quarter of 2021, we acquired an additional equity interest in Stash for $1.2 million. In the fourth quarter of 2021, we sold a portion of our Stash equity securities to a third party for $46.3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8—Equity Investment to the consolidated financial statements included elsewhere in this report for additional information on the equity interest in Stash.</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2020</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2020, we made litigation settlement payments of $26.5 million to the ResCap Liquidating Trust ("ResCap") and $36.0 million to the HLC bankruptcy Trustee for the matters noted in Note 21—Discontinued Operations. In October 2020, due to the timing of distributions from the HLC bankruptcy estate, we were required to make a further payment of $6.4 million to ResCap. In 2021, we received an $8.6 million reimbursement from the HLC bankruptcy estate related to the ResCap payments.</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July 2020, we issued $575.0 million of our 2025 Notes for net proceeds of approximately $559.9 million. We used approximately $63.0 million of the net proceeds to enter into Convertible Note Hedge and Warrant transactions. Further, we used $234.0 million of the net proceeds to repurchase approximately $130.3 million principal amount of our 2022 Notes. To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extent of the repurchases of the 2022 Notes, we received approximately $15.6 million as a result of terminating a corresponding portion of the Convertible Note Hedge and Warrant transactions entered into on May 31, 2017.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for additional information.</w:t>
      </w:r>
    </w:p>
    <w:p>
      <w:pPr>
        <w:spacing w:after="0" w:line="7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In February 2020, we acquired an equity interest in Stash for $80.0 million. The investment was funded through $80.0 million drawn on our Amended Revolving Credit Facility. </w:t>
      </w:r>
      <w:r>
        <w:rPr>
          <w:rFonts w:ascii="Arial" w:cs="Arial" w:eastAsia="Arial" w:hAnsi="Arial"/>
          <w:sz w:val="15"/>
          <w:szCs w:val="15"/>
          <w:i w:val="1"/>
          <w:iCs w:val="1"/>
          <w:color w:val="auto"/>
        </w:rPr>
        <w:t>See</w:t>
      </w:r>
      <w:r>
        <w:rPr>
          <w:rFonts w:ascii="Arial" w:cs="Arial" w:eastAsia="Arial" w:hAnsi="Arial"/>
          <w:sz w:val="15"/>
          <w:szCs w:val="15"/>
          <w:color w:val="auto"/>
        </w:rPr>
        <w:t xml:space="preserve"> Note 8—Equity Investment to the consolidated financial statements included elsewhere in this report for more information.</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2020, we made net repayments of $75.0 million on our Amended Revolving Credit Facility.</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2020, we made contingent consideration payments of $6.0 million, $4.4 million and $20.2 million related to the prior acquisitions of SnapCap, Ovation and QuoteWizard, respectively.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Credit Facility</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On September 15, 2021, we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to the extent the loans thereunder will be drawn. The delayed draw commitments under the Term Loan Facility will be available until June 1, 2022. The proceeds of the Revolving Facility can be used to finance working capital, for general corporate purposes and any other purpose not prohibited by the Credit Agreement. The proceeds of the Term Loan Facility can be used to settle the Company’s 2022 Notes, including related fees, costs and expenses, and up to $80.0 million may be used for general corporate purposes and any other purposes not prohibited by the Credit Agreement.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15—Debt for additional information.</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February 28, 2022, we have outstanding a $0.2 million letter of credit under the Revolving Facility, and the remaining borrowing capacity is $199.8 million. No term loans have been drawn under the Term Loan Facility as of February 28, 2022.</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additional information on the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in the notes to the consolidated financial statements included elsewhere in this report.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Convertible Debt</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Our 2022 Notes have a principal balance of $169.7 million and mature on June 1, 2022, unless earlier repurchased or converted. Our 2025 Notes have a principal balance of $575.0 million and mature on July 15, 2025, unless earlier repurchased or converted.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to the consolidated financial statements included elsewhere in this report for more information.</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Operating Leases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We have operating lease obligations associated with office space in various cities across the country and office equipment. Our principal executive office is located in Charlotte, North Carolina under an approximate 15-year lease that commenced in the second quarter of 2021. We anticipate cash payments under operating lease obligations of $13.7 million in 2022.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11—Leases to the consolidated financial statements included elsewhere in this report for more information.</w:t>
      </w: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6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177"/>
        </w:trPr>
        <w:tc>
          <w:tcPr>
            <w:tcW w:w="7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gridSpan w:val="2"/>
          </w:tcPr>
          <w:p>
            <w:pPr>
              <w:jc w:val="right"/>
              <w:ind w:right="92"/>
              <w:spacing w:after="0"/>
              <w:rPr>
                <w:sz w:val="20"/>
                <w:szCs w:val="20"/>
                <w:color w:val="auto"/>
              </w:rPr>
            </w:pPr>
            <w:r>
              <w:rPr>
                <w:rFonts w:ascii="Arial" w:cs="Arial" w:eastAsia="Arial" w:hAnsi="Arial"/>
                <w:sz w:val="14"/>
                <w:szCs w:val="14"/>
                <w:b w:val="1"/>
                <w:bCs w:val="1"/>
                <w:i w:val="1"/>
                <w:iCs w:val="1"/>
                <w:color w:val="auto"/>
              </w:rPr>
              <w:t>(in thousands)</w:t>
            </w:r>
          </w:p>
        </w:tc>
        <w:tc>
          <w:tcPr>
            <w:tcW w:w="1020" w:type="dxa"/>
            <w:vAlign w:val="bottom"/>
          </w:tcPr>
          <w:p>
            <w:pPr>
              <w:spacing w:after="0"/>
              <w:rPr>
                <w:sz w:val="15"/>
                <w:szCs w:val="15"/>
                <w:color w:val="auto"/>
              </w:rPr>
            </w:pPr>
          </w:p>
        </w:tc>
      </w:tr>
      <w:tr>
        <w:trPr>
          <w:trHeight w:val="228"/>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131,256</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111,299</w:t>
            </w:r>
          </w:p>
        </w:tc>
      </w:tr>
      <w:tr>
        <w:trPr>
          <w:trHeight w:val="225"/>
        </w:trPr>
        <w:tc>
          <w:tcPr>
            <w:tcW w:w="768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01"/>
              <w:spacing w:after="0"/>
              <w:rPr>
                <w:sz w:val="20"/>
                <w:szCs w:val="20"/>
                <w:color w:val="auto"/>
              </w:rPr>
            </w:pPr>
            <w:r>
              <w:rPr>
                <w:rFonts w:ascii="Arial" w:cs="Arial" w:eastAsia="Arial" w:hAnsi="Arial"/>
                <w:sz w:val="18"/>
                <w:szCs w:val="18"/>
                <w:color w:val="auto"/>
              </w:rPr>
              <w:t>10,067</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(122,149)</w:t>
            </w:r>
          </w:p>
        </w:tc>
      </w:tr>
      <w:tr>
        <w:trPr>
          <w:trHeight w:val="225"/>
        </w:trPr>
        <w:tc>
          <w:tcPr>
            <w:tcW w:w="7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(63,347)</w:t>
            </w:r>
          </w:p>
        </w:tc>
        <w:tc>
          <w:tcPr>
            <w:tcW w:w="6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193,290</w:t>
            </w: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largest source of cash provided by our operating activities is revenues generated by our products. Our primary uses of cash from our operating activities include advertising and promotional payments. In addition, our uses of cash from operating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activities include compensation and other employee-related costs, other general corporate expenditures, litigation settlements and contingencies, certain contingent consideration payments, and income taxes.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provided by operating activities attributable to continuing operations increased in 2021 from 2020 primarily due to a increase in revenue, partially offset by a corresponding increase in selling and marketing expense. Additionally, cash from changes in working capital increased primarily as a result of changes in contingent consideration, accounts payable, accrued expenses and other current liabilities, and income taxes receivable, partially offset by unfavorable changes in accounts receivable.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investing activities attributable to continuing operations in 2021 of $10.1 million consisted of $46.3 million in proceeds from a partial sale of our equity interest in Stash partially offset by $1.2 million for the purchase of an additional equity interest in Stash and capital expenditures of $35.1 million primarily related to internally developed software.</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attributable to continuing operations in 2020 of $122.1 million consisted of the purchase of an $80.0 million equity interest in Stash and capital expenditures of $42.1 million primarily related to internally developed software and leasehold improvements for our new principal corporate offices.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used in financing activities attributable to continuing operations in 2021 of $63.3 million consisted primarily of $40.0 million for the repurchase of our stock, $14.4 million in withholding taxes paid upon surrender of shares to satisfy obligations on equity awards, net of proceeds from the exercise of stock options, as well as $6.4 million for the payment of debt issuance costs and $2.5 million paid for the original issue discount on the undrawn Term Loan Facility.</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used in financing activities attributable to continuing operations in 2020 of $193.3 million consisted primarily of $575.0 million of gross proceeds from the issuance of the 2025 Notes, partially offset by $233.9 million paid to repurchase a portion of the 2022 Notes, a net $47.4 million paid for the related convertible note hedge and warrant transactions outlined above, $75.0 million of net repayments on our Amended Revolving Credit Facility, and $16.6 million for the payment of debt issuance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following disclosure is provided to supplement the description of our accounting policies contained in Note 2—Significant Accounting Policies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Estimates of deferred income taxes and the significant items giving rise to the deferred assets and liabilities are shown in Note 14—Income Taxes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may vary significantly from anticipated results.</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 valuation allowance is provided on deferred tax assets if it is determined that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deferred tax asset will not be realized. At December 31, 2021, 2020 and 2019, we recorded a partial valuation allowance of $6.0 million, $5.8 million and $4.1 million, respectively, primarily related to state net operating losses, which we do not expect to be able to utilize prior to expiration.</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Stock-Based Compensation</w:t>
      </w:r>
    </w:p>
    <w:p>
      <w:pPr>
        <w:spacing w:after="0" w:line="1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The forms of stock-based awards granted to our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our Chairman and Chief Executive Officer. The value of RSUs is measured at their grant dates as the fair value of common stock and amortized ratably as non-cash compensation expense over the vesting term. The value of stock options issued and Employee Stock Purchase Rights are generally estimated using a Black-Scholes option pricing model. The value of performance-based grants is measured at their grant dates and recognized as non-cash compensation expense, considering the probability of the targets being achieved. Performance-based grants with a market condition are generally valued using a Monte Carlo simulation model. If an award is modified, we determine if the modification requires a new calculation of fair value or change in the vesting term of the award. </w:t>
      </w:r>
      <w:r>
        <w:rPr>
          <w:rFonts w:ascii="Arial" w:cs="Arial" w:eastAsia="Arial" w:hAnsi="Arial"/>
          <w:sz w:val="15"/>
          <w:szCs w:val="15"/>
          <w:i w:val="1"/>
          <w:iCs w:val="1"/>
          <w:color w:val="auto"/>
        </w:rPr>
        <w:t>See</w:t>
      </w:r>
      <w:r>
        <w:rPr>
          <w:rFonts w:ascii="Arial" w:cs="Arial" w:eastAsia="Arial" w:hAnsi="Arial"/>
          <w:sz w:val="15"/>
          <w:szCs w:val="15"/>
          <w:color w:val="auto"/>
        </w:rPr>
        <w:t xml:space="preserve"> Note 13—Stock-Based Compensation to the consolidated financial statements included elsewhere in this report for additional information on assumptions and inputs to the fair value determination of stock-based awards.</w:t>
      </w:r>
    </w:p>
    <w:p>
      <w:pPr>
        <w:spacing w:after="0" w:line="3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Goodwill Impairment</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test goodwill annually for impairment as of October 1, or more frequently upon the occurrence of certain events or substantive changes in circumstances. As part of our annual impairment testing of goodwill,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must be quantitatively tested for impairment.</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Performing the quantitative test for goodwill impairment that compares the reporting unit fair value with its carrying value using a discounted cash flow analysis requires the exercise of significant judgments, including judgments about appropriate discount rates, perpetual growth rates and the amount and timing of expected future cash flows. If the carrying amount of a reporting unit exceeds its fair value, an impairment loss is recognized in an amount equal to that excess.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value of goodwill subject to assessment for impairment at December 31, 2021 is $420.1 million.</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Recoverability of Long-Lived Assets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review the carrying value of all long-lived assets, primarily property and equipment, definite-lived intangible assets and operating lease right-of-use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to the adoption of ASU 2018-15 in the first quarter of 2020, capitalized implementation costs incurred in a hosting arrangement that is a service contract are also allocated to and included within long-lived asset groups tested for recoverability.</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combined value of long-lived assets and capitalized implementation costs incurred in a hosting arrangement that is a service contract subject to assessment for impairment is $230.2 million at December 31, 2021.</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 Acquisitions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using Level 3 unobservable inputs. Our estimates of fair value are based upon assumptions believed to be reasonable but which are uncertain and involve significant judgments by management.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reassess the fair value of contingent consideration quarterly until the contingency is resolved, and changes in the fair value are recorded in operating income in the consolidated statements of operations and comprehensive income (loss).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Equity Investment</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equity investment does not have a readily determinable fair value and, upon acquisition, we elected the measurement alternative to value these securities. Accordingly, these equity securities are carried at cost and subsequently marked to market upon observable market events with any gains or losses recorded in operating income in the consolidated statement of operations.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equity investment at December 31, 2021 is $158.1 million.</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Accounting Pronouncements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2—Significant Accounting Policies to the consolidated financial statements included elsewhere in this report for a description of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Credit Facility, if any. As of February 28, 2022, there were no borrowings under the Credit Facility.</w:t>
      </w:r>
    </w:p>
    <w:p>
      <w:pPr>
        <w:spacing w:after="0" w:line="4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84"/>
        </w:trPr>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06"/>
        </w:trPr>
        <w:tc>
          <w:tcPr>
            <w:tcW w:w="9660" w:type="dxa"/>
            <w:vAlign w:val="bottom"/>
            <w:gridSpan w:val="8"/>
          </w:tcPr>
          <w:p>
            <w:pPr>
              <w:spacing w:after="0" w:line="206" w:lineRule="exact"/>
              <w:rPr>
                <w:sz w:val="20"/>
                <w:szCs w:val="20"/>
                <w:color w:val="auto"/>
              </w:rPr>
            </w:pPr>
            <w:r>
              <w:rPr>
                <w:rFonts w:ascii="Arial" w:cs="Arial" w:eastAsia="Arial" w:hAnsi="Arial"/>
                <w:sz w:val="18"/>
                <w:szCs w:val="18"/>
                <w:color w:val="auto"/>
              </w:rPr>
              <w:t>LENDINGTREE, INC. AND SUBSIDIARIES:</w:t>
            </w:r>
          </w:p>
        </w:tc>
        <w:tc>
          <w:tcPr>
            <w:tcW w:w="1520" w:type="dxa"/>
            <w:vAlign w:val="bottom"/>
          </w:tcPr>
          <w:p>
            <w:pPr>
              <w:spacing w:after="0"/>
              <w:rPr>
                <w:sz w:val="17"/>
                <w:szCs w:val="17"/>
                <w:color w:val="auto"/>
              </w:rPr>
            </w:pPr>
          </w:p>
        </w:tc>
      </w:tr>
      <w:tr>
        <w:trPr>
          <w:trHeight w:val="187"/>
        </w:trPr>
        <w:tc>
          <w:tcPr>
            <w:tcW w:w="9660" w:type="dxa"/>
            <w:vAlign w:val="bottom"/>
            <w:gridSpan w:val="8"/>
          </w:tcPr>
          <w:p>
            <w:pPr>
              <w:spacing w:after="0" w:line="187" w:lineRule="exact"/>
              <w:rPr>
                <w:rFonts w:ascii="Arial" w:cs="Arial" w:eastAsia="Arial" w:hAnsi="Arial"/>
                <w:sz w:val="18"/>
                <w:szCs w:val="18"/>
                <w:b w:val="1"/>
                <w:bCs w:val="1"/>
                <w:i w:val="1"/>
                <w:iCs w:val="1"/>
                <w:color w:val="0000FF"/>
              </w:rPr>
            </w:pPr>
            <w:hyperlink w:anchor="page52">
              <w:r>
                <w:rPr>
                  <w:rFonts w:ascii="Arial" w:cs="Arial" w:eastAsia="Arial" w:hAnsi="Arial"/>
                  <w:sz w:val="18"/>
                  <w:szCs w:val="18"/>
                  <w:b w:val="1"/>
                  <w:bCs w:val="1"/>
                  <w:i w:val="1"/>
                  <w:iCs w:val="1"/>
                  <w:color w:val="0000FF"/>
                </w:rPr>
                <w:t xml:space="preserve">Report of Independent Registered Public Accounting Firm (PCAOB ID </w:t>
              </w:r>
            </w:hyperlink>
            <w:r>
              <w:rPr>
                <w:rFonts w:ascii="Arial" w:cs="Arial" w:eastAsia="Arial" w:hAnsi="Arial"/>
                <w:sz w:val="18"/>
                <w:szCs w:val="18"/>
                <w:b w:val="1"/>
                <w:bCs w:val="1"/>
                <w:i w:val="1"/>
                <w:iCs w:val="1"/>
                <w:color w:val="000000"/>
              </w:rPr>
              <w:t>238</w:t>
            </w:r>
            <w:hyperlink w:anchor="page52">
              <w:r>
                <w:rPr>
                  <w:rFonts w:ascii="Arial" w:cs="Arial" w:eastAsia="Arial" w:hAnsi="Arial"/>
                  <w:sz w:val="18"/>
                  <w:szCs w:val="18"/>
                  <w:b w:val="1"/>
                  <w:bCs w:val="1"/>
                  <w:i w:val="1"/>
                  <w:iCs w:val="1"/>
                  <w:u w:val="single" w:color="auto"/>
                  <w:color w:val="0000FF"/>
                </w:rPr>
                <w:t>)</w:t>
              </w:r>
            </w:hyperlink>
          </w:p>
        </w:tc>
        <w:tc>
          <w:tcPr>
            <w:tcW w:w="1520" w:type="dxa"/>
            <w:vAlign w:val="bottom"/>
          </w:tcPr>
          <w:p>
            <w:pPr>
              <w:jc w:val="center"/>
              <w:spacing w:after="0" w:line="187" w:lineRule="exact"/>
              <w:rPr>
                <w:rFonts w:ascii="Arial" w:cs="Arial" w:eastAsia="Arial" w:hAnsi="Arial"/>
                <w:sz w:val="18"/>
                <w:szCs w:val="18"/>
                <w:color w:val="0000FF"/>
                <w:w w:val="79"/>
              </w:rPr>
            </w:pPr>
            <w:hyperlink w:anchor="page52">
              <w:r>
                <w:rPr>
                  <w:rFonts w:ascii="Arial" w:cs="Arial" w:eastAsia="Arial" w:hAnsi="Arial"/>
                  <w:sz w:val="18"/>
                  <w:szCs w:val="18"/>
                  <w:color w:val="0000FF"/>
                  <w:w w:val="79"/>
                </w:rPr>
                <w:t>51</w:t>
              </w:r>
            </w:hyperlink>
          </w:p>
        </w:tc>
      </w:tr>
      <w:tr>
        <w:trPr>
          <w:trHeight w:val="456"/>
        </w:trPr>
        <w:tc>
          <w:tcPr>
            <w:tcW w:w="52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442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r>
      <w:tr>
        <w:trPr>
          <w:trHeight w:val="187"/>
        </w:trPr>
        <w:tc>
          <w:tcPr>
            <w:tcW w:w="420" w:type="dxa"/>
            <w:vAlign w:val="bottom"/>
          </w:tcPr>
          <w:p>
            <w:pPr>
              <w:spacing w:after="0"/>
              <w:rPr>
                <w:sz w:val="16"/>
                <w:szCs w:val="16"/>
                <w:color w:val="auto"/>
              </w:rPr>
            </w:pPr>
          </w:p>
        </w:tc>
        <w:tc>
          <w:tcPr>
            <w:tcW w:w="9240" w:type="dxa"/>
            <w:vAlign w:val="bottom"/>
            <w:gridSpan w:val="7"/>
          </w:tcPr>
          <w:p>
            <w:pPr>
              <w:spacing w:after="0" w:line="187" w:lineRule="exact"/>
              <w:rPr>
                <w:rFonts w:ascii="Arial" w:cs="Arial" w:eastAsia="Arial" w:hAnsi="Arial"/>
                <w:sz w:val="18"/>
                <w:szCs w:val="18"/>
                <w:b w:val="1"/>
                <w:bCs w:val="1"/>
                <w:i w:val="1"/>
                <w:iCs w:val="1"/>
                <w:color w:val="0000FF"/>
              </w:rPr>
            </w:pPr>
            <w:hyperlink w:anchor="page54">
              <w:r>
                <w:rPr>
                  <w:rFonts w:ascii="Arial" w:cs="Arial" w:eastAsia="Arial" w:hAnsi="Arial"/>
                  <w:sz w:val="18"/>
                  <w:szCs w:val="18"/>
                  <w:b w:val="1"/>
                  <w:bCs w:val="1"/>
                  <w:i w:val="1"/>
                  <w:iCs w:val="1"/>
                  <w:color w:val="0000FF"/>
                </w:rPr>
                <w:t xml:space="preserve">Consolidated Statements of Operations and Comprehensive </w:t>
              </w:r>
            </w:hyperlink>
            <w:r>
              <w:rPr>
                <w:rFonts w:ascii="Arial" w:cs="Arial" w:eastAsia="Arial" w:hAnsi="Arial"/>
                <w:sz w:val="18"/>
                <w:szCs w:val="18"/>
                <w:b w:val="1"/>
                <w:bCs w:val="1"/>
                <w:i w:val="1"/>
                <w:iCs w:val="1"/>
                <w:color w:val="0000FF"/>
              </w:rPr>
              <w:t>Income (Loss)</w:t>
            </w:r>
          </w:p>
        </w:tc>
        <w:tc>
          <w:tcPr>
            <w:tcW w:w="1520" w:type="dxa"/>
            <w:vAlign w:val="bottom"/>
          </w:tcPr>
          <w:p>
            <w:pPr>
              <w:jc w:val="center"/>
              <w:spacing w:after="0" w:line="187" w:lineRule="exact"/>
              <w:rPr>
                <w:rFonts w:ascii="Arial" w:cs="Arial" w:eastAsia="Arial" w:hAnsi="Arial"/>
                <w:sz w:val="18"/>
                <w:szCs w:val="18"/>
                <w:color w:val="0000FF"/>
                <w:w w:val="79"/>
              </w:rPr>
            </w:pPr>
            <w:hyperlink w:anchor="page54">
              <w:r>
                <w:rPr>
                  <w:rFonts w:ascii="Arial" w:cs="Arial" w:eastAsia="Arial" w:hAnsi="Arial"/>
                  <w:sz w:val="18"/>
                  <w:szCs w:val="18"/>
                  <w:color w:val="0000FF"/>
                  <w:w w:val="79"/>
                </w:rPr>
                <w:t>53</w:t>
              </w:r>
            </w:hyperlink>
          </w:p>
        </w:tc>
      </w:tr>
      <w:tr>
        <w:trPr>
          <w:trHeight w:val="205"/>
        </w:trPr>
        <w:tc>
          <w:tcPr>
            <w:tcW w:w="420" w:type="dxa"/>
            <w:vAlign w:val="bottom"/>
          </w:tcPr>
          <w:p>
            <w:pPr>
              <w:spacing w:after="0"/>
              <w:rPr>
                <w:sz w:val="17"/>
                <w:szCs w:val="17"/>
                <w:color w:val="auto"/>
              </w:rPr>
            </w:pPr>
          </w:p>
        </w:tc>
        <w:tc>
          <w:tcPr>
            <w:tcW w:w="5400" w:type="dxa"/>
            <w:vAlign w:val="bottom"/>
            <w:tcBorders>
              <w:top w:val="single" w:sz="8" w:color="0000FF"/>
            </w:tcBorders>
            <w:gridSpan w:val="6"/>
          </w:tcPr>
          <w:p>
            <w:pPr>
              <w:spacing w:after="0" w:line="205" w:lineRule="exact"/>
              <w:rPr>
                <w:rFonts w:ascii="Arial" w:cs="Arial" w:eastAsia="Arial" w:hAnsi="Arial"/>
                <w:sz w:val="18"/>
                <w:szCs w:val="18"/>
                <w:b w:val="1"/>
                <w:bCs w:val="1"/>
                <w:i w:val="1"/>
                <w:iCs w:val="1"/>
                <w:color w:val="0000FF"/>
              </w:rPr>
            </w:pPr>
            <w:hyperlink w:anchor="page55">
              <w:r>
                <w:rPr>
                  <w:rFonts w:ascii="Arial" w:cs="Arial" w:eastAsia="Arial" w:hAnsi="Arial"/>
                  <w:sz w:val="18"/>
                  <w:szCs w:val="18"/>
                  <w:b w:val="1"/>
                  <w:bCs w:val="1"/>
                  <w:i w:val="1"/>
                  <w:iCs w:val="1"/>
                  <w:color w:val="0000FF"/>
                </w:rPr>
                <w:t>Consolidated Balance Sheets</w:t>
              </w:r>
            </w:hyperlink>
          </w:p>
        </w:tc>
        <w:tc>
          <w:tcPr>
            <w:tcW w:w="3840" w:type="dxa"/>
            <w:vAlign w:val="bottom"/>
          </w:tcPr>
          <w:p>
            <w:pPr>
              <w:spacing w:after="0"/>
              <w:rPr>
                <w:sz w:val="17"/>
                <w:szCs w:val="17"/>
                <w:color w:val="auto"/>
              </w:rPr>
            </w:pPr>
          </w:p>
        </w:tc>
        <w:tc>
          <w:tcPr>
            <w:tcW w:w="1520" w:type="dxa"/>
            <w:vAlign w:val="bottom"/>
          </w:tcPr>
          <w:p>
            <w:pPr>
              <w:jc w:val="center"/>
              <w:spacing w:after="0" w:line="205" w:lineRule="exact"/>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r>
      <w:tr>
        <w:trPr>
          <w:trHeight w:val="20"/>
        </w:trPr>
        <w:tc>
          <w:tcPr>
            <w:tcW w:w="4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5"/>
        </w:trPr>
        <w:tc>
          <w:tcPr>
            <w:tcW w:w="420" w:type="dxa"/>
            <w:vAlign w:val="bottom"/>
          </w:tcPr>
          <w:p>
            <w:pPr>
              <w:spacing w:after="0"/>
              <w:rPr>
                <w:sz w:val="17"/>
                <w:szCs w:val="17"/>
                <w:color w:val="auto"/>
              </w:rPr>
            </w:pPr>
          </w:p>
        </w:tc>
        <w:tc>
          <w:tcPr>
            <w:tcW w:w="9240" w:type="dxa"/>
            <w:vAlign w:val="bottom"/>
            <w:gridSpan w:val="7"/>
          </w:tcPr>
          <w:p>
            <w:pPr>
              <w:spacing w:after="0" w:line="205" w:lineRule="exact"/>
              <w:rPr>
                <w:rFonts w:ascii="Arial" w:cs="Arial" w:eastAsia="Arial" w:hAnsi="Arial"/>
                <w:sz w:val="18"/>
                <w:szCs w:val="18"/>
                <w:b w:val="1"/>
                <w:bCs w:val="1"/>
                <w:i w:val="1"/>
                <w:iCs w:val="1"/>
                <w:color w:val="0000FF"/>
              </w:rPr>
            </w:pPr>
            <w:hyperlink w:anchor="page56">
              <w:r>
                <w:rPr>
                  <w:rFonts w:ascii="Arial" w:cs="Arial" w:eastAsia="Arial" w:hAnsi="Arial"/>
                  <w:sz w:val="18"/>
                  <w:szCs w:val="18"/>
                  <w:b w:val="1"/>
                  <w:bCs w:val="1"/>
                  <w:i w:val="1"/>
                  <w:iCs w:val="1"/>
                  <w:color w:val="0000FF"/>
                </w:rPr>
                <w:t>Consolidated Statements of Shareholders' Equity</w:t>
              </w:r>
            </w:hyperlink>
          </w:p>
        </w:tc>
        <w:tc>
          <w:tcPr>
            <w:tcW w:w="1520" w:type="dxa"/>
            <w:vAlign w:val="bottom"/>
          </w:tcPr>
          <w:p>
            <w:pPr>
              <w:jc w:val="center"/>
              <w:spacing w:after="0" w:line="205"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55</w:t>
              </w:r>
            </w:hyperlink>
          </w:p>
        </w:tc>
      </w:tr>
      <w:tr>
        <w:trPr>
          <w:trHeight w:val="205"/>
        </w:trPr>
        <w:tc>
          <w:tcPr>
            <w:tcW w:w="42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b w:val="1"/>
                <w:bCs w:val="1"/>
                <w:i w:val="1"/>
                <w:iCs w:val="1"/>
                <w:color w:val="0000FF"/>
                <w:w w:val="83"/>
              </w:rPr>
            </w:pPr>
            <w:hyperlink w:anchor="page57">
              <w:r>
                <w:rPr>
                  <w:rFonts w:ascii="Arial" w:cs="Arial" w:eastAsia="Arial" w:hAnsi="Arial"/>
                  <w:sz w:val="18"/>
                  <w:szCs w:val="18"/>
                  <w:b w:val="1"/>
                  <w:bCs w:val="1"/>
                  <w:i w:val="1"/>
                  <w:iCs w:val="1"/>
                  <w:color w:val="0000FF"/>
                  <w:w w:val="83"/>
                </w:rPr>
                <w:t>Consolidated Statements of Cash Flows</w:t>
              </w:r>
            </w:hyperlink>
          </w:p>
        </w:tc>
        <w:tc>
          <w:tcPr>
            <w:tcW w:w="680" w:type="dxa"/>
            <w:vAlign w:val="bottom"/>
            <w:tcBorders>
              <w:top w:val="single" w:sz="8" w:color="0000FF"/>
            </w:tcBorders>
            <w:gridSpan w:val="2"/>
          </w:tcPr>
          <w:p>
            <w:pPr>
              <w:spacing w:after="0"/>
              <w:rPr>
                <w:sz w:val="17"/>
                <w:szCs w:val="17"/>
                <w:color w:val="auto"/>
              </w:rPr>
            </w:pPr>
          </w:p>
        </w:tc>
        <w:tc>
          <w:tcPr>
            <w:tcW w:w="5680" w:type="dxa"/>
            <w:vAlign w:val="bottom"/>
            <w:gridSpan w:val="3"/>
          </w:tcPr>
          <w:p>
            <w:pPr>
              <w:spacing w:after="0"/>
              <w:rPr>
                <w:sz w:val="17"/>
                <w:szCs w:val="17"/>
                <w:color w:val="auto"/>
              </w:rPr>
            </w:pPr>
          </w:p>
        </w:tc>
        <w:tc>
          <w:tcPr>
            <w:tcW w:w="1520" w:type="dxa"/>
            <w:vAlign w:val="bottom"/>
          </w:tcPr>
          <w:p>
            <w:pPr>
              <w:jc w:val="center"/>
              <w:spacing w:after="0" w:line="205" w:lineRule="exact"/>
              <w:rPr>
                <w:rFonts w:ascii="Arial" w:cs="Arial" w:eastAsia="Arial" w:hAnsi="Arial"/>
                <w:sz w:val="18"/>
                <w:szCs w:val="18"/>
                <w:color w:val="0000FF"/>
                <w:w w:val="79"/>
              </w:rPr>
            </w:pPr>
            <w:hyperlink w:anchor="page57">
              <w:r>
                <w:rPr>
                  <w:rFonts w:ascii="Arial" w:cs="Arial" w:eastAsia="Arial" w:hAnsi="Arial"/>
                  <w:sz w:val="18"/>
                  <w:szCs w:val="18"/>
                  <w:color w:val="0000FF"/>
                  <w:w w:val="79"/>
                </w:rPr>
                <w:t>56</w:t>
              </w:r>
            </w:hyperlink>
          </w:p>
        </w:tc>
      </w:tr>
      <w:tr>
        <w:trPr>
          <w:trHeight w:val="205"/>
        </w:trPr>
        <w:tc>
          <w:tcPr>
            <w:tcW w:w="420" w:type="dxa"/>
            <w:vAlign w:val="bottom"/>
          </w:tcPr>
          <w:p>
            <w:pPr>
              <w:spacing w:after="0"/>
              <w:rPr>
                <w:sz w:val="17"/>
                <w:szCs w:val="17"/>
                <w:color w:val="auto"/>
              </w:rPr>
            </w:pPr>
          </w:p>
        </w:tc>
        <w:tc>
          <w:tcPr>
            <w:tcW w:w="9240" w:type="dxa"/>
            <w:vAlign w:val="bottom"/>
            <w:gridSpan w:val="7"/>
          </w:tcPr>
          <w:p>
            <w:pPr>
              <w:spacing w:after="0" w:line="205" w:lineRule="exact"/>
              <w:rPr>
                <w:rFonts w:ascii="Arial" w:cs="Arial" w:eastAsia="Arial" w:hAnsi="Arial"/>
                <w:sz w:val="18"/>
                <w:szCs w:val="18"/>
                <w:b w:val="1"/>
                <w:bCs w:val="1"/>
                <w:i w:val="1"/>
                <w:iCs w:val="1"/>
                <w:color w:val="0000FF"/>
              </w:rPr>
            </w:pPr>
            <w:hyperlink w:anchor="page58">
              <w:r>
                <w:rPr>
                  <w:rFonts w:ascii="Arial" w:cs="Arial" w:eastAsia="Arial" w:hAnsi="Arial"/>
                  <w:sz w:val="18"/>
                  <w:szCs w:val="18"/>
                  <w:b w:val="1"/>
                  <w:bCs w:val="1"/>
                  <w:i w:val="1"/>
                  <w:iCs w:val="1"/>
                  <w:color w:val="0000FF"/>
                </w:rPr>
                <w:t>Notes to Consolidated Financial Statements</w:t>
              </w:r>
            </w:hyperlink>
          </w:p>
        </w:tc>
        <w:tc>
          <w:tcPr>
            <w:tcW w:w="1520" w:type="dxa"/>
            <w:vAlign w:val="bottom"/>
          </w:tcPr>
          <w:p>
            <w:pPr>
              <w:jc w:val="center"/>
              <w:spacing w:after="0" w:line="205" w:lineRule="exact"/>
              <w:rPr>
                <w:rFonts w:ascii="Arial" w:cs="Arial" w:eastAsia="Arial" w:hAnsi="Arial"/>
                <w:sz w:val="18"/>
                <w:szCs w:val="18"/>
                <w:color w:val="0000FF"/>
                <w:w w:val="79"/>
              </w:rPr>
            </w:pPr>
            <w:hyperlink w:anchor="page58">
              <w:r>
                <w:rPr>
                  <w:rFonts w:ascii="Arial" w:cs="Arial" w:eastAsia="Arial" w:hAnsi="Arial"/>
                  <w:sz w:val="18"/>
                  <w:szCs w:val="18"/>
                  <w:color w:val="0000FF"/>
                  <w:w w:val="79"/>
                </w:rPr>
                <w:t>57</w:t>
              </w:r>
            </w:hyperlink>
          </w:p>
        </w:tc>
      </w:tr>
      <w:tr>
        <w:trPr>
          <w:trHeight w:val="20"/>
        </w:trPr>
        <w:tc>
          <w:tcPr>
            <w:tcW w:w="4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LendingTree,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audited the accompanying consolidated balance sheets of LendingTree, Inc. and its subsidiaries (the “Company”) as of December 31, 2021 and 2020, and the related consolidated statements of operations and comprehensive income (loss), of shareholders'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equity securities - Stash</w:t>
      </w:r>
    </w:p>
    <w:p>
      <w:pPr>
        <w:spacing w:after="0" w:line="244"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As described in Note 8 to the consolidated financial statements, on February 28, 2020, the Company acquired an equity interest in Stash Financial, Inc. (“Stash”) for $80.0 million. On January 6, 2021, the Company acquired an additional equity interest for $1.2 million. The Stash equity securities do not have a readily determinable fair value and, upon acquisition, the Company elected the measurement alternative to value its securities. The Stash equity securities are carried at cost and subsequently marked to market upon observable market events with any gains or losses recorded in operating income in the consolidated statement of operations. On October 18, 2021, the Company entered into a stock transfer agreement with third parties to sell a portion of its Stash equity securities for $46.3 million. The Company sold $35.3 million in October and closed on an additional $11.0 million in November 2021. The Company recorded a realized gain of $27.9 million based on the sale of Stash equity securities under the stock transfer agreement. In 2021, the Company recorded a net unrealized gain on the investment in Stash of $95.4 million as a result of an adjustment to the fair value of the Stash equity securities based on observable market events, which is included within other income on the consolidated statement of operations and comprehensive income.</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Stash equity securities is a critical audit matter are (i) the significant judgment by management to determine the fair value of the Stash equity securities, which included identifying the observable market events utilized in the fair value estimate, and (ii) a high degree of auditor judgment, subjectivity, and effort in performing procedures and evaluating management's fair value estimate.</w:t>
      </w:r>
    </w:p>
    <w:p>
      <w:pPr>
        <w:spacing w:after="0" w:line="204"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Stash equity securities, including controls over the identification of the observable market events. These procedures also included, among others, (i) testing management’s process for determining the fair value of the Stash equity securities, (ii) evaluating the appropriateness of the model and management’s identification of observable market events, and (iii) evaluating the appropriateness of the observable market events used to estimate the fair value of the Stash equity securities. Evaluating the observable market events involved assessing whether the inputs were reasonable considering consistency with recent company and third party executed transactions.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6"/>
                <w:szCs w:val="16"/>
                <w:b w:val="1"/>
                <w:bCs w:val="1"/>
                <w:color w:val="auto"/>
                <w:w w:val="89"/>
              </w:rPr>
              <w:t>Year Ended December 31,</w:t>
            </w:r>
          </w:p>
        </w:tc>
        <w:tc>
          <w:tcPr>
            <w:tcW w:w="800" w:type="dxa"/>
            <w:vAlign w:val="bottom"/>
            <w:tcBorders>
              <w:bottom w:val="single" w:sz="8" w:color="auto"/>
            </w:tcBorders>
          </w:tcPr>
          <w:p>
            <w:pPr>
              <w:spacing w:after="0"/>
              <w:rPr>
                <w:sz w:val="18"/>
                <w:szCs w:val="18"/>
                <w:color w:val="auto"/>
              </w:rPr>
            </w:pPr>
          </w:p>
        </w:tc>
      </w:tr>
      <w:tr>
        <w:trPr>
          <w:trHeight w:val="206"/>
        </w:trPr>
        <w:tc>
          <w:tcPr>
            <w:tcW w:w="7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89"/>
              </w:rPr>
              <w:t>2020</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2019</w:t>
            </w:r>
          </w:p>
        </w:tc>
      </w:tr>
      <w:tr>
        <w:trPr>
          <w:trHeight w:val="174"/>
        </w:trPr>
        <w:tc>
          <w:tcPr>
            <w:tcW w:w="7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4"/>
          </w:tcPr>
          <w:p>
            <w:pPr>
              <w:jc w:val="center"/>
              <w:ind w:left="433"/>
              <w:spacing w:after="0"/>
              <w:rPr>
                <w:sz w:val="20"/>
                <w:szCs w:val="20"/>
                <w:color w:val="auto"/>
              </w:rPr>
            </w:pPr>
            <w:r>
              <w:rPr>
                <w:rFonts w:ascii="Arial" w:cs="Arial" w:eastAsia="Arial" w:hAnsi="Arial"/>
                <w:sz w:val="13"/>
                <w:szCs w:val="13"/>
                <w:b w:val="1"/>
                <w:bCs w:val="1"/>
                <w:i w:val="1"/>
                <w:iCs w:val="1"/>
                <w:color w:val="auto"/>
                <w:w w:val="87"/>
              </w:rPr>
              <w:t>(in thousands, except per share amounts)</w:t>
            </w:r>
          </w:p>
        </w:tc>
        <w:tc>
          <w:tcPr>
            <w:tcW w:w="800" w:type="dxa"/>
            <w:vAlign w:val="bottom"/>
          </w:tcPr>
          <w:p>
            <w:pPr>
              <w:spacing w:after="0"/>
              <w:rPr>
                <w:sz w:val="15"/>
                <w:szCs w:val="15"/>
                <w:color w:val="auto"/>
              </w:rPr>
            </w:pPr>
          </w:p>
        </w:tc>
      </w:tr>
      <w:tr>
        <w:trPr>
          <w:trHeight w:val="232"/>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1,098,499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909,990</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1,106,603</w:t>
            </w:r>
          </w:p>
        </w:tc>
      </w:tr>
      <w:tr>
        <w:trPr>
          <w:trHeight w:val="225"/>
        </w:trPr>
        <w:tc>
          <w:tcPr>
            <w:tcW w:w="7280" w:type="dxa"/>
            <w:vAlign w:val="bottom"/>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57,297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54,494</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68,379</w:t>
            </w:r>
          </w:p>
        </w:tc>
      </w:tr>
      <w:tr>
        <w:trPr>
          <w:trHeight w:val="225"/>
        </w:trPr>
        <w:tc>
          <w:tcPr>
            <w:tcW w:w="7280" w:type="dxa"/>
            <w:vAlign w:val="bottom"/>
          </w:tcPr>
          <w:p>
            <w:pPr>
              <w:ind w:left="12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773,990</w:t>
            </w:r>
          </w:p>
        </w:tc>
        <w:tc>
          <w:tcPr>
            <w:tcW w:w="3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617,404</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735,180</w:t>
            </w:r>
          </w:p>
        </w:tc>
      </w:tr>
      <w:tr>
        <w:trPr>
          <w:trHeight w:val="22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153,472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129,101</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116,847</w:t>
            </w:r>
          </w:p>
        </w:tc>
      </w:tr>
      <w:tr>
        <w:trPr>
          <w:trHeight w:val="225"/>
        </w:trPr>
        <w:tc>
          <w:tcPr>
            <w:tcW w:w="7280" w:type="dxa"/>
            <w:vAlign w:val="bottom"/>
          </w:tcPr>
          <w:p>
            <w:pPr>
              <w:ind w:left="12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52,865</w:t>
            </w:r>
          </w:p>
        </w:tc>
        <w:tc>
          <w:tcPr>
            <w:tcW w:w="3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43,636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39,953</w:t>
            </w:r>
          </w:p>
        </w:tc>
      </w:tr>
      <w:tr>
        <w:trPr>
          <w:trHeight w:val="22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17,910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14,201</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10,998</w:t>
            </w:r>
          </w:p>
        </w:tc>
      </w:tr>
      <w:tr>
        <w:trPr>
          <w:trHeight w:val="225"/>
        </w:trPr>
        <w:tc>
          <w:tcPr>
            <w:tcW w:w="72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42,738</w:t>
            </w:r>
          </w:p>
        </w:tc>
        <w:tc>
          <w:tcPr>
            <w:tcW w:w="3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53,078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55,241</w:t>
            </w:r>
          </w:p>
        </w:tc>
      </w:tr>
      <w:tr>
        <w:trPr>
          <w:trHeight w:val="22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5,327</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28,402</w:t>
            </w:r>
          </w:p>
        </w:tc>
      </w:tr>
      <w:tr>
        <w:trPr>
          <w:trHeight w:val="225"/>
        </w:trPr>
        <w:tc>
          <w:tcPr>
            <w:tcW w:w="7280" w:type="dxa"/>
            <w:vAlign w:val="bottom"/>
          </w:tcPr>
          <w:p>
            <w:pPr>
              <w:ind w:left="12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25"/>
        </w:trPr>
        <w:tc>
          <w:tcPr>
            <w:tcW w:w="7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392</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9"/>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1,090,468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916,593</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1,055,875</w:t>
            </w:r>
          </w:p>
        </w:tc>
      </w:tr>
      <w:tr>
        <w:trPr>
          <w:trHeight w:val="218"/>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8,031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(6,603)</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50,728</w:t>
            </w:r>
          </w:p>
        </w:tc>
      </w:tr>
      <w:tr>
        <w:trPr>
          <w:trHeight w:val="225"/>
        </w:trPr>
        <w:tc>
          <w:tcPr>
            <w:tcW w:w="72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r>
      <w:tr>
        <w:trPr>
          <w:trHeight w:val="225"/>
        </w:trPr>
        <w:tc>
          <w:tcPr>
            <w:tcW w:w="7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123,272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376</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19"/>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84,436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(42,527)</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30,981</w:t>
            </w:r>
          </w:p>
        </w:tc>
      </w:tr>
      <w:tr>
        <w:trPr>
          <w:trHeight w:val="225"/>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19,961</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w:t>
            </w:r>
          </w:p>
        </w:tc>
      </w:tr>
      <w:tr>
        <w:trPr>
          <w:trHeight w:val="219"/>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73,138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(22,566)</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39,460</w:t>
            </w:r>
          </w:p>
        </w:tc>
      </w:tr>
      <w:tr>
        <w:trPr>
          <w:trHeight w:val="225"/>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(25,689)</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(21,632)</w:t>
            </w:r>
          </w:p>
        </w:tc>
      </w:tr>
      <w:tr>
        <w:trPr>
          <w:trHeight w:val="225"/>
        </w:trPr>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and comprehensive income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69,115</w:t>
            </w: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(48,255)</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17,828</w:t>
            </w:r>
          </w:p>
        </w:tc>
      </w:tr>
      <w:tr>
        <w:trPr>
          <w:trHeight w:val="252"/>
        </w:trPr>
        <w:tc>
          <w:tcPr>
            <w:tcW w:w="7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5"/>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728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13,199</w:t>
            </w:r>
          </w:p>
        </w:tc>
        <w:tc>
          <w:tcPr>
            <w:tcW w:w="3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13,007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12,834</w:t>
            </w:r>
          </w:p>
        </w:tc>
      </w:tr>
      <w:tr>
        <w:trPr>
          <w:trHeight w:val="22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13,695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13,007</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14,619</w:t>
            </w:r>
          </w:p>
        </w:tc>
      </w:tr>
      <w:tr>
        <w:trPr>
          <w:trHeight w:val="225"/>
        </w:trPr>
        <w:tc>
          <w:tcPr>
            <w:tcW w:w="7280" w:type="dxa"/>
            <w:vAlign w:val="bottom"/>
          </w:tcPr>
          <w:p>
            <w:pPr>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5"/>
        </w:trPr>
        <w:tc>
          <w:tcPr>
            <w:tcW w:w="7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5.34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728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5"/>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5"/>
        </w:trPr>
        <w:tc>
          <w:tcPr>
            <w:tcW w:w="7280" w:type="dxa"/>
            <w:vAlign w:val="bottom"/>
            <w:tcBorders>
              <w:bottom w:val="single" w:sz="8" w:color="999999"/>
            </w:tcBorders>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999999"/>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999999"/>
            </w:tcBorders>
          </w:tcPr>
          <w:p>
            <w:pPr>
              <w:jc w:val="right"/>
              <w:ind w:right="33"/>
              <w:spacing w:after="0"/>
              <w:rPr>
                <w:sz w:val="20"/>
                <w:szCs w:val="20"/>
                <w:color w:val="auto"/>
              </w:rPr>
            </w:pPr>
            <w:r>
              <w:rPr>
                <w:rFonts w:ascii="Arial" w:cs="Arial" w:eastAsia="Arial" w:hAnsi="Arial"/>
                <w:sz w:val="18"/>
                <w:szCs w:val="18"/>
                <w:color w:val="auto"/>
              </w:rPr>
              <w:t>5.05</w:t>
            </w:r>
          </w:p>
        </w:tc>
        <w:tc>
          <w:tcPr>
            <w:tcW w:w="340" w:type="dxa"/>
            <w:vAlign w:val="bottom"/>
            <w:tcBorders>
              <w:bottom w:val="single" w:sz="8" w:color="999999"/>
            </w:tcBorders>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(3.71)</w:t>
            </w:r>
          </w:p>
        </w:tc>
        <w:tc>
          <w:tcPr>
            <w:tcW w:w="480" w:type="dxa"/>
            <w:vAlign w:val="bottom"/>
            <w:tcBorders>
              <w:bottom w:val="single" w:sz="8" w:color="999999"/>
            </w:tcBorders>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1.22</w:t>
            </w: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w w:val="95"/>
              </w:rPr>
              <w:t>December 31, 2021</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31"/>
        </w:trPr>
        <w:tc>
          <w:tcPr>
            <w:tcW w:w="8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0" w:type="dxa"/>
            <w:vAlign w:val="bottom"/>
            <w:gridSpan w:val="3"/>
          </w:tcPr>
          <w:p>
            <w:pPr>
              <w:jc w:val="right"/>
              <w:ind w:right="332"/>
              <w:spacing w:after="0" w:line="131" w:lineRule="exact"/>
              <w:rPr>
                <w:sz w:val="20"/>
                <w:szCs w:val="20"/>
                <w:color w:val="auto"/>
              </w:rPr>
            </w:pPr>
            <w:r>
              <w:rPr>
                <w:rFonts w:ascii="Arial" w:cs="Arial" w:eastAsia="Arial" w:hAnsi="Arial"/>
                <w:sz w:val="14"/>
                <w:szCs w:val="14"/>
                <w:b w:val="1"/>
                <w:bCs w:val="1"/>
                <w:i w:val="1"/>
                <w:iCs w:val="1"/>
                <w:color w:val="auto"/>
                <w:w w:val="93"/>
              </w:rPr>
              <w:t>(in thousands, except par value</w:t>
            </w:r>
          </w:p>
        </w:tc>
        <w:tc>
          <w:tcPr>
            <w:tcW w:w="0" w:type="dxa"/>
            <w:vAlign w:val="bottom"/>
          </w:tcPr>
          <w:p>
            <w:pPr>
              <w:spacing w:after="0"/>
              <w:rPr>
                <w:sz w:val="1"/>
                <w:szCs w:val="1"/>
                <w:color w:val="auto"/>
              </w:rPr>
            </w:pPr>
          </w:p>
        </w:tc>
      </w:tr>
      <w:tr>
        <w:trPr>
          <w:trHeight w:val="183"/>
        </w:trPr>
        <w:tc>
          <w:tcPr>
            <w:tcW w:w="8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3"/>
          </w:tcPr>
          <w:p>
            <w:pPr>
              <w:jc w:val="right"/>
              <w:ind w:right="672"/>
              <w:spacing w:after="0"/>
              <w:rPr>
                <w:sz w:val="20"/>
                <w:szCs w:val="20"/>
                <w:color w:val="auto"/>
              </w:rPr>
            </w:pPr>
            <w:r>
              <w:rPr>
                <w:rFonts w:ascii="Arial" w:cs="Arial" w:eastAsia="Arial" w:hAnsi="Arial"/>
                <w:sz w:val="14"/>
                <w:szCs w:val="14"/>
                <w:b w:val="1"/>
                <w:bCs w:val="1"/>
                <w:i w:val="1"/>
                <w:iCs w:val="1"/>
                <w:color w:val="auto"/>
              </w:rPr>
              <w:t>and share amounts)</w:t>
            </w:r>
          </w:p>
        </w:tc>
        <w:tc>
          <w:tcPr>
            <w:tcW w:w="0" w:type="dxa"/>
            <w:vAlign w:val="bottom"/>
          </w:tcPr>
          <w:p>
            <w:pPr>
              <w:spacing w:after="0"/>
              <w:rPr>
                <w:sz w:val="1"/>
                <w:szCs w:val="1"/>
                <w:color w:val="auto"/>
              </w:rPr>
            </w:pP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251,231</w:t>
            </w:r>
          </w:p>
        </w:tc>
        <w:tc>
          <w:tcPr>
            <w:tcW w:w="3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169,932</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5"/>
        </w:trPr>
        <w:tc>
          <w:tcPr>
            <w:tcW w:w="856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$1,456 and $1,402, respectively)</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97,658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89,841</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25,379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assets of discontinued operations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374,379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296,409</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$28,315 and $20,238, respectively)</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72,477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62,381</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77,346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84,109</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420,139</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420,139</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85,763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128,502</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87,581</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96,224</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(Note 8)</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158,140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6,942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16,589</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26"/>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1,299,356</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1,188,990</w:t>
            </w:r>
          </w:p>
        </w:tc>
        <w:tc>
          <w:tcPr>
            <w:tcW w:w="0" w:type="dxa"/>
            <w:vAlign w:val="bottom"/>
          </w:tcPr>
          <w:p>
            <w:pPr>
              <w:spacing w:after="0"/>
              <w:rPr>
                <w:sz w:val="1"/>
                <w:szCs w:val="1"/>
                <w:color w:val="auto"/>
              </w:rPr>
            </w:pPr>
          </w:p>
        </w:tc>
      </w:tr>
      <w:tr>
        <w:trPr>
          <w:trHeight w:val="252"/>
        </w:trPr>
        <w:tc>
          <w:tcPr>
            <w:tcW w:w="8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166,008</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560" w:type="dxa"/>
            <w:vAlign w:val="bottom"/>
          </w:tcPr>
          <w:p>
            <w:pPr>
              <w:ind w:left="140"/>
              <w:spacing w:after="0"/>
              <w:rPr>
                <w:sz w:val="20"/>
                <w:szCs w:val="20"/>
                <w:color w:val="auto"/>
              </w:rPr>
            </w:pPr>
            <w:r>
              <w:rPr>
                <w:rFonts w:ascii="Arial" w:cs="Arial" w:eastAsia="Arial" w:hAnsi="Arial"/>
                <w:sz w:val="18"/>
                <w:szCs w:val="18"/>
                <w:color w:val="auto"/>
              </w:rPr>
              <w:t>Accounts payable, trade</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1,692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106,731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101,196</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274,432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111,843</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478,151</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611,412</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96,165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92,363</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Non-current contingent consideration</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2,265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9"/>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851,364</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824,229</w:t>
            </w:r>
          </w:p>
        </w:tc>
        <w:tc>
          <w:tcPr>
            <w:tcW w:w="0" w:type="dxa"/>
            <w:vAlign w:val="bottom"/>
          </w:tcPr>
          <w:p>
            <w:pPr>
              <w:spacing w:after="0"/>
              <w:rPr>
                <w:sz w:val="1"/>
                <w:szCs w:val="1"/>
                <w:color w:val="auto"/>
              </w:rPr>
            </w:pPr>
          </w:p>
        </w:tc>
      </w:tr>
      <w:tr>
        <w:trPr>
          <w:trHeight w:val="218"/>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 (Notes 16 and 17)</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5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9"/>
              </w:rPr>
              <w:t>Common stock $.01 par value; 50,000,000 shares authorized; 16,070,720 and 15,766,193 shares issued, respectively,</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13,095,149 and 13,124,875 shares outstanding, respectively</w:t>
            </w:r>
          </w:p>
        </w:tc>
        <w:tc>
          <w:tcPr>
            <w:tcW w:w="2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1,242,794</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1,188,673</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(571,794)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(640,909)</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Treasury stock; 2,975,571 and 2,641,318 shares, respectively</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(223,169)</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(183,161)</w:t>
            </w:r>
          </w:p>
        </w:tc>
        <w:tc>
          <w:tcPr>
            <w:tcW w:w="0" w:type="dxa"/>
            <w:vAlign w:val="bottom"/>
          </w:tcPr>
          <w:p>
            <w:pPr>
              <w:spacing w:after="0"/>
              <w:rPr>
                <w:sz w:val="1"/>
                <w:szCs w:val="1"/>
                <w:color w:val="auto"/>
              </w:rPr>
            </w:pPr>
          </w:p>
        </w:tc>
      </w:tr>
      <w:tr>
        <w:trPr>
          <w:trHeight w:val="219"/>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447,992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364,761</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1,299,356</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80" w:type="dxa"/>
            <w:vAlign w:val="bottom"/>
            <w:tcBorders>
              <w:bottom w:val="single" w:sz="8" w:color="auto"/>
            </w:tcBorders>
            <w:gridSpan w:val="2"/>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609"/>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right"/>
              <w:ind w:right="190"/>
              <w:spacing w:after="0" w:line="119"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0"/>
                <w:szCs w:val="10"/>
                <w:color w:val="auto"/>
              </w:rPr>
            </w:pPr>
          </w:p>
        </w:tc>
        <w:tc>
          <w:tcPr>
            <w:tcW w:w="116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w w:val="93"/>
              </w:rPr>
              <w:t>Accumulated</w:t>
            </w:r>
          </w:p>
        </w:tc>
        <w:tc>
          <w:tcPr>
            <w:tcW w:w="110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Total</w:t>
            </w:r>
          </w:p>
        </w:tc>
        <w:tc>
          <w:tcPr>
            <w:tcW w:w="1100" w:type="dxa"/>
            <w:vAlign w:val="bottom"/>
            <w:vMerge w:val="continue"/>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310"/>
              <w:spacing w:after="0" w:line="133"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of Shares</w:t>
            </w: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Deficit</w:t>
            </w:r>
          </w:p>
        </w:tc>
        <w:tc>
          <w:tcPr>
            <w:tcW w:w="11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i w:val="1"/>
                <w:iCs w:val="1"/>
                <w:color w:val="auto"/>
                <w:w w:val="91"/>
              </w:rPr>
              <w:t>(in thousands)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2018</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346,208</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15,428</w:t>
            </w:r>
          </w:p>
        </w:tc>
        <w:tc>
          <w:tcPr>
            <w:tcW w:w="88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1,134,227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(610,482)</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2,618</w:t>
            </w:r>
          </w:p>
        </w:tc>
        <w:tc>
          <w:tcPr>
            <w:tcW w:w="2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(177,691)</w:t>
            </w:r>
          </w:p>
        </w:tc>
        <w:tc>
          <w:tcPr>
            <w:tcW w:w="0" w:type="dxa"/>
            <w:vAlign w:val="bottom"/>
          </w:tcPr>
          <w:p>
            <w:pPr>
              <w:spacing w:after="0"/>
              <w:rPr>
                <w:sz w:val="1"/>
                <w:szCs w:val="1"/>
                <w:color w:val="auto"/>
              </w:rPr>
            </w:pPr>
          </w:p>
        </w:tc>
      </w:tr>
      <w:tr>
        <w:trPr>
          <w:trHeight w:val="183"/>
        </w:trPr>
        <w:tc>
          <w:tcPr>
            <w:tcW w:w="2920" w:type="dxa"/>
            <w:vAlign w:val="bottom"/>
          </w:tcPr>
          <w:p>
            <w:pPr>
              <w:ind w:left="140"/>
              <w:spacing w:after="0"/>
              <w:rPr>
                <w:sz w:val="20"/>
                <w:szCs w:val="20"/>
                <w:color w:val="auto"/>
              </w:rPr>
            </w:pPr>
            <w:r>
              <w:rPr>
                <w:rFonts w:ascii="Arial" w:cs="Arial" w:eastAsia="Arial" w:hAnsi="Arial"/>
                <w:sz w:val="14"/>
                <w:szCs w:val="14"/>
                <w:color w:val="auto"/>
              </w:rPr>
              <w:t>Net income and comprehensive income</w:t>
            </w:r>
          </w:p>
        </w:tc>
        <w:tc>
          <w:tcPr>
            <w:tcW w:w="24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17,828</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17,828</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compensation</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52,167</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52,167</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20" w:type="dxa"/>
            <w:vAlign w:val="bottom"/>
          </w:tcPr>
          <w:p>
            <w:pPr>
              <w:ind w:left="140"/>
              <w:spacing w:after="0"/>
              <w:rPr>
                <w:sz w:val="20"/>
                <w:szCs w:val="20"/>
                <w:color w:val="auto"/>
              </w:rPr>
            </w:pPr>
            <w:r>
              <w:rPr>
                <w:rFonts w:ascii="Arial" w:cs="Arial" w:eastAsia="Arial" w:hAnsi="Arial"/>
                <w:sz w:val="14"/>
                <w:szCs w:val="14"/>
                <w:color w:val="auto"/>
              </w:rPr>
              <w:t>Purchase of treasury stock</w:t>
            </w:r>
          </w:p>
        </w:tc>
        <w:tc>
          <w:tcPr>
            <w:tcW w:w="24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(5,470)</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(5,470)</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Issuance of common stock for stock options,</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20" w:type="dxa"/>
            <w:vAlign w:val="bottom"/>
            <w:shd w:val="clear" w:color="auto" w:fill="CCEEFF"/>
          </w:tcPr>
          <w:p>
            <w:pPr>
              <w:ind w:left="140"/>
              <w:spacing w:after="0" w:line="133" w:lineRule="exact"/>
              <w:rPr>
                <w:sz w:val="20"/>
                <w:szCs w:val="20"/>
                <w:color w:val="auto"/>
              </w:rPr>
            </w:pPr>
            <w:r>
              <w:rPr>
                <w:rFonts w:ascii="Arial" w:cs="Arial" w:eastAsia="Arial" w:hAnsi="Arial"/>
                <w:sz w:val="14"/>
                <w:szCs w:val="14"/>
                <w:color w:val="auto"/>
              </w:rPr>
              <w:t>restricted stock awards and restricted stock</w:t>
            </w:r>
          </w:p>
        </w:tc>
        <w:tc>
          <w:tcPr>
            <w:tcW w:w="2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(8,406)</w:t>
            </w:r>
          </w:p>
        </w:tc>
        <w:tc>
          <w:tcPr>
            <w:tcW w:w="11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249</w:t>
            </w:r>
          </w:p>
        </w:tc>
        <w:tc>
          <w:tcPr>
            <w:tcW w:w="8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(8,409)</w:t>
            </w:r>
          </w:p>
        </w:tc>
        <w:tc>
          <w:tcPr>
            <w:tcW w:w="2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 net of withholding taxes</w:t>
            </w:r>
          </w:p>
        </w:tc>
        <w:tc>
          <w:tcPr>
            <w:tcW w:w="2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402,326</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15,677</w:t>
            </w:r>
          </w:p>
        </w:tc>
        <w:tc>
          <w:tcPr>
            <w:tcW w:w="88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157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1,177,984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(592,654)</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2,641</w:t>
            </w:r>
          </w:p>
        </w:tc>
        <w:tc>
          <w:tcPr>
            <w:tcW w:w="2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(183,161)</w:t>
            </w:r>
          </w:p>
        </w:tc>
        <w:tc>
          <w:tcPr>
            <w:tcW w:w="0" w:type="dxa"/>
            <w:vAlign w:val="bottom"/>
          </w:tcPr>
          <w:p>
            <w:pPr>
              <w:spacing w:after="0"/>
              <w:rPr>
                <w:sz w:val="1"/>
                <w:szCs w:val="1"/>
                <w:color w:val="auto"/>
              </w:rPr>
            </w:pPr>
          </w:p>
        </w:tc>
      </w:tr>
      <w:tr>
        <w:trPr>
          <w:trHeight w:val="183"/>
        </w:trPr>
        <w:tc>
          <w:tcPr>
            <w:tcW w:w="2920" w:type="dxa"/>
            <w:vAlign w:val="bottom"/>
          </w:tcPr>
          <w:p>
            <w:pPr>
              <w:ind w:left="140"/>
              <w:spacing w:after="0"/>
              <w:rPr>
                <w:sz w:val="20"/>
                <w:szCs w:val="20"/>
                <w:color w:val="auto"/>
              </w:rPr>
            </w:pPr>
            <w:r>
              <w:rPr>
                <w:rFonts w:ascii="Arial" w:cs="Arial" w:eastAsia="Arial" w:hAnsi="Arial"/>
                <w:sz w:val="14"/>
                <w:szCs w:val="14"/>
                <w:color w:val="auto"/>
              </w:rPr>
              <w:t>Net loss and comprehensive loss</w:t>
            </w:r>
          </w:p>
        </w:tc>
        <w:tc>
          <w:tcPr>
            <w:tcW w:w="24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(48,255)</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(48,255)</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compensation</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53,733</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53,733</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920" w:type="dxa"/>
            <w:vAlign w:val="bottom"/>
          </w:tcPr>
          <w:p>
            <w:pPr>
              <w:ind w:left="140"/>
              <w:spacing w:after="0" w:line="133" w:lineRule="exact"/>
              <w:rPr>
                <w:sz w:val="20"/>
                <w:szCs w:val="20"/>
                <w:color w:val="auto"/>
              </w:rPr>
            </w:pPr>
            <w:r>
              <w:rPr>
                <w:rFonts w:ascii="Arial" w:cs="Arial" w:eastAsia="Arial" w:hAnsi="Arial"/>
                <w:sz w:val="14"/>
                <w:szCs w:val="14"/>
                <w:color w:val="auto"/>
              </w:rPr>
              <w:t>Issuance of common stock for stock options,</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20" w:type="dxa"/>
            <w:vAlign w:val="bottom"/>
          </w:tcPr>
          <w:p>
            <w:pPr>
              <w:ind w:left="140"/>
              <w:spacing w:after="0" w:line="133" w:lineRule="exact"/>
              <w:rPr>
                <w:sz w:val="20"/>
                <w:szCs w:val="20"/>
                <w:color w:val="auto"/>
              </w:rPr>
            </w:pPr>
            <w:r>
              <w:rPr>
                <w:rFonts w:ascii="Arial" w:cs="Arial" w:eastAsia="Arial" w:hAnsi="Arial"/>
                <w:sz w:val="14"/>
                <w:szCs w:val="14"/>
                <w:color w:val="auto"/>
              </w:rPr>
              <w:t>restricted stock awards and restricted stock</w:t>
            </w:r>
          </w:p>
        </w:tc>
        <w:tc>
          <w:tcPr>
            <w:tcW w:w="240" w:type="dxa"/>
            <w:vAlign w:val="bottom"/>
          </w:tcPr>
          <w:p>
            <w:pPr>
              <w:spacing w:after="0"/>
              <w:rPr>
                <w:sz w:val="11"/>
                <w:szCs w:val="11"/>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(3,910)</w:t>
            </w: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89</w:t>
            </w:r>
          </w:p>
        </w:tc>
        <w:tc>
          <w:tcPr>
            <w:tcW w:w="8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(3,911)</w:t>
            </w:r>
          </w:p>
        </w:tc>
        <w:tc>
          <w:tcPr>
            <w:tcW w:w="220" w:type="dxa"/>
            <w:vAlign w:val="bottom"/>
          </w:tcPr>
          <w:p>
            <w:pPr>
              <w:spacing w:after="0"/>
              <w:rPr>
                <w:sz w:val="11"/>
                <w:szCs w:val="11"/>
                <w:color w:val="auto"/>
              </w:rPr>
            </w:pP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20" w:type="dxa"/>
            <w:vAlign w:val="bottom"/>
          </w:tcPr>
          <w:p>
            <w:pPr>
              <w:ind w:left="140"/>
              <w:spacing w:after="0"/>
              <w:rPr>
                <w:sz w:val="20"/>
                <w:szCs w:val="20"/>
                <w:color w:val="auto"/>
              </w:rPr>
            </w:pPr>
            <w:r>
              <w:rPr>
                <w:rFonts w:ascii="Arial" w:cs="Arial" w:eastAsia="Arial" w:hAnsi="Arial"/>
                <w:sz w:val="14"/>
                <w:szCs w:val="14"/>
                <w:color w:val="auto"/>
              </w:rPr>
              <w:t>units, net of withholding taxes</w:t>
            </w: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1"/>
              </w:rPr>
              <w:t>Issuance of 0.50% Convertible Senior Notes, net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116,300</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116,300</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920" w:type="dxa"/>
            <w:vAlign w:val="bottom"/>
          </w:tcPr>
          <w:p>
            <w:pPr>
              <w:ind w:left="140"/>
              <w:spacing w:after="0" w:line="133" w:lineRule="exact"/>
              <w:rPr>
                <w:sz w:val="20"/>
                <w:szCs w:val="20"/>
                <w:color w:val="auto"/>
              </w:rPr>
            </w:pPr>
            <w:r>
              <w:rPr>
                <w:rFonts w:ascii="Arial" w:cs="Arial" w:eastAsia="Arial" w:hAnsi="Arial"/>
                <w:sz w:val="14"/>
                <w:szCs w:val="14"/>
                <w:color w:val="auto"/>
              </w:rPr>
              <w:t>Repurchase of 0.625% Convertible Senior</w:t>
            </w:r>
          </w:p>
        </w:tc>
        <w:tc>
          <w:tcPr>
            <w:tcW w:w="240" w:type="dxa"/>
            <w:vAlign w:val="bottom"/>
          </w:tcPr>
          <w:p>
            <w:pPr>
              <w:spacing w:after="0"/>
              <w:rPr>
                <w:sz w:val="11"/>
                <w:szCs w:val="11"/>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(107,882)</w:t>
            </w: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(107,882)</w:t>
            </w:r>
          </w:p>
        </w:tc>
        <w:tc>
          <w:tcPr>
            <w:tcW w:w="220" w:type="dxa"/>
            <w:vAlign w:val="bottom"/>
          </w:tcPr>
          <w:p>
            <w:pPr>
              <w:spacing w:after="0"/>
              <w:rPr>
                <w:sz w:val="11"/>
                <w:szCs w:val="11"/>
                <w:color w:val="auto"/>
              </w:rPr>
            </w:pP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20" w:type="dxa"/>
            <w:vAlign w:val="bottom"/>
          </w:tcPr>
          <w:p>
            <w:pPr>
              <w:ind w:left="140"/>
              <w:spacing w:after="0"/>
              <w:rPr>
                <w:sz w:val="20"/>
                <w:szCs w:val="20"/>
                <w:color w:val="auto"/>
              </w:rPr>
            </w:pPr>
            <w:r>
              <w:rPr>
                <w:rFonts w:ascii="Arial" w:cs="Arial" w:eastAsia="Arial" w:hAnsi="Arial"/>
                <w:sz w:val="14"/>
                <w:szCs w:val="14"/>
                <w:color w:val="auto"/>
              </w:rPr>
              <w:t>Notes, net</w:t>
            </w: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note hedge transactions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(14,379)</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(14,379)</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20" w:type="dxa"/>
            <w:vAlign w:val="bottom"/>
          </w:tcPr>
          <w:p>
            <w:pPr>
              <w:ind w:left="140"/>
              <w:spacing w:after="0"/>
              <w:rPr>
                <w:sz w:val="20"/>
                <w:szCs w:val="20"/>
                <w:color w:val="auto"/>
              </w:rPr>
            </w:pPr>
            <w:r>
              <w:rPr>
                <w:rFonts w:ascii="Arial" w:cs="Arial" w:eastAsia="Arial" w:hAnsi="Arial"/>
                <w:sz w:val="14"/>
                <w:szCs w:val="14"/>
                <w:color w:val="auto"/>
              </w:rPr>
              <w:t>Warrant transactions</w:t>
            </w:r>
          </w:p>
        </w:tc>
        <w:tc>
          <w:tcPr>
            <w:tcW w:w="24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(33,171)</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(33,171)</w:t>
            </w:r>
          </w:p>
        </w:tc>
        <w:tc>
          <w:tcPr>
            <w:tcW w:w="22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364,761</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15,766</w:t>
            </w:r>
          </w:p>
        </w:tc>
        <w:tc>
          <w:tcPr>
            <w:tcW w:w="8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158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1,188,673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(640,909)</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2,641</w:t>
            </w:r>
          </w:p>
        </w:tc>
        <w:tc>
          <w:tcPr>
            <w:tcW w:w="2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(183,161)</w:t>
            </w:r>
          </w:p>
        </w:tc>
        <w:tc>
          <w:tcPr>
            <w:tcW w:w="0" w:type="dxa"/>
            <w:vAlign w:val="bottom"/>
          </w:tcPr>
          <w:p>
            <w:pPr>
              <w:spacing w:after="0"/>
              <w:rPr>
                <w:sz w:val="1"/>
                <w:szCs w:val="1"/>
                <w:color w:val="auto"/>
              </w:rPr>
            </w:pPr>
          </w:p>
        </w:tc>
      </w:tr>
      <w:tr>
        <w:trPr>
          <w:trHeight w:val="186"/>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and comprehensive income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69,115</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69,115</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20" w:type="dxa"/>
            <w:vAlign w:val="bottom"/>
          </w:tcPr>
          <w:p>
            <w:pPr>
              <w:ind w:left="140"/>
              <w:spacing w:after="0"/>
              <w:rPr>
                <w:sz w:val="20"/>
                <w:szCs w:val="20"/>
                <w:color w:val="auto"/>
              </w:rPr>
            </w:pPr>
            <w:r>
              <w:rPr>
                <w:rFonts w:ascii="Arial" w:cs="Arial" w:eastAsia="Arial" w:hAnsi="Arial"/>
                <w:sz w:val="14"/>
                <w:szCs w:val="14"/>
                <w:color w:val="auto"/>
              </w:rPr>
              <w:t>Non-cash compensation</w:t>
            </w:r>
          </w:p>
        </w:tc>
        <w:tc>
          <w:tcPr>
            <w:tcW w:w="24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68,555</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68,555</w:t>
            </w:r>
          </w:p>
        </w:tc>
        <w:tc>
          <w:tcPr>
            <w:tcW w:w="22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(40,008)</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335</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(40,008)</w:t>
            </w:r>
          </w:p>
        </w:tc>
        <w:tc>
          <w:tcPr>
            <w:tcW w:w="0" w:type="dxa"/>
            <w:vAlign w:val="bottom"/>
          </w:tcPr>
          <w:p>
            <w:pPr>
              <w:spacing w:after="0"/>
              <w:rPr>
                <w:sz w:val="1"/>
                <w:szCs w:val="1"/>
                <w:color w:val="auto"/>
              </w:rPr>
            </w:pPr>
          </w:p>
        </w:tc>
      </w:tr>
      <w:tr>
        <w:trPr>
          <w:trHeight w:val="133"/>
        </w:trPr>
        <w:tc>
          <w:tcPr>
            <w:tcW w:w="2920" w:type="dxa"/>
            <w:vAlign w:val="bottom"/>
          </w:tcPr>
          <w:p>
            <w:pPr>
              <w:ind w:left="140"/>
              <w:spacing w:after="0" w:line="133" w:lineRule="exact"/>
              <w:rPr>
                <w:sz w:val="20"/>
                <w:szCs w:val="20"/>
                <w:color w:val="auto"/>
              </w:rPr>
            </w:pPr>
            <w:r>
              <w:rPr>
                <w:rFonts w:ascii="Arial" w:cs="Arial" w:eastAsia="Arial" w:hAnsi="Arial"/>
                <w:sz w:val="14"/>
                <w:szCs w:val="14"/>
                <w:color w:val="auto"/>
              </w:rPr>
              <w:t>Issuance of common stock for stock options,</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20" w:type="dxa"/>
            <w:vAlign w:val="bottom"/>
          </w:tcPr>
          <w:p>
            <w:pPr>
              <w:ind w:left="140"/>
              <w:spacing w:after="0" w:line="133" w:lineRule="exact"/>
              <w:rPr>
                <w:sz w:val="20"/>
                <w:szCs w:val="20"/>
                <w:color w:val="auto"/>
              </w:rPr>
            </w:pPr>
            <w:r>
              <w:rPr>
                <w:rFonts w:ascii="Arial" w:cs="Arial" w:eastAsia="Arial" w:hAnsi="Arial"/>
                <w:sz w:val="14"/>
                <w:szCs w:val="14"/>
                <w:color w:val="auto"/>
                <w:w w:val="94"/>
              </w:rPr>
              <w:t>employee stock purchase plan, restricted stock</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20" w:type="dxa"/>
            <w:vAlign w:val="bottom"/>
          </w:tcPr>
          <w:p>
            <w:pPr>
              <w:ind w:left="140"/>
              <w:spacing w:after="0" w:line="133" w:lineRule="exact"/>
              <w:rPr>
                <w:sz w:val="20"/>
                <w:szCs w:val="20"/>
                <w:color w:val="auto"/>
              </w:rPr>
            </w:pPr>
            <w:r>
              <w:rPr>
                <w:rFonts w:ascii="Arial" w:cs="Arial" w:eastAsia="Arial" w:hAnsi="Arial"/>
                <w:sz w:val="14"/>
                <w:szCs w:val="14"/>
                <w:color w:val="auto"/>
              </w:rPr>
              <w:t>awards and restricted stock units, net of</w:t>
            </w:r>
          </w:p>
        </w:tc>
        <w:tc>
          <w:tcPr>
            <w:tcW w:w="240" w:type="dxa"/>
            <w:vAlign w:val="bottom"/>
          </w:tcPr>
          <w:p>
            <w:pPr>
              <w:spacing w:after="0"/>
              <w:rPr>
                <w:sz w:val="11"/>
                <w:szCs w:val="11"/>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(14,423)</w:t>
            </w: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305</w:t>
            </w:r>
          </w:p>
        </w:tc>
        <w:tc>
          <w:tcPr>
            <w:tcW w:w="8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(14,426)</w:t>
            </w:r>
          </w:p>
        </w:tc>
        <w:tc>
          <w:tcPr>
            <w:tcW w:w="220" w:type="dxa"/>
            <w:vAlign w:val="bottom"/>
          </w:tcPr>
          <w:p>
            <w:pPr>
              <w:spacing w:after="0"/>
              <w:rPr>
                <w:sz w:val="11"/>
                <w:szCs w:val="11"/>
                <w:color w:val="auto"/>
              </w:rPr>
            </w:pP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20" w:type="dxa"/>
            <w:vAlign w:val="bottom"/>
          </w:tcPr>
          <w:p>
            <w:pPr>
              <w:ind w:left="140"/>
              <w:spacing w:after="0"/>
              <w:rPr>
                <w:sz w:val="20"/>
                <w:szCs w:val="20"/>
                <w:color w:val="auto"/>
              </w:rPr>
            </w:pPr>
            <w:r>
              <w:rPr>
                <w:rFonts w:ascii="Arial" w:cs="Arial" w:eastAsia="Arial" w:hAnsi="Arial"/>
                <w:sz w:val="14"/>
                <w:szCs w:val="14"/>
                <w:color w:val="auto"/>
              </w:rPr>
              <w:t>withholding taxes</w:t>
            </w: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447,992</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16,071</w:t>
            </w:r>
          </w:p>
        </w:tc>
        <w:tc>
          <w:tcPr>
            <w:tcW w:w="8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161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1,242,794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(571,794)</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2,976</w:t>
            </w:r>
          </w:p>
        </w:tc>
        <w:tc>
          <w:tcPr>
            <w:tcW w:w="2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489"/>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7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2019</w:t>
            </w:r>
          </w:p>
        </w:tc>
      </w:tr>
      <w:tr>
        <w:trPr>
          <w:trHeight w:val="177"/>
        </w:trPr>
        <w:tc>
          <w:tcPr>
            <w:tcW w:w="7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9"/>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8"/>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5"/>
        </w:trPr>
        <w:tc>
          <w:tcPr>
            <w:tcW w:w="7820" w:type="dxa"/>
            <w:vAlign w:val="bottom"/>
          </w:tcPr>
          <w:p>
            <w:pPr>
              <w:ind w:left="140"/>
              <w:spacing w:after="0"/>
              <w:rPr>
                <w:sz w:val="20"/>
                <w:szCs w:val="20"/>
                <w:color w:val="auto"/>
              </w:rPr>
            </w:pPr>
            <w:r>
              <w:rPr>
                <w:rFonts w:ascii="Arial" w:cs="Arial" w:eastAsia="Arial" w:hAnsi="Arial"/>
                <w:sz w:val="14"/>
                <w:szCs w:val="14"/>
                <w:b w:val="1"/>
                <w:bCs w:val="1"/>
                <w:color w:val="auto"/>
              </w:rPr>
              <w:t>Net income (loss) and comprehensive income (loss)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69,115</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(48,255)</w:t>
            </w: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17,828</w:t>
            </w:r>
          </w:p>
        </w:tc>
      </w:tr>
      <w:tr>
        <w:trPr>
          <w:trHeight w:val="184"/>
        </w:trPr>
        <w:tc>
          <w:tcPr>
            <w:tcW w:w="7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Less: Loss from discontinued operations, net of tax</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25,689</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21,632</w:t>
            </w:r>
          </w:p>
        </w:tc>
      </w:tr>
      <w:tr>
        <w:trPr>
          <w:trHeight w:val="179"/>
        </w:trPr>
        <w:tc>
          <w:tcPr>
            <w:tcW w:w="7820" w:type="dxa"/>
            <w:vAlign w:val="bottom"/>
          </w:tcPr>
          <w:p>
            <w:pPr>
              <w:ind w:left="14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73,138</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(22,566)</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39,460</w:t>
            </w:r>
          </w:p>
        </w:tc>
      </w:tr>
      <w:tr>
        <w:trPr>
          <w:trHeight w:val="135"/>
        </w:trPr>
        <w:tc>
          <w:tcPr>
            <w:tcW w:w="782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6"/>
              </w:rPr>
              <w:t>Adjustments to reconcile income from continuing operations to net cash provided by operating activities attributable to continuing</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86"/>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Loss (gain) on impairments and disposal of assets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3,465</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(695)</w:t>
            </w:r>
          </w:p>
        </w:tc>
      </w:tr>
      <w:tr>
        <w:trPr>
          <w:trHeight w:val="188"/>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53,078</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55,241</w:t>
            </w: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17,910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14,201</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10,998</w:t>
            </w:r>
          </w:p>
        </w:tc>
      </w:tr>
      <w:tr>
        <w:trPr>
          <w:trHeight w:val="188"/>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compensation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68,555</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53,733</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52,167</w:t>
            </w: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10,908</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(9,628)</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(8,555)</w:t>
            </w:r>
          </w:p>
        </w:tc>
      </w:tr>
      <w:tr>
        <w:trPr>
          <w:trHeight w:val="188"/>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(8,249)</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5,327</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28,402</w:t>
            </w: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Gain on investments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(123,272)</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Bad debt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w:t>
            </w: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5,992</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3,474</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1,974</w:t>
            </w:r>
          </w:p>
        </w:tc>
      </w:tr>
      <w:tr>
        <w:trPr>
          <w:trHeight w:val="188"/>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Write-off of previously-capitalized debt issuance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Amortization of debt discount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30,695</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19,570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12,016</w:t>
            </w:r>
          </w:p>
        </w:tc>
      </w:tr>
      <w:tr>
        <w:trPr>
          <w:trHeight w:val="188"/>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extinguishment of debt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7,768</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Reduction in carrying amount of ROU asset, offset by change in operating lease liabilities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12,807</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8,888</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current assets and liabilities: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(10,289)</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21,861</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(22,457)</w:t>
            </w:r>
          </w:p>
        </w:tc>
      </w:tr>
      <w:tr>
        <w:trPr>
          <w:trHeight w:val="188"/>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and other current assets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w:t>
            </w: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current liabilities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(1,537)</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(8,013)</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(2,322)</w:t>
            </w:r>
          </w:p>
        </w:tc>
      </w:tr>
      <w:tr>
        <w:trPr>
          <w:trHeight w:val="188"/>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contingent consideration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(25,787)</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r>
      <w:tr>
        <w:trPr>
          <w:trHeight w:val="183"/>
        </w:trPr>
        <w:tc>
          <w:tcPr>
            <w:tcW w:w="7820" w:type="dxa"/>
            <w:vAlign w:val="bottom"/>
          </w:tcPr>
          <w:p>
            <w:pPr>
              <w:ind w:left="220"/>
              <w:spacing w:after="0"/>
              <w:rPr>
                <w:sz w:val="20"/>
                <w:szCs w:val="20"/>
                <w:color w:val="auto"/>
              </w:rPr>
            </w:pPr>
            <w:r>
              <w:rPr>
                <w:rFonts w:ascii="Arial" w:cs="Arial" w:eastAsia="Arial" w:hAnsi="Arial"/>
                <w:sz w:val="14"/>
                <w:szCs w:val="14"/>
                <w:color w:val="auto"/>
              </w:rPr>
              <w:t>Income taxes receivable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10,680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(10,598)</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4,548</w:t>
            </w:r>
          </w:p>
        </w:tc>
      </w:tr>
      <w:tr>
        <w:trPr>
          <w:trHeight w:val="186"/>
        </w:trPr>
        <w:tc>
          <w:tcPr>
            <w:tcW w:w="7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1"/>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 attributable to continuing operations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131,256</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111,299</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157,174</w:t>
            </w: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(35,065)</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(42,149)</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(20,041)</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sale of fixed assets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24,077</w:t>
            </w: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Purchase of equity investment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(80,000)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sale of equity investment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Acquisition of ValuePenguin, net of cash acquired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(105,578)</w:t>
            </w:r>
          </w:p>
        </w:tc>
      </w:tr>
      <w:tr>
        <w:trPr>
          <w:trHeight w:val="185"/>
        </w:trPr>
        <w:tc>
          <w:tcPr>
            <w:tcW w:w="7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Acquisition of QuoteWizard, net of cash acquired</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r>
      <w:tr>
        <w:trPr>
          <w:trHeight w:val="181"/>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 attributable to continuing operations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10,067</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(122,149)</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(101,060)</w:t>
            </w: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Payments related to net-share settlement of stock-based compensation, net of proceeds from exercise of stock options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(14,423)</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(3,910)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(8,406)</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Proceeds from the issuance of 0.50% Convertible Senior Notes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575,000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0.625% Convertible Senior Notes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(233,862)</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Payment of convertible note hedge on the 0.50% Convertible Senior Notes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(124,200)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Termination of convertible note hedge on the 0.625% Convertible Senior Notes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109,881</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Proceeds from the sale of warrants related to the 0.50% Convertible Senior Notes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61,180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Termination of warrants related to the 0.625% Convertible Senior Notes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(94,292)</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Net repayment of revolving credit facility</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(75,000)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debt issuance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(6,385)</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(16,568)</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Payment of original issue discount on undrawn term loan</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Contingent consideration payments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(21,275)</w:t>
            </w:r>
          </w:p>
        </w:tc>
      </w:tr>
      <w:tr>
        <w:trPr>
          <w:trHeight w:val="183"/>
        </w:trPr>
        <w:tc>
          <w:tcPr>
            <w:tcW w:w="7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81"/>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financing activities attributable to continuing operations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(63,347)</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193,290</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(87,678)</w:t>
            </w:r>
          </w:p>
        </w:tc>
      </w:tr>
      <w:tr>
        <w:trPr>
          <w:trHeight w:val="179"/>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cash provided by (used in) continuing operations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77,976</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182,440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(31,564)</w:t>
            </w: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3"/>
        </w:trPr>
        <w:tc>
          <w:tcPr>
            <w:tcW w:w="7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cash provided by (used in) operating activities attributable to discontinued operations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3,317</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(72,730)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(13,255)</w:t>
            </w:r>
          </w:p>
        </w:tc>
      </w:tr>
      <w:tr>
        <w:trPr>
          <w:trHeight w:val="181"/>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cash provided by (used in) discontinued operations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3,317</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(72,730)</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(13,255)</w:t>
            </w:r>
          </w:p>
        </w:tc>
      </w:tr>
      <w:tr>
        <w:trPr>
          <w:trHeight w:val="179"/>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increase (decrease) in cash, cash equivalents, restricted cash, and restricted cash equivalents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81,293</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109,710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(44,819)</w:t>
            </w:r>
          </w:p>
        </w:tc>
      </w:tr>
      <w:tr>
        <w:trPr>
          <w:trHeight w:val="177"/>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at beginning of period</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170,049</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60,339</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105,158</w:t>
            </w:r>
          </w:p>
        </w:tc>
      </w:tr>
      <w:tr>
        <w:trPr>
          <w:trHeight w:val="188"/>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cash equivalents, restricted cash, and restricted cash equivalents at end of period</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251,342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170,049</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60,339</w:t>
            </w:r>
          </w:p>
        </w:tc>
      </w:tr>
      <w:tr>
        <w:trPr>
          <w:trHeight w:val="199"/>
        </w:trPr>
        <w:tc>
          <w:tcPr>
            <w:tcW w:w="7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5"/>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increase in capital expenditures included in accounts payable and accrued expenses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4,196</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Capital additions from tenant improvement allowance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1,111</w:t>
            </w:r>
          </w:p>
        </w:tc>
      </w:tr>
      <w:tr>
        <w:trPr>
          <w:trHeight w:val="188"/>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3"/>
        </w:trPr>
        <w:tc>
          <w:tcPr>
            <w:tcW w:w="782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8,912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4,741</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7,005</w:t>
            </w:r>
          </w:p>
        </w:tc>
      </w:tr>
      <w:tr>
        <w:trPr>
          <w:trHeight w:val="188"/>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payments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0"/>
        </w:trPr>
        <w:tc>
          <w:tcPr>
            <w:tcW w:w="7820" w:type="dxa"/>
            <w:vAlign w:val="bottom"/>
          </w:tcPr>
          <w:p>
            <w:pPr>
              <w:ind w:left="140"/>
              <w:spacing w:after="0"/>
              <w:rPr>
                <w:sz w:val="20"/>
                <w:szCs w:val="20"/>
                <w:color w:val="auto"/>
              </w:rPr>
            </w:pPr>
            <w:r>
              <w:rPr>
                <w:rFonts w:ascii="Arial" w:cs="Arial" w:eastAsia="Arial" w:hAnsi="Arial"/>
                <w:sz w:val="14"/>
                <w:szCs w:val="14"/>
                <w:color w:val="auto"/>
              </w:rPr>
              <w:t>Income tax refunds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10,503</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4,743</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40"/>
          </w:cols>
          <w:pgMar w:left="320" w:top="118" w:right="339" w:bottom="6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696"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(loss)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21 </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considers customer expectations of performance, materiality and the core principles of Accounting Standards Codification ("ASC") Topic 606, Revenue from Contracts with Customers. The Company's services are generally transferred to the customer at a point in time.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Variable consideration is included in revenue if it is probable that a significant future reversal of cumulative revenue under the contract will not occur.</w:t>
      </w:r>
    </w:p>
    <w:p>
      <w:pPr>
        <w:spacing w:after="0" w:line="14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9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time between satisfaction of the Company's performance obligation and when the Company's right to consideration becomes unconditional varies across products but is generally less than 90 days for auto loans, personal loans, student loans and credit card approvals. The time between satisfaction of the Company's performance obligation and when the Company's right to consideration becomes unconditional for small business loans is generally less than 51 months.</w:t>
      </w:r>
    </w:p>
    <w:p>
      <w:pPr>
        <w:spacing w:after="0" w:line="26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payment terms vary by customer and services offered. The term between invoicing and when payment is due is generally 30 days or less.</w:t>
      </w:r>
    </w:p>
    <w:p>
      <w:pPr>
        <w:spacing w:after="0" w:line="1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Sales commissions are incremental costs of obtaining contracts with customers. The Company expenses sales commissions when incurred as the duration of contracts with customers is less than one year, based on the right of either party to terminate the contract with less than one year's notice without compensation to either party. These costs are recorded within selling and marketing expense on the consolidated statements of operations and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escrowed or contractually restricted for a specific purpose is designated as restricted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69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4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1,466</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25"/>
        </w:trPr>
        <w:tc>
          <w:tcPr>
            <w:tcW w:w="694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2,472</w:t>
            </w:r>
          </w:p>
        </w:tc>
        <w:tc>
          <w:tcPr>
            <w:tcW w:w="46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1,785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26"/>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(2,424)</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(1,859)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5"/>
        </w:trPr>
        <w:tc>
          <w:tcPr>
            <w:tcW w:w="6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Recoveries collected</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1,456</w:t>
            </w:r>
          </w:p>
        </w:tc>
        <w:tc>
          <w:tcPr>
            <w:tcW w:w="4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1,402</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1,466</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has three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or CODM, for the purpose of assessing performance and allocating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Property and equipment, including internally-developed software and significant improvements, are recorded at cost less accumulated depreciation. Due to the rapid advancements in technology and evolution of company products, all internally-developed software is written off at the end of its useful life. Repairs and maintenance and any gains or losses on dispositions are recognized as incurred in current operations.</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Category</w:t>
            </w:r>
          </w:p>
        </w:tc>
        <w:tc>
          <w:tcPr>
            <w:tcW w:w="5540" w:type="dxa"/>
            <w:vAlign w:val="bottom"/>
            <w:tcBorders>
              <w:bottom w:val="single" w:sz="8" w:color="auto"/>
            </w:tcBorders>
          </w:tcPr>
          <w:p>
            <w:pPr>
              <w:jc w:val="center"/>
              <w:ind w:left="1573"/>
              <w:spacing w:after="0"/>
              <w:rPr>
                <w:sz w:val="20"/>
                <w:szCs w:val="20"/>
                <w:color w:val="auto"/>
              </w:rPr>
            </w:pPr>
            <w:r>
              <w:rPr>
                <w:rFonts w:ascii="Arial" w:cs="Arial" w:eastAsia="Arial" w:hAnsi="Arial"/>
                <w:sz w:val="16"/>
                <w:szCs w:val="16"/>
                <w:b w:val="1"/>
                <w:bCs w:val="1"/>
                <w:color w:val="auto"/>
                <w:w w:val="89"/>
              </w:rPr>
              <w:t>Estimated Useful Lives</w:t>
            </w:r>
          </w:p>
        </w:tc>
      </w:tr>
      <w:tr>
        <w:trPr>
          <w:trHeight w:val="221"/>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capitalized software</w:t>
            </w:r>
          </w:p>
        </w:tc>
        <w:tc>
          <w:tcPr>
            <w:tcW w:w="5540" w:type="dxa"/>
            <w:vAlign w:val="bottom"/>
            <w:shd w:val="clear" w:color="auto" w:fill="CCEEFF"/>
          </w:tcPr>
          <w:p>
            <w:pPr>
              <w:jc w:val="center"/>
              <w:ind w:left="1593"/>
              <w:spacing w:after="0"/>
              <w:rPr>
                <w:sz w:val="20"/>
                <w:szCs w:val="20"/>
                <w:color w:val="auto"/>
              </w:rPr>
            </w:pPr>
            <w:r>
              <w:rPr>
                <w:rFonts w:ascii="Arial" w:cs="Arial" w:eastAsia="Arial" w:hAnsi="Arial"/>
                <w:sz w:val="18"/>
                <w:szCs w:val="18"/>
                <w:color w:val="auto"/>
                <w:w w:val="87"/>
              </w:rPr>
              <w:t>1 to 5 years</w:t>
            </w:r>
          </w:p>
        </w:tc>
      </w:tr>
      <w:tr>
        <w:trPr>
          <w:trHeight w:val="225"/>
        </w:trPr>
        <w:tc>
          <w:tcPr>
            <w:tcW w:w="57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540" w:type="dxa"/>
            <w:vAlign w:val="bottom"/>
          </w:tcPr>
          <w:p>
            <w:pPr>
              <w:jc w:val="center"/>
              <w:ind w:left="1593"/>
              <w:spacing w:after="0"/>
              <w:rPr>
                <w:sz w:val="20"/>
                <w:szCs w:val="20"/>
                <w:color w:val="auto"/>
              </w:rPr>
            </w:pPr>
            <w:r>
              <w:rPr>
                <w:rFonts w:ascii="Arial" w:cs="Arial" w:eastAsia="Arial" w:hAnsi="Arial"/>
                <w:sz w:val="18"/>
                <w:szCs w:val="18"/>
                <w:color w:val="auto"/>
                <w:w w:val="89"/>
              </w:rPr>
              <w:t>Lesser of asset life or life of lease</w:t>
            </w: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5540" w:type="dxa"/>
            <w:vAlign w:val="bottom"/>
            <w:shd w:val="clear" w:color="auto" w:fill="CCEEFF"/>
          </w:tcPr>
          <w:p>
            <w:pPr>
              <w:jc w:val="center"/>
              <w:ind w:left="1593"/>
              <w:spacing w:after="0"/>
              <w:rPr>
                <w:sz w:val="20"/>
                <w:szCs w:val="20"/>
                <w:color w:val="auto"/>
              </w:rPr>
            </w:pPr>
            <w:r>
              <w:rPr>
                <w:rFonts w:ascii="Arial" w:cs="Arial" w:eastAsia="Arial" w:hAnsi="Arial"/>
                <w:sz w:val="18"/>
                <w:szCs w:val="18"/>
                <w:color w:val="auto"/>
                <w:w w:val="84"/>
              </w:rPr>
              <w:t>7 years</w:t>
            </w:r>
          </w:p>
        </w:tc>
      </w:tr>
      <w:tr>
        <w:trPr>
          <w:trHeight w:val="22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Aircraft and automobile</w:t>
            </w:r>
          </w:p>
        </w:tc>
        <w:tc>
          <w:tcPr>
            <w:tcW w:w="5540" w:type="dxa"/>
            <w:vAlign w:val="bottom"/>
            <w:tcBorders>
              <w:bottom w:val="single" w:sz="8" w:color="auto"/>
            </w:tcBorders>
          </w:tcPr>
          <w:p>
            <w:pPr>
              <w:jc w:val="center"/>
              <w:ind w:left="1593"/>
              <w:spacing w:after="0"/>
              <w:rPr>
                <w:sz w:val="20"/>
                <w:szCs w:val="20"/>
                <w:color w:val="auto"/>
              </w:rPr>
            </w:pPr>
            <w:r>
              <w:rPr>
                <w:rFonts w:ascii="Arial" w:cs="Arial" w:eastAsia="Arial" w:hAnsi="Arial"/>
                <w:sz w:val="18"/>
                <w:szCs w:val="18"/>
                <w:color w:val="auto"/>
                <w:w w:val="86"/>
              </w:rPr>
              <w:t>5 to 10 years</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Hosting Arrangement that is a Service Contract</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Subsequent to the adoption of Accounting Standards Update ("ASU") 2018-15 in the first quarter of 2020, as described below, qualifying implementation costs incurred in a hosting arrangement that is a service contract are capitalized and deferred on a straight-line basis over the term of the hosting arrangement, which is typically one to five years. These costs are capitalized to prepaid and other current assets and other non-current assets on the balance sheet, and the associated amortization expense is included within general and administrative expense on the statement of operations and comprehensive income (loss). The majority of such capitalized implementation costs arise from internal and external labor associated with software development, described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Software development costs primarily include internal and external labor expenses incurred to develop the software that powers the Company's websites. Certain costs incurred during the application development stage are capitalized, either as property and equipment or as a hosting arrangement that is a service contract, based on specific activities tracked, while costs incurred during the preliminary project stage and post-implementation/operation stage are expensed as incurred. Capitalized software development costs are amortized over an estimated useful life of one to five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Goodwill acquired in business combinations is assigned to the reporting units that are expected to benefit from the combination as of the acquisition date. Goodwill and indefinite-lived intangible assets, consisting of certain trade names 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trademarks, are not amortized. Rather, these assets are tested annually for impairment as of October 1, or more frequently upon the occurrence of certain events or substantive changes in circumstances.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8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quantitative impairment test for goodwill involves a comparison of the fair value of a reporting unit with its carrying amount, including goodwill. The Company determines the fair value of its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If the carrying amount of a reporting unit exceeds its fair value, an impairment loss is recognized in an amount equal to that excess.</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7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Results of the October 1, 2021 and 2020 qualitative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October 1, 2019, the Company performed the first step of the quantitative goodwill impairment test and found that the fair value of each reporting unit exceeded its carrying amount, indicating no goodwill impairment. The Company changed its operating segments in the fourth quarter of 2019 and accordingly changed its reporting units. At December 31, 2019, the Company performed the first step of the quantitative goodwill impairment test and found that the fair value of each reporting unit exceeded its carrying amount, indicating no goodwill impairment. Results of the October 1, 2019 qualitative annual impairment tests for the indefinite-lived intangible assets indicated that it is not more likely than not that the fair value of the assets were each less than their respective carrying values. Accordingly, no further testing was required.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Long-lived assets include property and equipment, definite-lived intangible assets and operating lease right-of-use assets. Amortization of definite-lived intangible assets is recorded on a straight-line basis over their estimated lives.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to the adoption of ASU 2018-15, described below, capitalized implementation costs incurred in a hosting arrangement that is a service contract are also allocated to and included within long-lived asset groups tested for recoverability.</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Long-lived asset groups are tested for recoverability whenever events or changes in circumstances indicate that their carrying amounts may not be recoverable. The carrying amount of a long-lived asset group is not recoverable if it exceeds the sum of the undiscounted cash flows expected to result from the use and eventual disposition of the asset group. If the carrying amount is deemed to not be recoverable, an impairment loss is recorded as the amount by which the carrying amount of the long-lived asset group exceeds its fair value.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December 31, 2021 and 2020, the Company performed its review of impairment triggering events for long-lived asset groups and determined that a triggering event had not occurred.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69"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1</w:t>
      </w:r>
      <w:r>
        <w:rPr>
          <w:rFonts w:ascii="Arial" w:cs="Arial" w:eastAsia="Arial" w:hAnsi="Arial"/>
          <w:sz w:val="17"/>
          <w:szCs w:val="17"/>
          <w:color w:val="auto"/>
        </w:rPr>
        <w:t>: Observable inputs, such as quoted prices for identical assets and liabilities in active markets obtained from independent sources.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640" w:hanging="316"/>
        <w:spacing w:after="0" w:line="258"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Level 2</w:t>
      </w:r>
      <w:r>
        <w:rPr>
          <w:rFonts w:ascii="Arial" w:cs="Arial" w:eastAsia="Arial" w:hAnsi="Arial"/>
          <w:sz w:val="18"/>
          <w:szCs w:val="18"/>
          <w:color w:val="auto"/>
        </w:rPr>
        <w:t>: Other inputs that are observable directly or indirectly, such as quoted prices for similar assets or liabilities in active markets,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identical or similar assets or liabilities in markets that are not active and inputs that are derived principally from or corroborated by observable market data.</w:t>
      </w:r>
    </w:p>
    <w:p>
      <w:pPr>
        <w:spacing w:after="0" w:line="74" w:lineRule="exact"/>
        <w:rPr>
          <w:rFonts w:ascii="Arial" w:cs="Arial" w:eastAsia="Arial" w:hAnsi="Arial"/>
          <w:sz w:val="18"/>
          <w:szCs w:val="18"/>
          <w:color w:val="auto"/>
        </w:rPr>
      </w:pPr>
    </w:p>
    <w:p>
      <w:pPr>
        <w:ind w:left="640" w:hanging="316"/>
        <w:spacing w:after="0" w:line="372"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b w:val="1"/>
          <w:bCs w:val="1"/>
          <w:u w:val="single" w:color="auto"/>
          <w:color w:val="auto"/>
        </w:rPr>
        <w:t>Level 3</w:t>
      </w:r>
      <w:r>
        <w:rPr>
          <w:rFonts w:ascii="Arial" w:cs="Arial" w:eastAsia="Arial" w:hAnsi="Arial"/>
          <w:sz w:val="15"/>
          <w:szCs w:val="15"/>
          <w:color w:val="auto"/>
        </w:rPr>
        <w:t>: Unobservable inputs for which there is little or no market data and which require the Company to develop its own assumptions, based on the</w:t>
      </w:r>
      <w:r>
        <w:rPr>
          <w:rFonts w:ascii="Arial" w:cs="Arial" w:eastAsia="Arial" w:hAnsi="Arial"/>
          <w:sz w:val="15"/>
          <w:szCs w:val="15"/>
          <w:b w:val="1"/>
          <w:bCs w:val="1"/>
          <w:color w:val="auto"/>
        </w:rPr>
        <w:t xml:space="preserve"> </w:t>
      </w:r>
      <w:r>
        <w:rPr>
          <w:rFonts w:ascii="Arial" w:cs="Arial" w:eastAsia="Arial" w:hAnsi="Arial"/>
          <w:sz w:val="15"/>
          <w:szCs w:val="15"/>
          <w:color w:val="auto"/>
        </w:rPr>
        <w:t>best information available under the circumstances, about the assumptions market participants would use in pricing the asset or liability.</w:t>
      </w:r>
    </w:p>
    <w:p>
      <w:pPr>
        <w:spacing w:after="0" w:line="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 and comprehensive income (loss). At December 31, 2021, the Company had no outstanding contingent consideration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 of revenue consists primarily of expenses associated with compensation and other employee-related costs (including stock-based compensation) related to internally-operated customer call centers, third-party customer call center fees, credit scoring fees, credit card fees, website network hosting and server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1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Advertising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expense was $716.6 million, $567.7 million and $688.2 million for the years ended December 31, 2021, 2020 and 2019, respectively, and is included in selling and marketing expense on the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Income taxes are accounted for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For the years ended December 31, 2021, 2020 and 2019, the Company followed the incremental or "with" and "without" approach to intraperiod tax allocation for determination of the amount of tax benefit to allocate to continuing operations as prescribed in ASC 740-20-45-7.</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1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The forms of stock-based awards granted to LendingTree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the Company's Chairman and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w:t>
      </w:r>
    </w:p>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LendingTree recognizes as expense non-cash compensation for all stock-based awards for which vesting is considered probable. Forfeitures are recognized when they occur.</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For service-based awards, non-cash compensation is measured at fair value on the grant date and expensed ratably over the vesting term. The fair value of stock option awards without a market condition and Employee Stock Purchase Rights are typically estimated using the Black-Scholes option pricing model, while the fair value of an RSU or RSA is measured as the closing common stock price at the time of grant. For performance-based grants, the fair value is measured on the grant date and recognized as non-cash compensation expense, considering the probability of the targets being achieved. Performance-based grants with a market condition are typically valued using a Monte Carlo simulation model. Non-cash compensation expense for single cliff-vesting grants with a market condition are recognized on a straight-line basis, while graded-vesting grants with a market condition use graded vesting expense attribution.</w:t>
      </w:r>
    </w:p>
    <w:p>
      <w:pPr>
        <w:spacing w:after="0" w:line="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Excess tax benefits and deficiencies that arise due to the difference in the measure of stock compensation and the amount deductible for tax purposes are recorded in income tax expense within the consolidated statement of operations and comprehensive income (loss), and are classified as a component of operating cash flows within the consolidated statements of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 allowances, reserves and accruals; assumptions related to the determination of stock-based compensation; and the determination of right-of-use assets and lease liabilities.</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considered the impact of the COVID-19 pandemic on the assumptions and estimates used when preparing its financial statements including, but not limited to, the allowance for doubtful accounts, valuation allowances, contract asset 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contingent consideration. These assumptions and estimates may change as new events occur and additional information is obtained. If economic conditions caused by the COVID-19 pandemic worsen, such future changes may have an adverse impact on the Company's results of operations, financial position and liquidity.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Financial instruments, which potentially subject the Company to concentration of credit risk at December 31, 2021,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Due to the nature of the mortgage lending industry, interest rate fluctuations may negatively impact future revenue from the Company's marketplace.</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 ended December 31, 2021, there were no network partners accounting for more than 10% of total revenue. For the years ended December 31, 2020 and 2019, one network partner accounted for 15% and 12%, respectively, of total consolidated revenue, all of which was recorded within the Insurance segment.</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May 2021, the FASB issued ASU 2021-04 to clarify and reduce diversity in accounting for modifications or exchanges of freestanding equity-classified written call options that remain equity classified after modification or exchange. The amendments clarify that a modification of the terms or conditions or an exchange of a freestanding equity-classified written call option that remains equity classified after modification or exchange should be accounted for as an exchange of the original instrument for a new instrument. This ASU is effective for annual and interim reporting periods beginning after December 15, 2021. Early adoption is permitted, including adoption in interim periods. An entity should adopt the guidance as of the beginning of its annual fiscal year. The amendments should be applied prospectively to modifications or exchanges occurring on or after the date of adoption. The Company adopted ASU 2021-04 in the second quarter of 2021.</w:t>
      </w:r>
    </w:p>
    <w:p>
      <w:pPr>
        <w:spacing w:after="0" w:line="1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December 2019, the FASB issued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is permitted, including adoption in interim periods. Entities electing early adoption must adopt all amendments in the same period. Most amendments must be applied prospectively while others are to be applied on a retrospective basis for all periods presented or a modified retrospective basis through a cumulative-effect adjustment to retained earnings as of the beginning of the fiscal year of adoption. The Company adopted ASU 2019-12 in the first quarter of 2021. The amendments applicable to the Company required prospective application, and do not have material impacts to its consolidated financial statements.</w:t>
      </w:r>
    </w:p>
    <w:p>
      <w:pPr>
        <w:spacing w:after="0" w:line="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August 2018, the Financial Accounting Standards Board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The amendments should be applied either retrospectively or prospectively to all implementation costs incurred after the date of adoption. The Company adopted ASU 2018-15 in the first quarter of 2020 using the prospective approach. Subsequent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to the adoption of this ASU, capitalizable implementation costs incurred in a hosting arrangement that is a service contract are recorded within prepaid and other current assets and other non-current assets on the consolidated balance sheet. The amortization expense associated with these capitalized implementation costs is included within general and administrative expense on the consolidated statement of operations and comprehensive income (loss). The adoption of ASU 2018-15 did not have a material impact on the consolidated financial statements as of and for the year ended December 31,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6—Hosting Arrangements.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August 2018, the FASB issued ASU 2018-13, which removes, modifies and adds certain disclosure requirements in ASC Topic 820, Fair Value Measurement. This ASU is effective for annual and interim reporting periods beginning after December 15, 2019. Certain amendments must be applied prospectively while others are to be applied on a retrospective basis to all periods presented. The Company adopted ASU 2018-13 in the first quarter of 2020. </w:t>
      </w:r>
      <w:r>
        <w:rPr>
          <w:rFonts w:ascii="Arial" w:cs="Arial" w:eastAsia="Arial" w:hAnsi="Arial"/>
          <w:sz w:val="18"/>
          <w:szCs w:val="18"/>
          <w:i w:val="1"/>
          <w:iCs w:val="1"/>
          <w:color w:val="auto"/>
        </w:rPr>
        <w:t xml:space="preserve">See </w:t>
      </w:r>
      <w:r>
        <w:rPr>
          <w:rFonts w:ascii="Arial" w:cs="Arial" w:eastAsia="Arial" w:hAnsi="Arial"/>
          <w:sz w:val="18"/>
          <w:szCs w:val="18"/>
          <w:color w:val="auto"/>
        </w:rPr>
        <w:t>Note 18—Fair Value Measurements.</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The Company adopted ASU 2017-04 in the first quarter of 2020.</w:t>
      </w:r>
    </w:p>
    <w:p>
      <w:pPr>
        <w:spacing w:after="0" w:line="8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Instruments—Credit Losses, which replaces the existing incurred loss model and is applicable to financial assets measured at amortized cost, including trade receivables and certain other financial assets that have the contractual right to receive cash. ASC Topic 326 is effective for annual and interim reporting periods beginning after December 15, 2019. The guidance must be adopted using a modified retrospective transition. The Company adopted ASC Topic 326 as of January 1, 2020, which did not result in any cumulative effect adjustment to the opening balance of accumulated deficit in the period of adoption.</w:t>
      </w:r>
    </w:p>
    <w:p>
      <w:pPr>
        <w:spacing w:after="0" w:line="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February 2016, the FASB issued ASU 2016-02 related to lease accounting guidance. This ASU introduces ASC Topic 842, Leases, which supersedes ASC Topic 840, Leases. In 2018 and 2019, the FASB issued final amendments clarifying certain narrow aspects of implementing ASU 2016-02, including clarifications related to the rate implicit in the lease, lessee reassessment of lease classification, lessor reassessment of lease term and purchase options, variable payments that depend on an index or rate, transition disclosures and certain other transition matters. The clarification ASUs also provided an optional transition method that allows entities to initially apply the lease accounting transition requirements at the adoption date and recognize a cumulative effect adjustment to the opening balance of retained earnings in the period of adoption without restating comparative prior periods presented. The clarification ASUs must be adopted concurrently with the adoption of ASU 2016-02 (collectively, "ASC Topic 842").</w:t>
      </w:r>
    </w:p>
    <w:p>
      <w:pPr>
        <w:spacing w:after="0" w:line="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adopted ASC Topic 842 as of January 1, 2019, using the optional transition method to apply the new requirements at the adoption date without restating comparative prior periods presented. The adoption resulted in the increase in total assets and total liabilities of $8.8 million as of January 1, 2019, related to operating leases greater than one year in duration for which the Company is the lessee, with no cumulative effect adjustment to the opening balance of accumulated deficit. As part of the transition, the Company elected the package of practical expedients, which allows the Company to not reassess whether expired or existing contracts contain leases, lease classification for expired or existing leases, and initial direct costs for existing leases. Additionally, the Company elected an accounting policy to not record short-term leases, which are leases with an initial term of twelve months or fewer, on the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August 2020, the FASB issued ASU 2020-06, which simplifies the accounting for convertible instruments, amends the derivatives scope exception guidance for contracts in an entity’s own equity, and amends the related earnings-per-share guidance. This ASU is effective for annual and interim reporting periods beginning after December 15, 2021. Early adoption is permitted for fiscal years beginning after December 15, 2020, including adoption in interim periods. An entity should adopt the guidance as of the beginning of its annual fiscal year. An entity may adopt the amendments through either a modified retrospective method of transition or a fully retrospective method of transition. The Company plans to adopt the amendments through the modified retrospective method of transition in the first quarter of 2022. As a result, the Company's convertible senior notes will be stated on its consolidated balance sheet at their principal amounts, net of debt issuance costs. The Company will record a cumulative-effect adjustment to retained earnings related to prior interest costs associated with the debt discount initially recorded upon issuance of the notes and will record a decrease to additional paid in capital. The cumulative-effect adjustment is expected to increase retained earnings by approximately $61 million. Additionally, ASU 2020-06 will result in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reporting of diluted earnings per share, if the effect is dilutive, in our consolidated financial statements, regardless of our settlement intent.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9"/>
              </w:rPr>
              <w:t>Year Ended December 31,</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0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441,738</w:t>
            </w:r>
          </w:p>
        </w:tc>
        <w:tc>
          <w:tcPr>
            <w:tcW w:w="50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320,992</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277,935</w:t>
            </w:r>
          </w:p>
        </w:tc>
      </w:tr>
      <w:tr>
        <w:trPr>
          <w:trHeight w:val="225"/>
        </w:trPr>
        <w:tc>
          <w:tcPr>
            <w:tcW w:w="5740" w:type="dxa"/>
            <w:vAlign w:val="bottom"/>
          </w:tcPr>
          <w:p>
            <w:pPr>
              <w:ind w:left="140"/>
              <w:spacing w:after="0"/>
              <w:rPr>
                <w:sz w:val="20"/>
                <w:szCs w:val="20"/>
                <w:color w:val="auto"/>
              </w:rPr>
            </w:pPr>
            <w:r>
              <w:rPr>
                <w:rFonts w:ascii="Arial" w:cs="Arial" w:eastAsia="Arial" w:hAnsi="Arial"/>
                <w:sz w:val="18"/>
                <w:szCs w:val="18"/>
                <w:color w:val="auto"/>
              </w:rPr>
              <w:t>Credit cards</w:t>
            </w:r>
          </w:p>
        </w:tc>
        <w:tc>
          <w:tcPr>
            <w:tcW w:w="420" w:type="dxa"/>
            <w:vAlign w:val="bottom"/>
          </w:tcPr>
          <w:p>
            <w:pPr>
              <w:spacing w:after="0"/>
              <w:rPr>
                <w:sz w:val="19"/>
                <w:szCs w:val="19"/>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93,420</w:t>
            </w:r>
          </w:p>
        </w:tc>
        <w:tc>
          <w:tcPr>
            <w:tcW w:w="50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77,361</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211,294</w:t>
            </w:r>
          </w:p>
        </w:tc>
      </w:tr>
      <w:tr>
        <w:trPr>
          <w:trHeight w:val="226"/>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loans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110,099</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66,513</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152,729</w:t>
            </w:r>
          </w:p>
        </w:tc>
      </w:tr>
      <w:tr>
        <w:trPr>
          <w:trHeight w:val="225"/>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126,426</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109,324</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151,014</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329,945</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253,198</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515,037</w:t>
            </w:r>
          </w:p>
        </w:tc>
      </w:tr>
      <w:tr>
        <w:trPr>
          <w:trHeight w:val="225"/>
        </w:trPr>
        <w:tc>
          <w:tcPr>
            <w:tcW w:w="57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420" w:type="dxa"/>
            <w:vAlign w:val="bottom"/>
          </w:tcPr>
          <w:p>
            <w:pPr>
              <w:spacing w:after="0"/>
              <w:rPr>
                <w:sz w:val="19"/>
                <w:szCs w:val="19"/>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326,153</w:t>
            </w:r>
          </w:p>
        </w:tc>
        <w:tc>
          <w:tcPr>
            <w:tcW w:w="50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333,765</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284,792</w:t>
            </w:r>
          </w:p>
        </w:tc>
      </w:tr>
      <w:tr>
        <w:trPr>
          <w:trHeight w:val="225"/>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663</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2,035</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28,839</w:t>
            </w:r>
          </w:p>
        </w:tc>
      </w:tr>
      <w:tr>
        <w:trPr>
          <w:trHeight w:val="226"/>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1,098,499</w:t>
            </w:r>
          </w:p>
        </w:tc>
        <w:tc>
          <w:tcPr>
            <w:tcW w:w="50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909,990</w:t>
            </w: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1,106,603</w:t>
            </w:r>
          </w:p>
        </w:tc>
      </w:tr>
    </w:tbl>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in the Company's Consumer business was $9.1 million and $6.4 million on December 31, 2021 and 2020, respectively.</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contract liability recorded within accrued expenses and other current liabilities on the consolidated balance sheets related to upfront fees paid by consumers in the Company's Consumer business was $0.8 million and $0.7 million at December 31, 2021 and 2020, respectively. During 2021, the Company recognized revenue of $0.7 million that was included in the contract liability balance at December 31, 2020. During 2020, the Company recognized revenue of $0.6 million that was included in the contract liability balance at December 31, 2019.</w:t>
      </w:r>
    </w:p>
    <w:p>
      <w:pPr>
        <w:spacing w:after="0" w:line="7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$0.7 million, $0.3 million and $4.4 million in 2021, 2020 and 2019,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December 31, 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251,231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169,932</w:t>
            </w:r>
          </w:p>
        </w:tc>
      </w:tr>
      <w:tr>
        <w:trPr>
          <w:trHeight w:val="225"/>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5"/>
        </w:trPr>
        <w:tc>
          <w:tcPr>
            <w:tcW w:w="8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251,342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0"/>
              </w:rPr>
              <w:t>December 31, 2021</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December 31, 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capitalized software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46,341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34,777</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34,485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5,012</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9,942</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Aircraft and automobile</w:t>
            </w:r>
          </w:p>
        </w:tc>
        <w:tc>
          <w:tcPr>
            <w:tcW w:w="12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2,621</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225"/>
        </w:trPr>
        <w:tc>
          <w:tcPr>
            <w:tcW w:w="8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Projects in progress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7,403</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36,919</w:t>
            </w:r>
          </w:p>
        </w:tc>
      </w:tr>
      <w:tr>
        <w:trPr>
          <w:trHeight w:val="21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Total gross property and equipment</w:t>
            </w:r>
          </w:p>
        </w:tc>
        <w:tc>
          <w:tcPr>
            <w:tcW w:w="12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b w:val="1"/>
                <w:bCs w:val="1"/>
                <w:color w:val="auto"/>
              </w:rPr>
              <w:t>100,792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82,619</w:t>
            </w:r>
          </w:p>
        </w:tc>
      </w:tr>
      <w:tr>
        <w:trPr>
          <w:trHeight w:val="225"/>
        </w:trPr>
        <w:tc>
          <w:tcPr>
            <w:tcW w:w="8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r>
      <w:tr>
        <w:trPr>
          <w:trHeight w:val="226"/>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72,477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62,381</w:t>
            </w:r>
          </w:p>
        </w:tc>
      </w:tr>
    </w:tbl>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Unamortized capitalized software development costs recorded in property and equipment, whether in service or under development, are $26.4 million and $24.8 million at December 31, 2021 and 2020, respectively. Capitalized software development depreciation expense was $13.3 million, $11.1 million and $8.6 million for the years ended December 31, 2021, 2020 and 2019, respectively.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Long-lived assets located outside the United States, the Company's country of domicile, were $0.1 million at each of December 31, 2021 and 2020.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6—HOSTING ARRANGEMENTS</w:t>
      </w: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The balance of capitalized implementation costs incurred in a hosting arrangement that is a service contract, which are recorded within prepaid and other current assets and other non-current assets,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2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 2021</w:t>
            </w:r>
          </w:p>
        </w:tc>
        <w:tc>
          <w:tcPr>
            <w:tcW w:w="440" w:type="dxa"/>
            <w:vAlign w:val="bottom"/>
          </w:tcPr>
          <w:p>
            <w:pPr>
              <w:spacing w:after="0"/>
              <w:rPr>
                <w:sz w:val="16"/>
                <w:szCs w:val="16"/>
                <w:color w:val="auto"/>
              </w:rPr>
            </w:pPr>
          </w:p>
        </w:tc>
        <w:tc>
          <w:tcPr>
            <w:tcW w:w="2920" w:type="dxa"/>
            <w:vAlign w:val="bottom"/>
            <w:gridSpan w:val="3"/>
          </w:tcPr>
          <w:p>
            <w:pPr>
              <w:jc w:val="right"/>
              <w:ind w:right="85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6"/>
                <w:szCs w:val="16"/>
                <w:b w:val="1"/>
                <w:bCs w:val="1"/>
                <w:color w:val="auto"/>
                <w:w w:val="92"/>
              </w:rPr>
              <w:t>Current portion</w:t>
            </w:r>
          </w:p>
        </w:tc>
        <w:tc>
          <w:tcPr>
            <w:tcW w:w="4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ind w:left="60"/>
              <w:spacing w:after="0" w:line="158" w:lineRule="exact"/>
              <w:rPr>
                <w:sz w:val="20"/>
                <w:szCs w:val="20"/>
                <w:color w:val="auto"/>
              </w:rPr>
            </w:pPr>
            <w:r>
              <w:rPr>
                <w:rFonts w:ascii="Arial" w:cs="Arial" w:eastAsia="Arial" w:hAnsi="Arial"/>
                <w:sz w:val="16"/>
                <w:szCs w:val="16"/>
                <w:b w:val="1"/>
                <w:bCs w:val="1"/>
                <w:color w:val="auto"/>
              </w:rPr>
              <w:t>Non-current</w:t>
            </w: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6"/>
                <w:szCs w:val="16"/>
                <w:b w:val="1"/>
                <w:bCs w:val="1"/>
                <w:color w:val="auto"/>
                <w:w w:val="92"/>
              </w:rPr>
              <w:t>Current portion</w:t>
            </w:r>
          </w:p>
        </w:tc>
        <w:tc>
          <w:tcPr>
            <w:tcW w:w="4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54"/>
              <w:spacing w:after="0" w:line="158" w:lineRule="exact"/>
              <w:rPr>
                <w:sz w:val="20"/>
                <w:szCs w:val="20"/>
                <w:color w:val="auto"/>
              </w:rPr>
            </w:pPr>
            <w:r>
              <w:rPr>
                <w:rFonts w:ascii="Arial" w:cs="Arial" w:eastAsia="Arial" w:hAnsi="Arial"/>
                <w:sz w:val="16"/>
                <w:szCs w:val="16"/>
                <w:b w:val="1"/>
                <w:bCs w:val="1"/>
                <w:color w:val="auto"/>
                <w:w w:val="96"/>
              </w:rPr>
              <w:t>Non-current</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portion</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portion</w:t>
            </w:r>
          </w:p>
        </w:tc>
        <w:tc>
          <w:tcPr>
            <w:tcW w:w="0" w:type="dxa"/>
            <w:vAlign w:val="bottom"/>
          </w:tcPr>
          <w:p>
            <w:pPr>
              <w:spacing w:after="0"/>
              <w:rPr>
                <w:sz w:val="1"/>
                <w:szCs w:val="1"/>
                <w:color w:val="auto"/>
              </w:rPr>
            </w:pPr>
          </w:p>
        </w:tc>
      </w:tr>
      <w:tr>
        <w:trPr>
          <w:trHeight w:val="221"/>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implementation costs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530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Projects in progress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367</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505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gross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2,138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1,035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6"/>
        </w:trPr>
        <w:tc>
          <w:tcPr>
            <w:tcW w:w="4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net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2,047</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2,714</w:t>
            </w: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1,035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Amortization expense included within general and administrative expense on the consolidated statement of operations and comprehensive income (loss) associated with these capitalized implementation costs was $1.1 million and $0.2 million for the year ended December 31, 2021 and 2020, respectively.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 AND INTANGIBLE ASSETS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Goodwill</w:t>
            </w:r>
          </w:p>
        </w:tc>
        <w:tc>
          <w:tcPr>
            <w:tcW w:w="12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30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Net Goodwill</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Impairment Loss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903,227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Changes in goodwill</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903,227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Changes in goodwill</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903,227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463"/>
        </w:trPr>
        <w:tc>
          <w:tcPr>
            <w:tcW w:w="6760" w:type="dxa"/>
            <w:vAlign w:val="bottom"/>
          </w:tcPr>
          <w:p>
            <w:pPr>
              <w:ind w:left="32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December 31, 2021</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10,142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75,621</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118,360</w:t>
            </w:r>
          </w:p>
        </w:tc>
        <w:tc>
          <w:tcPr>
            <w:tcW w:w="0" w:type="dxa"/>
            <w:vAlign w:val="bottom"/>
          </w:tcPr>
          <w:p>
            <w:pPr>
              <w:spacing w:after="0"/>
              <w:rPr>
                <w:sz w:val="1"/>
                <w:szCs w:val="1"/>
                <w:color w:val="auto"/>
              </w:rPr>
            </w:pPr>
          </w:p>
        </w:tc>
      </w:tr>
      <w:tr>
        <w:trPr>
          <w:trHeight w:val="226"/>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85,763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128,502</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goodwill at each of December 31, 2021 and 2020 consists of $59.3 million associated with the Home segment, $166.1 million associated with the Consumer segment, and $194.7 million associated with the Insurance segment. Prior to the fourth quarter of 2019, the Company's goodwill was associated with its then one reportable segment. Results of the annual impairment test as of October 1, 2021 indicated that no impairment had occurred.</w:t>
      </w:r>
    </w:p>
    <w:p>
      <w:pPr>
        <w:spacing w:after="0" w:line="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Intangible assets with indefinite lives relate to the Company's trademarks. Results of the annual impairment test as of October 1, 2021 indicated that no impairment had occurred.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780" w:type="dxa"/>
            <w:vAlign w:val="bottom"/>
            <w:gridSpan w:val="2"/>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2"/>
            <w:vMerge w:val="restart"/>
          </w:tcPr>
          <w:p>
            <w:pPr>
              <w:jc w:val="right"/>
              <w:ind w:right="495"/>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780" w:type="dxa"/>
            <w:vAlign w:val="bottom"/>
            <w:gridSpan w:val="2"/>
          </w:tcPr>
          <w:p>
            <w:pPr>
              <w:jc w:val="right"/>
              <w:ind w:right="778"/>
              <w:spacing w:after="0" w:line="133"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1"/>
                <w:szCs w:val="11"/>
                <w:color w:val="auto"/>
              </w:rPr>
            </w:pPr>
          </w:p>
        </w:tc>
        <w:tc>
          <w:tcPr>
            <w:tcW w:w="1000" w:type="dxa"/>
            <w:vAlign w:val="bottom"/>
            <w:gridSpan w:val="2"/>
            <w:vMerge w:val="restart"/>
          </w:tcPr>
          <w:p>
            <w:pPr>
              <w:jc w:val="right"/>
              <w:ind w:right="414"/>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14"/>
                <w:szCs w:val="14"/>
                <w:b w:val="1"/>
                <w:bCs w:val="1"/>
                <w:color w:val="auto"/>
              </w:rPr>
              <w:t>Amortization Life</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655"/>
              <w:spacing w:after="0"/>
              <w:rPr>
                <w:sz w:val="20"/>
                <w:szCs w:val="20"/>
                <w:color w:val="auto"/>
              </w:rPr>
            </w:pPr>
            <w:r>
              <w:rPr>
                <w:rFonts w:ascii="Arial" w:cs="Arial" w:eastAsia="Arial" w:hAnsi="Arial"/>
                <w:sz w:val="14"/>
                <w:szCs w:val="14"/>
                <w:b w:val="1"/>
                <w:bCs w:val="1"/>
                <w:color w:val="auto"/>
                <w:w w:val="93"/>
              </w:rPr>
              <w:t>Amortization</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780" w:type="dxa"/>
            <w:vAlign w:val="bottom"/>
            <w:gridSpan w:val="2"/>
            <w:shd w:val="clear" w:color="auto" w:fill="CCEEFF"/>
          </w:tcPr>
          <w:p>
            <w:pPr>
              <w:jc w:val="center"/>
              <w:ind w:right="38"/>
              <w:spacing w:after="0"/>
              <w:rPr>
                <w:sz w:val="20"/>
                <w:szCs w:val="20"/>
                <w:color w:val="auto"/>
              </w:rPr>
            </w:pPr>
            <w:r>
              <w:rPr>
                <w:rFonts w:ascii="Arial" w:cs="Arial" w:eastAsia="Arial" w:hAnsi="Arial"/>
                <w:sz w:val="18"/>
                <w:szCs w:val="18"/>
                <w:i w:val="1"/>
                <w:iCs w:val="1"/>
                <w:color w:val="auto"/>
                <w:w w:val="89"/>
              </w:rPr>
              <w:t>4.3 years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(69,369)</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25"/>
        </w:trPr>
        <w:tc>
          <w:tcPr>
            <w:tcW w:w="4500" w:type="dxa"/>
            <w:vAlign w:val="bottom"/>
          </w:tcPr>
          <w:p>
            <w:pPr>
              <w:ind w:left="340"/>
              <w:spacing w:after="0"/>
              <w:rPr>
                <w:sz w:val="20"/>
                <w:szCs w:val="20"/>
                <w:color w:val="auto"/>
              </w:rPr>
            </w:pPr>
            <w:r>
              <w:rPr>
                <w:rFonts w:ascii="Arial" w:cs="Arial" w:eastAsia="Arial" w:hAnsi="Arial"/>
                <w:sz w:val="18"/>
                <w:szCs w:val="18"/>
                <w:color w:val="auto"/>
              </w:rPr>
              <w:t>Customer lists</w:t>
            </w:r>
          </w:p>
        </w:tc>
        <w:tc>
          <w:tcPr>
            <w:tcW w:w="1780" w:type="dxa"/>
            <w:vAlign w:val="bottom"/>
            <w:gridSpan w:val="2"/>
          </w:tcPr>
          <w:p>
            <w:pPr>
              <w:jc w:val="center"/>
              <w:ind w:right="38"/>
              <w:spacing w:after="0"/>
              <w:rPr>
                <w:sz w:val="20"/>
                <w:szCs w:val="20"/>
                <w:color w:val="auto"/>
              </w:rPr>
            </w:pPr>
            <w:r>
              <w:rPr>
                <w:rFonts w:ascii="Arial" w:cs="Arial" w:eastAsia="Arial" w:hAnsi="Arial"/>
                <w:sz w:val="18"/>
                <w:szCs w:val="18"/>
                <w:i w:val="1"/>
                <w:iCs w:val="1"/>
                <w:color w:val="auto"/>
                <w:w w:val="87"/>
              </w:rPr>
              <w:t>13.2 years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77,300</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(24,668)</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52,632</w:t>
            </w:r>
          </w:p>
        </w:tc>
        <w:tc>
          <w:tcPr>
            <w:tcW w:w="0" w:type="dxa"/>
            <w:vAlign w:val="bottom"/>
          </w:tcPr>
          <w:p>
            <w:pPr>
              <w:spacing w:after="0"/>
              <w:rPr>
                <w:sz w:val="1"/>
                <w:szCs w:val="1"/>
                <w:color w:val="auto"/>
              </w:rPr>
            </w:pPr>
          </w:p>
        </w:tc>
      </w:tr>
      <w:tr>
        <w:trPr>
          <w:trHeight w:val="226"/>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 and tradenames</w:t>
            </w:r>
          </w:p>
        </w:tc>
        <w:tc>
          <w:tcPr>
            <w:tcW w:w="1780" w:type="dxa"/>
            <w:vAlign w:val="bottom"/>
            <w:gridSpan w:val="2"/>
            <w:shd w:val="clear" w:color="auto" w:fill="CCEEFF"/>
          </w:tcPr>
          <w:p>
            <w:pPr>
              <w:jc w:val="center"/>
              <w:ind w:right="38"/>
              <w:spacing w:after="0"/>
              <w:rPr>
                <w:sz w:val="20"/>
                <w:szCs w:val="20"/>
                <w:color w:val="auto"/>
              </w:rPr>
            </w:pPr>
            <w:r>
              <w:rPr>
                <w:rFonts w:ascii="Arial" w:cs="Arial" w:eastAsia="Arial" w:hAnsi="Arial"/>
                <w:sz w:val="18"/>
                <w:szCs w:val="18"/>
                <w:i w:val="1"/>
                <w:iCs w:val="1"/>
                <w:color w:val="auto"/>
                <w:w w:val="89"/>
              </w:rPr>
              <w:t>4.9 years</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(7,767)</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Website content</w:t>
            </w:r>
          </w:p>
        </w:tc>
        <w:tc>
          <w:tcPr>
            <w:tcW w:w="178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8"/>
                <w:szCs w:val="18"/>
                <w:i w:val="1"/>
                <w:iCs w:val="1"/>
                <w:color w:val="auto"/>
                <w:w w:val="89"/>
              </w:rPr>
              <w:t>3.0 years</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26,100</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(25,375)</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at December 31, 2021</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202,800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b w:val="1"/>
                <w:bCs w:val="1"/>
                <w:color w:val="auto"/>
              </w:rPr>
              <w:t>(127,179)</w:t>
            </w:r>
          </w:p>
        </w:tc>
        <w:tc>
          <w:tcPr>
            <w:tcW w:w="4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75,621</w:t>
            </w:r>
          </w:p>
        </w:tc>
        <w:tc>
          <w:tcPr>
            <w:tcW w:w="0" w:type="dxa"/>
            <w:vAlign w:val="bottom"/>
          </w:tcPr>
          <w:p>
            <w:pPr>
              <w:spacing w:after="0"/>
              <w:rPr>
                <w:sz w:val="1"/>
                <w:szCs w:val="1"/>
                <w:color w:val="auto"/>
              </w:rPr>
            </w:pPr>
          </w:p>
        </w:tc>
      </w:tr>
      <w:tr>
        <w:trPr>
          <w:trHeight w:val="358"/>
        </w:trPr>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32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295"/>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24"/>
                <w:szCs w:val="24"/>
                <w:color w:val="auto"/>
              </w:rPr>
            </w:pPr>
          </w:p>
        </w:tc>
        <w:tc>
          <w:tcPr>
            <w:tcW w:w="10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Amortization Life</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78"/>
              <w:spacing w:after="0"/>
              <w:rPr>
                <w:sz w:val="20"/>
                <w:szCs w:val="20"/>
                <w:color w:val="auto"/>
              </w:rPr>
            </w:pPr>
            <w:r>
              <w:rPr>
                <w:rFonts w:ascii="Arial" w:cs="Arial" w:eastAsia="Arial" w:hAnsi="Arial"/>
                <w:sz w:val="18"/>
                <w:szCs w:val="18"/>
                <w:i w:val="1"/>
                <w:iCs w:val="1"/>
                <w:color w:val="auto"/>
                <w:w w:val="86"/>
              </w:rPr>
              <w:t>4.3 years</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87,700</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(48,166)</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39,534</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700" w:type="dxa"/>
            <w:vAlign w:val="bottom"/>
          </w:tcPr>
          <w:p>
            <w:pPr>
              <w:spacing w:after="0"/>
              <w:rPr>
                <w:sz w:val="19"/>
                <w:szCs w:val="19"/>
                <w:color w:val="auto"/>
              </w:rPr>
            </w:pPr>
          </w:p>
        </w:tc>
        <w:tc>
          <w:tcPr>
            <w:tcW w:w="1080" w:type="dxa"/>
            <w:vAlign w:val="bottom"/>
          </w:tcPr>
          <w:p>
            <w:pPr>
              <w:jc w:val="center"/>
              <w:ind w:left="258"/>
              <w:spacing w:after="0"/>
              <w:rPr>
                <w:sz w:val="20"/>
                <w:szCs w:val="20"/>
                <w:color w:val="auto"/>
              </w:rPr>
            </w:pPr>
            <w:r>
              <w:rPr>
                <w:rFonts w:ascii="Arial" w:cs="Arial" w:eastAsia="Arial" w:hAnsi="Arial"/>
                <w:sz w:val="18"/>
                <w:szCs w:val="18"/>
                <w:i w:val="1"/>
                <w:iCs w:val="1"/>
                <w:color w:val="auto"/>
                <w:w w:val="87"/>
              </w:rPr>
              <w:t>13.2 years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77,300</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(18,560)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58,740</w:t>
            </w:r>
          </w:p>
        </w:tc>
        <w:tc>
          <w:tcPr>
            <w:tcW w:w="0" w:type="dxa"/>
            <w:vAlign w:val="bottom"/>
          </w:tcPr>
          <w:p>
            <w:pPr>
              <w:spacing w:after="0"/>
              <w:rPr>
                <w:sz w:val="1"/>
                <w:szCs w:val="1"/>
                <w:color w:val="auto"/>
              </w:rPr>
            </w:pPr>
          </w:p>
        </w:tc>
      </w:tr>
      <w:tr>
        <w:trPr>
          <w:trHeight w:val="22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78"/>
              <w:spacing w:after="0"/>
              <w:rPr>
                <w:sz w:val="20"/>
                <w:szCs w:val="20"/>
                <w:color w:val="auto"/>
              </w:rPr>
            </w:pPr>
            <w:r>
              <w:rPr>
                <w:rFonts w:ascii="Arial" w:cs="Arial" w:eastAsia="Arial" w:hAnsi="Arial"/>
                <w:sz w:val="18"/>
                <w:szCs w:val="18"/>
                <w:i w:val="1"/>
                <w:iCs w:val="1"/>
                <w:color w:val="auto"/>
                <w:w w:val="86"/>
              </w:rPr>
              <w:t>4.9 years</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17,200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78"/>
              <w:spacing w:after="0"/>
              <w:rPr>
                <w:sz w:val="20"/>
                <w:szCs w:val="20"/>
                <w:color w:val="auto"/>
              </w:rPr>
            </w:pPr>
            <w:r>
              <w:rPr>
                <w:rFonts w:ascii="Arial" w:cs="Arial" w:eastAsia="Arial" w:hAnsi="Arial"/>
                <w:sz w:val="18"/>
                <w:szCs w:val="18"/>
                <w:i w:val="1"/>
                <w:iCs w:val="1"/>
                <w:color w:val="auto"/>
                <w:w w:val="86"/>
              </w:rPr>
              <w:t>3.0 years</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43,200</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225,400</w:t>
            </w:r>
          </w:p>
        </w:tc>
        <w:tc>
          <w:tcPr>
            <w:tcW w:w="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(107,040)</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118,360</w:t>
            </w:r>
          </w:p>
        </w:tc>
        <w:tc>
          <w:tcPr>
            <w:tcW w:w="0" w:type="dxa"/>
            <w:vAlign w:val="bottom"/>
          </w:tcPr>
          <w:p>
            <w:pPr>
              <w:spacing w:after="0"/>
              <w:rPr>
                <w:sz w:val="1"/>
                <w:szCs w:val="1"/>
                <w:color w:val="auto"/>
              </w:rPr>
            </w:pPr>
          </w:p>
        </w:tc>
      </w:tr>
      <w:tr>
        <w:trPr>
          <w:trHeight w:val="887"/>
        </w:trPr>
        <w:tc>
          <w:tcPr>
            <w:tcW w:w="4500" w:type="dxa"/>
            <w:vAlign w:val="bottom"/>
          </w:tcPr>
          <w:p>
            <w:pPr>
              <w:spacing w:after="0"/>
              <w:rPr>
                <w:sz w:val="24"/>
                <w:szCs w:val="24"/>
                <w:color w:val="auto"/>
              </w:rPr>
            </w:pPr>
          </w:p>
        </w:tc>
        <w:tc>
          <w:tcPr>
            <w:tcW w:w="1780" w:type="dxa"/>
            <w:vAlign w:val="bottom"/>
            <w:gridSpan w:val="2"/>
          </w:tcPr>
          <w:p>
            <w:pPr>
              <w:jc w:val="right"/>
              <w:ind w:right="478"/>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December 31, 2021,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Amortization Expense</w:t>
            </w: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2022</w:t>
            </w:r>
          </w:p>
        </w:tc>
        <w:tc>
          <w:tcPr>
            <w:tcW w:w="5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w:t>
            </w:r>
          </w:p>
        </w:tc>
      </w:tr>
      <w:tr>
        <w:trPr>
          <w:trHeight w:val="225"/>
        </w:trPr>
        <w:tc>
          <w:tcPr>
            <w:tcW w:w="9780" w:type="dxa"/>
            <w:vAlign w:val="bottom"/>
          </w:tcPr>
          <w:p>
            <w:pPr>
              <w:ind w:left="20"/>
              <w:spacing w:after="0"/>
              <w:rPr>
                <w:sz w:val="20"/>
                <w:szCs w:val="20"/>
                <w:color w:val="auto"/>
              </w:rPr>
            </w:pPr>
            <w:r>
              <w:rPr>
                <w:rFonts w:ascii="Arial" w:cs="Arial" w:eastAsia="Arial" w:hAnsi="Arial"/>
                <w:sz w:val="18"/>
                <w:szCs w:val="18"/>
                <w:color w:val="auto"/>
              </w:rPr>
              <w:t>Year ending December 31, 2023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8,602</w:t>
            </w:r>
          </w:p>
        </w:tc>
      </w:tr>
      <w:tr>
        <w:trPr>
          <w:trHeight w:val="22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25"/>
        </w:trPr>
        <w:tc>
          <w:tcPr>
            <w:tcW w:w="9780" w:type="dxa"/>
            <w:vAlign w:val="bottom"/>
          </w:tcPr>
          <w:p>
            <w:pPr>
              <w:ind w:left="20"/>
              <w:spacing w:after="0"/>
              <w:rPr>
                <w:sz w:val="20"/>
                <w:szCs w:val="20"/>
                <w:color w:val="auto"/>
              </w:rPr>
            </w:pPr>
            <w:r>
              <w:rPr>
                <w:rFonts w:ascii="Arial" w:cs="Arial" w:eastAsia="Arial" w:hAnsi="Arial"/>
                <w:sz w:val="18"/>
                <w:szCs w:val="18"/>
                <w:color w:val="auto"/>
              </w:rPr>
              <w:t>Year ending December 31, 2025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6,259</w:t>
            </w:r>
          </w:p>
        </w:tc>
      </w:tr>
      <w:tr>
        <w:trPr>
          <w:trHeight w:val="22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r>
      <w:tr>
        <w:trPr>
          <w:trHeight w:val="225"/>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23,253</w:t>
            </w:r>
          </w:p>
        </w:tc>
      </w:tr>
      <w:tr>
        <w:trPr>
          <w:trHeight w:val="226"/>
        </w:trPr>
        <w:tc>
          <w:tcPr>
            <w:tcW w:w="9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0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75,621</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8—EQUITY INVESTMENT</w:t>
      </w:r>
    </w:p>
    <w:p>
      <w:pPr>
        <w:spacing w:after="0" w:line="1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February 28, 2020, the Company acquired an equity interest in Stash Financial, Inc. (“Stash”) for $80.0 million. On January 6, 2021, the Company acquired an additional equity interest for $1.2 million. On October 18, 2021, the Company entered into a stock transfer agreement with third parties to sell a portion of its Stash equity securities for $46.3 million. The Company sold $35.3 million in October and closed on an additional $11.0 million in November 2021. The Company recorded a realized gain of $27.9 million based on the sale of Stash equity securities under the stock transfer agreement, which is included within other income on the consolidated statement of operations and comprehensive income.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Stash equity securities do not have a readily determinable fair value and, upon acquisition, the Company elected the measurement alternative to value its securities. The Stash equity securities will be carried at cost and subsequently marked to market upon observable market events with any gains or losses recorded in operating income in the consolidated statement of operations. In 2021, the Company recorded a net unrealized gain on the investment in Stash of $95.4 million as a result of an adjustment to the fair value of the Stash equity securities based on observable market events, which is included within other income on the consolidated statement of operations and comprehensive income. As of December 31, 2021, there have been no impairments to the acquisition cost of the Stash equity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2018, the Company acquired all of the outstanding equity interests of QuoteWizard.com, LLC, which does business under the name QuoteWizard (“QuoteWizard”). The Company made no earnout payments related to the QuoteWizard acquisition during 2021, and this earnout is complete. In 2020, the Company paid $20.2 million related to the earnout payment for the period of November 1, 2019 through October 31, 2020, which is included within cash flows from operating activities on the consolidated statement of cash flows. In 2019, the Company paid $23.4 million related to the earnout payment for the period of November 1, 2018 through October 31, 2019, of which $13.9 million is included within cash flows from financing activities and $9.5 million is included within cash flows from operating activities on the consolidated statement of cash flows.</w:t>
      </w:r>
    </w:p>
    <w:p>
      <w:pPr>
        <w:spacing w:after="0" w:line="7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2018, the Company acquired all of the outstanding equity interests of Ovation Credit Services, Inc., which does business under the name Ovation (“Ovation”). The Company made no earnout payments related to the Ovation acquisition during 2021, as this earnout was completed in 2020. In 2020, the Company paid $4.4 million related to the earnout payment for the period of July 1, 2019 through June 30, 2020, of which $1.4 million is included within cash flows from financing activities and $3.0 million is included within cash flows from operating activities on the consolidated statement of cash flows. In 2019, the Company paid $4.4 million related to the earnout payment for the period of July 1, 2018 through June 30, 2019, which is included within cash flows from financing activities on the consolidated statement of cash flows.</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During 2020, the Company made the final earnout payments related to the achievement of certain defined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earnings targets for SnapCap. Of the total earnout payments of $6.0 million in 2020, $3.3 million is included within cash flows from financing activities and $2.7 million is included within cash flows from operating activities on the consolidated statement of cash flows. The earnout payment of $3.0 million in 2019 is included within cash flows from financing activities on the consolidated statement of cash flows.</w:t>
      </w:r>
    </w:p>
    <w:p>
      <w:pPr>
        <w:spacing w:after="0" w:line="8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2017, the Company acquired all of the assets of Deposits Online, LLC, which does business under the name DepositAccounts.com (“DepositAccounts”). The Company made no earnout payments related to the DepositAccounts acquisition during 2020 and 2021, and this earnout is complete. Total earnout payments of $3.0 million in 2019 are included within cash flows from operating activities on the consolidated statement of cash flows.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w w:val="98"/>
              </w:rPr>
              <w:t>Year Ended December 31,</w:t>
            </w:r>
          </w:p>
        </w:tc>
        <w:tc>
          <w:tcPr>
            <w:tcW w:w="1000" w:type="dxa"/>
            <w:vAlign w:val="bottom"/>
            <w:tcBorders>
              <w:bottom w:val="single" w:sz="8" w:color="auto"/>
            </w:tcBorders>
          </w:tcPr>
          <w:p>
            <w:pPr>
              <w:spacing w:after="0"/>
              <w:rPr>
                <w:sz w:val="18"/>
                <w:szCs w:val="18"/>
                <w:color w:val="auto"/>
              </w:rPr>
            </w:pPr>
          </w:p>
        </w:tc>
      </w:tr>
      <w:tr>
        <w:trPr>
          <w:trHeight w:val="206"/>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r>
      <w:tr>
        <w:trPr>
          <w:trHeight w:val="22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QuoteWizard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27,103</w:t>
            </w:r>
          </w:p>
        </w:tc>
      </w:tr>
      <w:tr>
        <w:trPr>
          <w:trHeight w:val="225"/>
        </w:trPr>
        <w:tc>
          <w:tcPr>
            <w:tcW w:w="7100" w:type="dxa"/>
            <w:vAlign w:val="bottom"/>
          </w:tcPr>
          <w:p>
            <w:pPr>
              <w:ind w:left="20"/>
              <w:spacing w:after="0"/>
              <w:rPr>
                <w:sz w:val="20"/>
                <w:szCs w:val="20"/>
                <w:color w:val="auto"/>
              </w:rPr>
            </w:pPr>
            <w:r>
              <w:rPr>
                <w:rFonts w:ascii="Arial" w:cs="Arial" w:eastAsia="Arial" w:hAnsi="Arial"/>
                <w:sz w:val="18"/>
                <w:szCs w:val="18"/>
                <w:color w:val="auto"/>
              </w:rPr>
              <w:t>Ovation</w:t>
            </w:r>
          </w:p>
        </w:tc>
        <w:tc>
          <w:tcPr>
            <w:tcW w:w="30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SnapCap</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25"/>
        </w:trPr>
        <w:tc>
          <w:tcPr>
            <w:tcW w:w="7100" w:type="dxa"/>
            <w:vAlign w:val="bottom"/>
          </w:tcPr>
          <w:p>
            <w:pPr>
              <w:ind w:left="20"/>
              <w:spacing w:after="0"/>
              <w:rPr>
                <w:sz w:val="20"/>
                <w:szCs w:val="20"/>
                <w:color w:val="auto"/>
              </w:rPr>
            </w:pPr>
            <w:r>
              <w:rPr>
                <w:rFonts w:ascii="Arial" w:cs="Arial" w:eastAsia="Arial" w:hAnsi="Arial"/>
                <w:sz w:val="18"/>
                <w:szCs w:val="18"/>
                <w:color w:val="auto"/>
              </w:rPr>
              <w:t>DepositAccounts</w:t>
            </w:r>
          </w:p>
        </w:tc>
        <w:tc>
          <w:tcPr>
            <w:tcW w:w="30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26"/>
        </w:trPr>
        <w:tc>
          <w:tcPr>
            <w:tcW w:w="7100" w:type="dxa"/>
            <w:vAlign w:val="bottom"/>
            <w:tcBorders>
              <w:top w:val="single" w:sz="8" w:color="CCEEFF"/>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(8,249)</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5,327</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28,402</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ValuePenguin</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January 10, 2019, the Company acquired Value Holding, Inc., the parent company of ValuePenguin Inc. ("ValuePenguin"), a personal finance website that offers consumers objective analysis on a variety of financial topics from insurance to credit cards. The Company made an upfront cash payment of $106.1 million at the closing of the transaction, funded through $90.0 million drawn on the Company's revolving credit facility and the balance using cash on hand. The purchase price of $106.2 million is comprised of the upfront cash payment of $106.1 million and a $0.1 million post-closing payment for working capital settlement.</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The acquisition has been accounted for as a business combination. In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r>
      <w:tr>
        <w:trPr>
          <w:trHeight w:val="225"/>
        </w:trPr>
        <w:tc>
          <w:tcPr>
            <w:tcW w:w="906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r>
      <w:tr>
        <w:trPr>
          <w:trHeight w:val="225"/>
        </w:trPr>
        <w:tc>
          <w:tcPr>
            <w:tcW w:w="9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71,739</w:t>
            </w:r>
          </w:p>
        </w:tc>
      </w:tr>
      <w:tr>
        <w:trPr>
          <w:trHeight w:val="225"/>
        </w:trPr>
        <w:tc>
          <w:tcPr>
            <w:tcW w:w="9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5"/>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106,232</w:t>
            </w:r>
          </w:p>
        </w:tc>
      </w:tr>
    </w:tbl>
    <w:p>
      <w:pPr>
        <w:spacing w:after="0" w:line="17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The acquired intangible assets are definite-lived assets consisting of developed technology, content and trademarks and tradenames. The estimated fair values of the developed technology were determined using the cost replacement method, the content was determined using the excess earnings method, and the trademarks and tradenames were determined using the relief from royalty method. The estimated fair value of the intangible assets are based on estimates for content lifecycles, estimates for revenue growth rates, estimates for future cash flows, the probability weighting of scenarios and discount rates, known at the acquisition date, which management believes are reasonable. The fair value of the intangible assets with definite lives is as follows </w:t>
      </w:r>
      <w:r>
        <w:rPr>
          <w:rFonts w:ascii="Arial" w:cs="Arial" w:eastAsia="Arial" w:hAnsi="Arial"/>
          <w:sz w:val="15"/>
          <w:szCs w:val="15"/>
          <w:i w:val="1"/>
          <w:iCs w:val="1"/>
          <w:color w:val="auto"/>
        </w:rPr>
        <w:t>(dollars in thousands)</w:t>
      </w:r>
      <w:r>
        <w:rPr>
          <w:rFonts w:ascii="Arial" w:cs="Arial" w:eastAsia="Arial" w:hAnsi="Arial"/>
          <w:sz w:val="15"/>
          <w:szCs w:val="15"/>
          <w:color w:val="auto"/>
        </w:rPr>
        <w: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840" w:type="dxa"/>
            <w:vAlign w:val="bottom"/>
          </w:tcPr>
          <w:p>
            <w:pPr>
              <w:spacing w:after="0"/>
              <w:rPr>
                <w:sz w:val="16"/>
                <w:szCs w:val="16"/>
                <w:color w:val="auto"/>
              </w:rPr>
            </w:pPr>
          </w:p>
        </w:tc>
        <w:tc>
          <w:tcPr>
            <w:tcW w:w="2000" w:type="dxa"/>
            <w:vAlign w:val="bottom"/>
          </w:tcPr>
          <w:p>
            <w:pPr>
              <w:jc w:val="right"/>
              <w:ind w:right="415"/>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Amortization Life</w:t>
            </w:r>
          </w:p>
        </w:tc>
        <w:tc>
          <w:tcPr>
            <w:tcW w:w="0" w:type="dxa"/>
            <w:vAlign w:val="bottom"/>
          </w:tcPr>
          <w:p>
            <w:pPr>
              <w:spacing w:after="0"/>
              <w:rPr>
                <w:sz w:val="1"/>
                <w:szCs w:val="1"/>
                <w:color w:val="auto"/>
              </w:rPr>
            </w:pPr>
          </w:p>
        </w:tc>
      </w:tr>
      <w:tr>
        <w:trPr>
          <w:trHeight w:val="22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20" w:type="dxa"/>
            <w:vAlign w:val="bottom"/>
            <w:shd w:val="clear" w:color="auto" w:fill="CCEEFF"/>
          </w:tcPr>
          <w:p>
            <w:pPr>
              <w:jc w:val="right"/>
              <w:ind w:right="133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Content</w:t>
            </w:r>
          </w:p>
        </w:tc>
        <w:tc>
          <w:tcPr>
            <w:tcW w:w="152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26,100</w:t>
            </w:r>
          </w:p>
        </w:tc>
        <w:tc>
          <w:tcPr>
            <w:tcW w:w="200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1,300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6"/>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520" w:type="dxa"/>
            <w:vAlign w:val="bottom"/>
            <w:tcBorders>
              <w:bottom w:val="single" w:sz="8" w:color="auto"/>
            </w:tcBorders>
          </w:tcPr>
          <w:p>
            <w:pPr>
              <w:jc w:val="right"/>
              <w:ind w:right="1335"/>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31,600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 years</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recorded goodwill of $71.7 million, which represents the excess of the purchase price over the estimated fair value of tangible and intangible assets acquired, net of the liabilities assumed. The goodwill is primarily attributable to ValuePenguin as a going concern, which represents the ability of the Company to earn a higher return on the collection of assets and business of ValuePenguin than if those assets and business were to be acquired and managed separately. The benefit of access to the workforce is an additional element of goodwill. The goodwill was recorded in the Company’s then one reportable segment. For income tax purposes, the Company accounted for the acquisition as an asset purchase which would indicate the goodwill will be tax deductible.</w:t>
      </w:r>
    </w:p>
    <w:p>
      <w:pPr>
        <w:spacing w:after="0" w:line="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Subsequent to the acquisition date, the Company’s consolidated results of operations include the results of the acquired ValuePenguin business. In 2019, the Company’s consolidated results of operations include revenue of $19.8 million attributable to the ValuePenguin business. In the first six months of 2019, net income from continuing operations attributable to the ValuePenguin business was $3.1 million. Due to the integration of the ValuePenguin business subsequent to the acquisition, earnings of the acquired ValuePenguin business beginning in the third quarter of 2019 is impracticable to determine with sufficient accuracy. Acquisition-related costs were $0.1 million in 2019 and are included in general and administrative expense on the consolidated statement of operations and comprehensive income (loss).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Results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unaudited pro forma financial results for the year ended December 31, 2019 combine the consolidated results of the Company and ValuePenguin, giving effect to the acquisition as if the acquisition had been completed on January 1, 2018. This unaudited pro forma financial information is presented for informational purposes only and is not indicative of future operations or results had the acquisition been completed as of January 1, 2018, or any other date.</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Interest expense was also adjusted to reflect incremental interest associated with debt issued to finance the ValuePenguin acquisition.</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2019</w:t>
            </w:r>
          </w:p>
        </w:tc>
      </w:tr>
      <w:tr>
        <w:trPr>
          <w:trHeight w:val="178"/>
        </w:trPr>
        <w:tc>
          <w:tcPr>
            <w:tcW w:w="8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ind w:right="238"/>
              <w:spacing w:after="0"/>
              <w:rPr>
                <w:sz w:val="20"/>
                <w:szCs w:val="20"/>
                <w:color w:val="auto"/>
              </w:rPr>
            </w:pPr>
            <w:r>
              <w:rPr>
                <w:rFonts w:ascii="Arial" w:cs="Arial" w:eastAsia="Arial" w:hAnsi="Arial"/>
                <w:sz w:val="14"/>
                <w:szCs w:val="14"/>
                <w:i w:val="1"/>
                <w:iCs w:val="1"/>
                <w:color w:val="auto"/>
              </w:rPr>
              <w:t>(in thousands)</w:t>
            </w:r>
          </w:p>
        </w:tc>
      </w:tr>
      <w:tr>
        <w:trPr>
          <w:trHeight w:val="228"/>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revenue</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1,107,118</w:t>
            </w:r>
          </w:p>
        </w:tc>
      </w:tr>
      <w:tr>
        <w:trPr>
          <w:trHeight w:val="225"/>
        </w:trPr>
        <w:tc>
          <w:tcPr>
            <w:tcW w:w="8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 forma net income from continuing operations</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39,173</w:t>
            </w:r>
          </w:p>
        </w:tc>
      </w:tr>
    </w:tbl>
    <w:p>
      <w:pPr>
        <w:spacing w:after="0" w:line="1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unaudited pro forma net income from continuing operations in 2019 includes the aggregate after-tax contingent consideration expense associated with the DepositAccounts, SnapCap, Ovation and QuoteWizard earnouts of $21.5 million. Acquisition-related costs of $0.1 million incurred by the Company that are directly attributable to the ValuePenguin acquisition, and which will not have an ongoing impact, have been eliminated from the unaudited pro forma net income from continuing operations for 2019.</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10—ACCRUED EXPENSES AND OTHER CURRENT LIABILITIES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December 31, 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59,150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54,045</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16,330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14,081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7,546</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8,153</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8,595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5,375</w:t>
            </w:r>
          </w:p>
        </w:tc>
      </w:tr>
      <w:tr>
        <w:trPr>
          <w:trHeight w:val="225"/>
        </w:trPr>
        <w:tc>
          <w:tcPr>
            <w:tcW w:w="8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9,890</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r>
      <w:tr>
        <w:trPr>
          <w:trHeight w:val="226"/>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106,731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101,196</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right-of-use assets totaled $77.3 million and lease liabilities, the current portion of which is included in accrued expenses and other current liabilities in the accompanying balance sheet, totaled $104.8 million. At December 31, 2020, right-of-use assets totaled $84.1 million and lease liabilities totaled $97.7 million.</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Lease expense, which is included in general and administrative expense on the accompanying consolidated statements of operations and comprehensive income (loss),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1"/>
              </w:rPr>
              <w:t>Year Ended December 31,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6"/>
        </w:trPr>
        <w:tc>
          <w:tcPr>
            <w:tcW w:w="57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2019</w:t>
            </w:r>
          </w:p>
        </w:tc>
      </w:tr>
      <w:tr>
        <w:trPr>
          <w:trHeight w:val="221"/>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13,160</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11,226</w:t>
            </w: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r>
      <w:tr>
        <w:trPr>
          <w:trHeight w:val="22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lease cost</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19"/>
        </w:trPr>
        <w:tc>
          <w:tcPr>
            <w:tcW w:w="5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lease cost</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13,199</w:t>
            </w:r>
          </w:p>
        </w:tc>
        <w:tc>
          <w:tcPr>
            <w:tcW w:w="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11,285</w:t>
            </w:r>
          </w:p>
        </w:tc>
        <w:tc>
          <w:tcPr>
            <w:tcW w:w="4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6,432</w:t>
            </w:r>
          </w:p>
        </w:tc>
      </w:tr>
    </w:tbl>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 average remaining lease term and discount rate for operating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6"/>
                <w:szCs w:val="16"/>
                <w:b w:val="1"/>
                <w:bCs w:val="1"/>
                <w:color w:val="auto"/>
                <w:w w:val="92"/>
              </w:rPr>
              <w:t>December 31, 2021</w:t>
            </w:r>
          </w:p>
        </w:tc>
        <w:tc>
          <w:tcPr>
            <w:tcW w:w="7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6"/>
                <w:szCs w:val="16"/>
                <w:b w:val="1"/>
                <w:bCs w:val="1"/>
                <w:color w:val="auto"/>
                <w:w w:val="99"/>
              </w:rPr>
              <w:t>December 31, 2020</w:t>
            </w:r>
          </w:p>
        </w:tc>
        <w:tc>
          <w:tcPr>
            <w:tcW w:w="18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21"/>
        </w:trPr>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remaining lease term</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12.3 years</w:t>
            </w:r>
          </w:p>
        </w:tc>
        <w:tc>
          <w:tcPr>
            <w:tcW w:w="2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13.0 years</w:t>
            </w:r>
          </w:p>
        </w:tc>
        <w:tc>
          <w:tcPr>
            <w:tcW w:w="5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24"/>
        </w:trPr>
        <w:tc>
          <w:tcPr>
            <w:tcW w:w="5020" w:type="dxa"/>
            <w:vAlign w:val="bottom"/>
            <w:gridSpan w:val="2"/>
          </w:tcPr>
          <w:p>
            <w:pPr>
              <w:ind w:left="340"/>
              <w:spacing w:after="0"/>
              <w:rPr>
                <w:sz w:val="20"/>
                <w:szCs w:val="20"/>
                <w:color w:val="auto"/>
              </w:rPr>
            </w:pPr>
            <w:r>
              <w:rPr>
                <w:rFonts w:ascii="Arial" w:cs="Arial" w:eastAsia="Arial" w:hAnsi="Arial"/>
                <w:sz w:val="18"/>
                <w:szCs w:val="18"/>
                <w:color w:val="auto"/>
              </w:rPr>
              <w:t>Weighted average discount rate</w:t>
            </w:r>
          </w:p>
        </w:tc>
        <w:tc>
          <w:tcPr>
            <w:tcW w:w="1460" w:type="dxa"/>
            <w:vAlign w:val="bottom"/>
            <w:gridSpan w:val="2"/>
          </w:tcPr>
          <w:p>
            <w:pPr>
              <w:jc w:val="right"/>
              <w:ind w:right="256"/>
              <w:spacing w:after="0"/>
              <w:rPr>
                <w:sz w:val="20"/>
                <w:szCs w:val="20"/>
                <w:color w:val="auto"/>
              </w:rPr>
            </w:pPr>
            <w:r>
              <w:rPr>
                <w:rFonts w:ascii="Arial" w:cs="Arial" w:eastAsia="Arial" w:hAnsi="Arial"/>
                <w:sz w:val="18"/>
                <w:szCs w:val="18"/>
                <w:color w:val="auto"/>
              </w:rPr>
              <w:t>5.0</w:t>
            </w:r>
          </w:p>
        </w:tc>
        <w:tc>
          <w:tcPr>
            <w:tcW w:w="720" w:type="dxa"/>
            <w:vAlign w:val="bottom"/>
          </w:tcPr>
          <w:p>
            <w:pPr>
              <w:jc w:val="right"/>
              <w:ind w:right="452"/>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000"/>
              <w:spacing w:after="0"/>
              <w:rPr>
                <w:sz w:val="20"/>
                <w:szCs w:val="20"/>
                <w:color w:val="auto"/>
              </w:rPr>
            </w:pPr>
            <w:r>
              <w:rPr>
                <w:rFonts w:ascii="Arial" w:cs="Arial" w:eastAsia="Arial" w:hAnsi="Arial"/>
                <w:sz w:val="18"/>
                <w:szCs w:val="18"/>
                <w:color w:val="auto"/>
              </w:rPr>
              <w:t>5.0</w:t>
            </w:r>
          </w:p>
        </w:tc>
        <w:tc>
          <w:tcPr>
            <w:tcW w:w="8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9"/>
        </w:trPr>
        <w:tc>
          <w:tcPr>
            <w:tcW w:w="6480" w:type="dxa"/>
            <w:vAlign w:val="bottom"/>
            <w:gridSpan w:val="4"/>
          </w:tcPr>
          <w:p>
            <w:pPr>
              <w:ind w:left="320"/>
              <w:spacing w:after="0"/>
              <w:rPr>
                <w:sz w:val="20"/>
                <w:szCs w:val="20"/>
                <w:color w:val="auto"/>
              </w:rPr>
            </w:pPr>
            <w:r>
              <w:rPr>
                <w:rFonts w:ascii="Arial" w:cs="Arial" w:eastAsia="Arial" w:hAnsi="Arial"/>
                <w:sz w:val="18"/>
                <w:szCs w:val="18"/>
                <w:color w:val="auto"/>
                <w:w w:val="94"/>
              </w:rPr>
              <w:t xml:space="preserve">Supplemental cash flow information related to leases is as follows </w:t>
            </w:r>
            <w:r>
              <w:rPr>
                <w:rFonts w:ascii="Arial" w:cs="Arial" w:eastAsia="Arial" w:hAnsi="Arial"/>
                <w:sz w:val="18"/>
                <w:szCs w:val="18"/>
                <w:i w:val="1"/>
                <w:iCs w:val="1"/>
                <w:color w:val="auto"/>
                <w:w w:val="94"/>
              </w:rPr>
              <w:t>(in thousands)</w:t>
            </w:r>
            <w:r>
              <w:rPr>
                <w:rFonts w:ascii="Arial" w:cs="Arial" w:eastAsia="Arial" w:hAnsi="Arial"/>
                <w:sz w:val="18"/>
                <w:szCs w:val="18"/>
                <w:color w:val="auto"/>
                <w:w w:val="94"/>
              </w:rPr>
              <w:t>:</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20" w:type="dxa"/>
            <w:vAlign w:val="bottom"/>
            <w:gridSpan w:val="2"/>
            <w:shd w:val="clear" w:color="auto" w:fill="CCEEFF"/>
          </w:tcPr>
          <w:p>
            <w:pPr>
              <w:ind w:left="340"/>
              <w:spacing w:after="0" w:line="156" w:lineRule="exact"/>
              <w:rPr>
                <w:sz w:val="20"/>
                <w:szCs w:val="20"/>
                <w:color w:val="auto"/>
              </w:rPr>
            </w:pPr>
            <w:r>
              <w:rPr>
                <w:rFonts w:ascii="Arial" w:cs="Arial" w:eastAsia="Arial" w:hAnsi="Arial"/>
                <w:sz w:val="18"/>
                <w:szCs w:val="18"/>
                <w:color w:val="auto"/>
                <w:w w:val="90"/>
              </w:rPr>
              <w:t>Net cash paid for amounts included in the measurement of lease</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460"/>
              <w:spacing w:after="0"/>
              <w:rPr>
                <w:sz w:val="20"/>
                <w:szCs w:val="20"/>
                <w:color w:val="auto"/>
              </w:rPr>
            </w:pPr>
            <w:r>
              <w:rPr>
                <w:rFonts w:ascii="Arial" w:cs="Arial" w:eastAsia="Arial" w:hAnsi="Arial"/>
                <w:sz w:val="18"/>
                <w:szCs w:val="18"/>
                <w:color w:val="auto"/>
              </w:rPr>
              <w:t>Operating cash flows from operating leases</w:t>
            </w:r>
          </w:p>
        </w:tc>
        <w:tc>
          <w:tcPr>
            <w:tcW w:w="146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329</w:t>
            </w:r>
          </w:p>
        </w:tc>
        <w:tc>
          <w:tcPr>
            <w:tcW w:w="136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2,359</w:t>
            </w:r>
          </w:p>
        </w:tc>
        <w:tc>
          <w:tcPr>
            <w:tcW w:w="5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6,779</w:t>
            </w:r>
          </w:p>
        </w:tc>
        <w:tc>
          <w:tcPr>
            <w:tcW w:w="0" w:type="dxa"/>
            <w:vAlign w:val="bottom"/>
          </w:tcPr>
          <w:p>
            <w:pPr>
              <w:spacing w:after="0"/>
              <w:rPr>
                <w:sz w:val="1"/>
                <w:szCs w:val="1"/>
                <w:color w:val="auto"/>
              </w:rPr>
            </w:pPr>
          </w:p>
        </w:tc>
      </w:tr>
      <w:tr>
        <w:trPr>
          <w:trHeight w:val="174"/>
        </w:trPr>
        <w:tc>
          <w:tcPr>
            <w:tcW w:w="5020" w:type="dxa"/>
            <w:vAlign w:val="bottom"/>
            <w:gridSpan w:val="2"/>
            <w:shd w:val="clear" w:color="auto" w:fill="CCEEFF"/>
          </w:tcPr>
          <w:p>
            <w:pPr>
              <w:ind w:left="340"/>
              <w:spacing w:after="0" w:line="174" w:lineRule="exact"/>
              <w:rPr>
                <w:sz w:val="20"/>
                <w:szCs w:val="20"/>
                <w:color w:val="auto"/>
              </w:rPr>
            </w:pPr>
            <w:r>
              <w:rPr>
                <w:rFonts w:ascii="Arial" w:cs="Arial" w:eastAsia="Arial" w:hAnsi="Arial"/>
                <w:sz w:val="18"/>
                <w:szCs w:val="18"/>
                <w:color w:val="auto"/>
                <w:w w:val="89"/>
              </w:rPr>
              <w:t>Right-of-use assets obtained in exchange for new operating lease</w:t>
            </w:r>
          </w:p>
        </w:tc>
        <w:tc>
          <w:tcPr>
            <w:tcW w:w="1460" w:type="dxa"/>
            <w:vAlign w:val="bottom"/>
            <w:gridSpan w:val="2"/>
            <w:vMerge w:val="restart"/>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1,250</w:t>
            </w:r>
          </w:p>
        </w:tc>
        <w:tc>
          <w:tcPr>
            <w:tcW w:w="1360" w:type="dxa"/>
            <w:vAlign w:val="bottom"/>
            <w:vMerge w:val="restart"/>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w w:val="94"/>
              </w:rPr>
              <w:t>66,881</w:t>
            </w:r>
          </w:p>
        </w:tc>
        <w:tc>
          <w:tcPr>
            <w:tcW w:w="560" w:type="dxa"/>
            <w:vAlign w:val="bottom"/>
            <w:vMerge w:val="restart"/>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0" w:type="dxa"/>
            <w:vAlign w:val="bottom"/>
          </w:tcPr>
          <w:p>
            <w:pPr>
              <w:spacing w:after="0"/>
              <w:rPr>
                <w:sz w:val="1"/>
                <w:szCs w:val="1"/>
                <w:color w:val="auto"/>
              </w:rPr>
            </w:pPr>
          </w:p>
        </w:tc>
      </w:tr>
      <w:tr>
        <w:trPr>
          <w:trHeight w:val="224"/>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6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Maturities of lease liabilities as of December 31, 2021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Operating Leases</w:t>
            </w:r>
          </w:p>
        </w:tc>
      </w:tr>
      <w:tr>
        <w:trPr>
          <w:trHeight w:val="224"/>
        </w:trPr>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ending December 31, 2022</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w:t>
            </w:r>
          </w:p>
        </w:tc>
      </w:tr>
      <w:tr>
        <w:trPr>
          <w:trHeight w:val="225"/>
        </w:trPr>
        <w:tc>
          <w:tcPr>
            <w:tcW w:w="8860" w:type="dxa"/>
            <w:vAlign w:val="bottom"/>
          </w:tcPr>
          <w:p>
            <w:pPr>
              <w:ind w:left="340"/>
              <w:spacing w:after="0"/>
              <w:rPr>
                <w:sz w:val="20"/>
                <w:szCs w:val="20"/>
                <w:color w:val="auto"/>
              </w:rPr>
            </w:pPr>
            <w:r>
              <w:rPr>
                <w:rFonts w:ascii="Arial" w:cs="Arial" w:eastAsia="Arial" w:hAnsi="Arial"/>
                <w:sz w:val="18"/>
                <w:szCs w:val="18"/>
                <w:color w:val="auto"/>
              </w:rPr>
              <w:t>Year ending December 31, 2023</w:t>
            </w:r>
          </w:p>
        </w:tc>
        <w:tc>
          <w:tcPr>
            <w:tcW w:w="6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13,278</w:t>
            </w:r>
          </w:p>
        </w:tc>
      </w:tr>
      <w:tr>
        <w:trPr>
          <w:trHeight w:val="226"/>
        </w:trPr>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ending December 31, 2024</w:t>
            </w: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w:t>
            </w:r>
          </w:p>
        </w:tc>
      </w:tr>
      <w:tr>
        <w:trPr>
          <w:trHeight w:val="225"/>
        </w:trPr>
        <w:tc>
          <w:tcPr>
            <w:tcW w:w="8860" w:type="dxa"/>
            <w:vAlign w:val="bottom"/>
          </w:tcPr>
          <w:p>
            <w:pPr>
              <w:ind w:left="340"/>
              <w:spacing w:after="0"/>
              <w:rPr>
                <w:sz w:val="20"/>
                <w:szCs w:val="20"/>
                <w:color w:val="auto"/>
              </w:rPr>
            </w:pPr>
            <w:r>
              <w:rPr>
                <w:rFonts w:ascii="Arial" w:cs="Arial" w:eastAsia="Arial" w:hAnsi="Arial"/>
                <w:sz w:val="18"/>
                <w:szCs w:val="18"/>
                <w:color w:val="auto"/>
              </w:rPr>
              <w:t>Year ending December 31, 2025</w:t>
            </w:r>
          </w:p>
        </w:tc>
        <w:tc>
          <w:tcPr>
            <w:tcW w:w="6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9,473</w:t>
            </w:r>
          </w:p>
        </w:tc>
      </w:tr>
      <w:tr>
        <w:trPr>
          <w:trHeight w:val="226"/>
        </w:trPr>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ending December 31, 2026</w:t>
            </w: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w:t>
            </w:r>
          </w:p>
        </w:tc>
      </w:tr>
      <w:tr>
        <w:trPr>
          <w:trHeight w:val="225"/>
        </w:trPr>
        <w:tc>
          <w:tcPr>
            <w:tcW w:w="88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88,167</w:t>
            </w:r>
          </w:p>
        </w:tc>
      </w:tr>
      <w:tr>
        <w:trPr>
          <w:trHeight w:val="219"/>
        </w:trPr>
        <w:tc>
          <w:tcPr>
            <w:tcW w:w="8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lease payments</w:t>
            </w: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145,820</w:t>
            </w:r>
          </w:p>
        </w:tc>
      </w:tr>
      <w:tr>
        <w:trPr>
          <w:trHeight w:val="225"/>
        </w:trPr>
        <w:tc>
          <w:tcPr>
            <w:tcW w:w="8860" w:type="dxa"/>
            <w:vAlign w:val="bottom"/>
          </w:tcPr>
          <w:p>
            <w:pPr>
              <w:ind w:left="340"/>
              <w:spacing w:after="0"/>
              <w:rPr>
                <w:sz w:val="20"/>
                <w:szCs w:val="20"/>
                <w:color w:val="auto"/>
              </w:rPr>
            </w:pPr>
            <w:r>
              <w:rPr>
                <w:rFonts w:ascii="Arial" w:cs="Arial" w:eastAsia="Arial" w:hAnsi="Arial"/>
                <w:sz w:val="18"/>
                <w:szCs w:val="18"/>
                <w:color w:val="auto"/>
              </w:rPr>
              <w:t>Less: Interest</w:t>
            </w:r>
          </w:p>
        </w:tc>
        <w:tc>
          <w:tcPr>
            <w:tcW w:w="6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40,807</w:t>
            </w:r>
          </w:p>
        </w:tc>
      </w:tr>
      <w:tr>
        <w:trPr>
          <w:trHeight w:val="225"/>
        </w:trPr>
        <w:tc>
          <w:tcPr>
            <w:tcW w:w="88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Less: Tenant improvement allowances</w:t>
            </w:r>
          </w:p>
        </w:tc>
        <w:tc>
          <w:tcPr>
            <w:tcW w:w="6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6"/>
        </w:trPr>
        <w:tc>
          <w:tcPr>
            <w:tcW w:w="88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Present value of lease liabilities</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104,760</w:t>
            </w:r>
          </w:p>
        </w:tc>
      </w:tr>
    </w:tbl>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operated as a lessor in connection with office buildings in Charlotte, North Carolina acquired in December 2016. The properties were sold in 2019 to an unrelated third party. Rental income of $0.3 million in 2019 is included in other income on the accompanying consolidated statements of operations and comprehensive income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12—SHAREHOLDERS' EQUITY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Basic and diluted income (loss)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9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88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18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13,007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407</w:t>
            </w:r>
          </w:p>
        </w:tc>
        <w:tc>
          <w:tcPr>
            <w:tcW w:w="188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5"/>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Convertible Senior Notes and warrants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r>
      <w:tr>
        <w:trPr>
          <w:trHeight w:val="225"/>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188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13,007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r>
    </w:tbl>
    <w:p>
      <w:pPr>
        <w:spacing w:after="0" w:line="1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year ended December 31, 2021, the weighted average shares that were anti-dilutive, and therefore excluded from the calculation of diluted income per share, included options to purchase 0.9 million shares of common stock and 0.1 million restricted stock units.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year ended December 31, 2020, the Company had a loss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1.1 million shares related to potentially dilutive securities were excluded from the calculation of diluted loss per share for the year ended December 31, 2020 because their inclusion would have been anti-dilutive. For the year ended December 31, 2020 the weighted average shares that were anti-dilutive included options to purchase 0.2 million shares of common stock.</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year ended December 31, 2019, the weighted average shares that were anti-dilutive, and therefore excluded from the calculation of diluted income per share, included options to purchase 0.1 million shares of common stock.</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convertible notes and the warrants issued by the Company could be converted into the Company’s common stock, subject to certain contingencies.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15—Debt for additional information. Shares of the Company's common stock associated with the 0.50% Convertible Senior Notes due July 15, 2025 and the warrants issued by the Company in 2020 were excluded from the calculation of diluted loss per share for the years ended December 31, 2021 and 2020 as they were anti-dilutive since the conversion price of the notes and the strike price of the warrants were greater than the average market price of the Company’s common stock during the relevant period. Shares of the Company's common stock associated with the 0.625% Convertible Senior Notes due June 1, 2022 and the warrants issued by the Company in 2017 were excluded from the calculation of diluted loss per share for the year ended December 31, 2021 as they were anti-dilutive since the conversion price of the notes and the strike price of the warrants were greater than the average market price of the Company’s common stock during the relevant period.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2021, the Company implemented an employee stock purchase plan, which did not have a material impact to the calculation of diluted shares.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13—Stock-Based Compensation for a full description of outstanding equity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years ended December 31, 2021 and 2019, the Company purchased 334,253 and 22,731 shares, respectively, of its common stock for aggregate consideration of $40.0 million and $5.5 million, respectively. At December 31, 2021, $139.7 million remains authorized for share repurchase.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w:t>
      </w:r>
    </w:p>
    <w:p>
      <w:pPr>
        <w:spacing w:after="0" w:line="1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currently has one active plan, the Seventh Amended and Restated LendingTree 2008 Stock Plan (the "Equity Award Plan"), under which future awards may be granted, which currently covers outstanding stock options to acquire shares of the Company's common stock, restricted stock, restricted stock with performance conditions, RSUs and RSUs with performance conditions, and provides for the future grants of these and other equity awards. Under the Equity Award Plan, the Company is authorized to grant stock options, restricted stock, RSUs and other equity-based awards for up to 6.7 million shares of LendingTree common stock to employees, and to non-employee consultants and directors.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Equity Award Plan has a stated term of ten years and provides that the exercise price of stock options granted will not be less than the market price of the common stock on the grant date. The Equity Award Plan does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(loss)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3"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18"/>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1,639</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1,319</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7,480</w:t>
            </w:r>
          </w:p>
        </w:tc>
        <w:tc>
          <w:tcPr>
            <w:tcW w:w="34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6,240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5,785</w:t>
            </w: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50,989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39,650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39,177</w:t>
            </w:r>
          </w:p>
        </w:tc>
      </w:tr>
      <w:tr>
        <w:trPr>
          <w:trHeight w:val="225"/>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 development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8,447</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6,524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w:t>
            </w:r>
          </w:p>
        </w:tc>
      </w:tr>
      <w:tr>
        <w:trPr>
          <w:trHeight w:val="225"/>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68,555</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53,733</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52,167</w:t>
            </w: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For the years ended December 31, 2021, 2020 and 2019, the Company recognized $14.1 million, $11.4 million and $12.2 million of income tax benefit, including state taxes, related to non-cash compensation. Additionally, for the years ended December 31, 2021, 2020 and 2019, the Company recognized $11.7 million, $2.5 million and $17.1 million, respectively, of excess tax benefit, including state taxes, in income tax expense.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 regarding excess tax benefits and deficiencies.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gridSpan w:val="2"/>
            <w:vMerge w:val="restart"/>
          </w:tcPr>
          <w:p>
            <w:pPr>
              <w:jc w:val="right"/>
              <w:ind w:right="492"/>
              <w:spacing w:after="0"/>
              <w:rPr>
                <w:sz w:val="20"/>
                <w:szCs w:val="20"/>
                <w:color w:val="auto"/>
              </w:rPr>
            </w:pPr>
            <w:r>
              <w:rPr>
                <w:rFonts w:ascii="Arial" w:cs="Arial" w:eastAsia="Arial" w:hAnsi="Arial"/>
                <w:sz w:val="14"/>
                <w:szCs w:val="14"/>
                <w:b w:val="1"/>
                <w:bCs w:val="1"/>
                <w:color w:val="auto"/>
              </w:rPr>
              <w:t>Weighted</w:t>
            </w:r>
          </w:p>
        </w:tc>
        <w:tc>
          <w:tcPr>
            <w:tcW w:w="1520" w:type="dxa"/>
            <w:vAlign w:val="bottom"/>
          </w:tcPr>
          <w:p>
            <w:pPr>
              <w:jc w:val="right"/>
              <w:ind w:right="385"/>
              <w:spacing w:after="0"/>
              <w:rPr>
                <w:sz w:val="20"/>
                <w:szCs w:val="20"/>
                <w:color w:val="auto"/>
              </w:rPr>
            </w:pPr>
            <w:r>
              <w:rPr>
                <w:rFonts w:ascii="Arial" w:cs="Arial" w:eastAsia="Arial" w:hAnsi="Arial"/>
                <w:sz w:val="14"/>
                <w:szCs w:val="14"/>
                <w:b w:val="1"/>
                <w:bCs w:val="1"/>
                <w:color w:val="auto"/>
              </w:rPr>
              <w:t>Weighted</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520" w:type="dxa"/>
            <w:vAlign w:val="bottom"/>
          </w:tcPr>
          <w:p>
            <w:pPr>
              <w:jc w:val="center"/>
              <w:ind w:right="185"/>
              <w:spacing w:after="0" w:line="133"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1"/>
                <w:szCs w:val="11"/>
                <w:color w:val="auto"/>
              </w:rPr>
            </w:pPr>
          </w:p>
        </w:tc>
        <w:tc>
          <w:tcPr>
            <w:tcW w:w="120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jc w:val="center"/>
              <w:ind w:left="383"/>
              <w:spacing w:after="0" w:line="133" w:lineRule="exact"/>
              <w:rPr>
                <w:sz w:val="20"/>
                <w:szCs w:val="20"/>
                <w:color w:val="auto"/>
              </w:rPr>
            </w:pPr>
            <w:r>
              <w:rPr>
                <w:rFonts w:ascii="Arial" w:cs="Arial" w:eastAsia="Arial" w:hAnsi="Arial"/>
                <w:sz w:val="14"/>
                <w:szCs w:val="14"/>
                <w:b w:val="1"/>
                <w:bCs w:val="1"/>
                <w:color w:val="auto"/>
                <w:w w:val="86"/>
              </w:rPr>
              <w:t>Average</w:t>
            </w:r>
          </w:p>
        </w:tc>
        <w:tc>
          <w:tcPr>
            <w:tcW w:w="740" w:type="dxa"/>
            <w:vAlign w:val="bottom"/>
          </w:tcPr>
          <w:p>
            <w:pPr>
              <w:spacing w:after="0"/>
              <w:rPr>
                <w:sz w:val="11"/>
                <w:szCs w:val="11"/>
                <w:color w:val="auto"/>
              </w:rPr>
            </w:pPr>
          </w:p>
        </w:tc>
        <w:tc>
          <w:tcPr>
            <w:tcW w:w="1520" w:type="dxa"/>
            <w:vAlign w:val="bottom"/>
          </w:tcPr>
          <w:p>
            <w:pPr>
              <w:jc w:val="center"/>
              <w:ind w:right="185"/>
              <w:spacing w:after="0" w:line="133" w:lineRule="exact"/>
              <w:rPr>
                <w:sz w:val="20"/>
                <w:szCs w:val="20"/>
                <w:color w:val="auto"/>
              </w:rPr>
            </w:pPr>
            <w:r>
              <w:rPr>
                <w:rFonts w:ascii="Arial" w:cs="Arial" w:eastAsia="Arial" w:hAnsi="Arial"/>
                <w:sz w:val="14"/>
                <w:szCs w:val="14"/>
                <w:b w:val="1"/>
                <w:bCs w:val="1"/>
                <w:color w:val="auto"/>
                <w:w w:val="92"/>
              </w:rPr>
              <w:t>Remaining</w:t>
            </w:r>
          </w:p>
        </w:tc>
        <w:tc>
          <w:tcPr>
            <w:tcW w:w="4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020" w:type="dxa"/>
            <w:vAlign w:val="bottom"/>
          </w:tcPr>
          <w:p>
            <w:pPr>
              <w:jc w:val="center"/>
              <w:ind w:left="383"/>
              <w:spacing w:after="0" w:line="133" w:lineRule="exact"/>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spacing w:after="0"/>
              <w:rPr>
                <w:sz w:val="11"/>
                <w:szCs w:val="11"/>
                <w:color w:val="auto"/>
              </w:rPr>
            </w:pPr>
          </w:p>
        </w:tc>
        <w:tc>
          <w:tcPr>
            <w:tcW w:w="1520" w:type="dxa"/>
            <w:vAlign w:val="bottom"/>
          </w:tcPr>
          <w:p>
            <w:pPr>
              <w:jc w:val="center"/>
              <w:ind w:right="205"/>
              <w:spacing w:after="0" w:line="133" w:lineRule="exact"/>
              <w:rPr>
                <w:sz w:val="20"/>
                <w:szCs w:val="20"/>
                <w:color w:val="auto"/>
              </w:rPr>
            </w:pPr>
            <w:r>
              <w:rPr>
                <w:rFonts w:ascii="Arial" w:cs="Arial" w:eastAsia="Arial" w:hAnsi="Arial"/>
                <w:sz w:val="14"/>
                <w:szCs w:val="14"/>
                <w:b w:val="1"/>
                <w:bCs w:val="1"/>
                <w:color w:val="auto"/>
                <w:w w:val="92"/>
              </w:rPr>
              <w:t>Contractual</w:t>
            </w:r>
          </w:p>
        </w:tc>
        <w:tc>
          <w:tcPr>
            <w:tcW w:w="400" w:type="dxa"/>
            <w:vAlign w:val="bottom"/>
          </w:tcPr>
          <w:p>
            <w:pPr>
              <w:spacing w:after="0"/>
              <w:rPr>
                <w:sz w:val="11"/>
                <w:szCs w:val="11"/>
                <w:color w:val="auto"/>
              </w:rPr>
            </w:pPr>
          </w:p>
        </w:tc>
        <w:tc>
          <w:tcPr>
            <w:tcW w:w="120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Options</w:t>
            </w:r>
          </w:p>
        </w:tc>
        <w:tc>
          <w:tcPr>
            <w:tcW w:w="1020" w:type="dxa"/>
            <w:vAlign w:val="bottom"/>
            <w:tcBorders>
              <w:bottom w:val="single" w:sz="8" w:color="auto"/>
            </w:tcBorders>
          </w:tcPr>
          <w:p>
            <w:pPr>
              <w:jc w:val="center"/>
              <w:ind w:left="383"/>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3"/>
              <w:spacing w:after="0" w:line="186"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60" w:type="dxa"/>
            <w:vAlign w:val="bottom"/>
            <w:gridSpan w:val="2"/>
          </w:tcPr>
          <w:p>
            <w:pPr>
              <w:jc w:val="right"/>
              <w:ind w:right="432"/>
              <w:spacing w:after="0"/>
              <w:rPr>
                <w:sz w:val="20"/>
                <w:szCs w:val="20"/>
                <w:color w:val="auto"/>
              </w:rPr>
            </w:pPr>
            <w:r>
              <w:rPr>
                <w:rFonts w:ascii="Arial" w:cs="Arial" w:eastAsia="Arial" w:hAnsi="Arial"/>
                <w:sz w:val="14"/>
                <w:szCs w:val="14"/>
                <w:b w:val="1"/>
                <w:bCs w:val="1"/>
                <w:i w:val="1"/>
                <w:iCs w:val="1"/>
                <w:color w:val="auto"/>
              </w:rPr>
              <w:t>(per option)</w:t>
            </w:r>
          </w:p>
        </w:tc>
        <w:tc>
          <w:tcPr>
            <w:tcW w:w="1520" w:type="dxa"/>
            <w:vAlign w:val="bottom"/>
          </w:tcPr>
          <w:p>
            <w:pPr>
              <w:jc w:val="right"/>
              <w:ind w:right="385"/>
              <w:spacing w:after="0"/>
              <w:rPr>
                <w:sz w:val="20"/>
                <w:szCs w:val="20"/>
                <w:color w:val="auto"/>
              </w:rPr>
            </w:pPr>
            <w:r>
              <w:rPr>
                <w:rFonts w:ascii="Arial" w:cs="Arial" w:eastAsia="Arial" w:hAnsi="Arial"/>
                <w:sz w:val="14"/>
                <w:szCs w:val="14"/>
                <w:b w:val="1"/>
                <w:bCs w:val="1"/>
                <w:i w:val="1"/>
                <w:iCs w:val="1"/>
                <w:color w:val="auto"/>
              </w:rPr>
              <w:t>(in years)</w:t>
            </w:r>
          </w:p>
        </w:tc>
        <w:tc>
          <w:tcPr>
            <w:tcW w:w="400" w:type="dxa"/>
            <w:vAlign w:val="bottom"/>
          </w:tcPr>
          <w:p>
            <w:pPr>
              <w:spacing w:after="0"/>
              <w:rPr>
                <w:sz w:val="15"/>
                <w:szCs w:val="15"/>
                <w:color w:val="auto"/>
              </w:rPr>
            </w:pPr>
          </w:p>
        </w:tc>
        <w:tc>
          <w:tcPr>
            <w:tcW w:w="1200" w:type="dxa"/>
            <w:vAlign w:val="bottom"/>
          </w:tcPr>
          <w:p>
            <w:pPr>
              <w:jc w:val="center"/>
              <w:ind w:right="123"/>
              <w:spacing w:after="0"/>
              <w:rPr>
                <w:sz w:val="20"/>
                <w:szCs w:val="20"/>
                <w:color w:val="auto"/>
              </w:rPr>
            </w:pPr>
            <w:r>
              <w:rPr>
                <w:rFonts w:ascii="Arial" w:cs="Arial" w:eastAsia="Arial" w:hAnsi="Arial"/>
                <w:sz w:val="14"/>
                <w:szCs w:val="14"/>
                <w:b w:val="1"/>
                <w:bCs w:val="1"/>
                <w:i w:val="1"/>
                <w:iCs w:val="1"/>
                <w:color w:val="auto"/>
                <w:w w:val="87"/>
              </w:rPr>
              <w:t>(in thousands)</w:t>
            </w: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Outstanding at December 31, 2020</w:t>
            </w:r>
          </w:p>
        </w:tc>
        <w:tc>
          <w:tcPr>
            <w:tcW w:w="1600" w:type="dxa"/>
            <w:vAlign w:val="bottom"/>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924,710</w:t>
            </w:r>
          </w:p>
        </w:tc>
        <w:tc>
          <w:tcPr>
            <w:tcW w:w="1020" w:type="dxa"/>
            <w:vAlign w:val="bottom"/>
            <w:shd w:val="clear" w:color="auto" w:fill="CCEEFF"/>
          </w:tcPr>
          <w:p>
            <w:pPr>
              <w:jc w:val="right"/>
              <w:ind w:right="623"/>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111.82</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96"/>
              <w:spacing w:after="0"/>
              <w:rPr>
                <w:sz w:val="20"/>
                <w:szCs w:val="20"/>
                <w:color w:val="auto"/>
              </w:rPr>
            </w:pPr>
            <w:r>
              <w:rPr>
                <w:rFonts w:ascii="Arial" w:cs="Arial" w:eastAsia="Arial" w:hAnsi="Arial"/>
                <w:sz w:val="18"/>
                <w:szCs w:val="18"/>
                <w:color w:val="auto"/>
              </w:rPr>
              <w:t>71,397</w:t>
            </w:r>
          </w:p>
        </w:tc>
        <w:tc>
          <w:tcPr>
            <w:tcW w:w="102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w w:val="87"/>
              </w:rPr>
              <w:t>241.19</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(306,113)</w:t>
            </w: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7.30</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ind w:right="156"/>
              <w:spacing w:after="0"/>
              <w:rPr>
                <w:sz w:val="20"/>
                <w:szCs w:val="20"/>
                <w:color w:val="auto"/>
              </w:rPr>
            </w:pPr>
            <w:r>
              <w:rPr>
                <w:rFonts w:ascii="Arial" w:cs="Arial" w:eastAsia="Arial" w:hAnsi="Arial"/>
                <w:sz w:val="18"/>
                <w:szCs w:val="18"/>
                <w:color w:val="auto"/>
              </w:rPr>
              <w:t>(13,063)</w:t>
            </w:r>
          </w:p>
        </w:tc>
        <w:tc>
          <w:tcPr>
            <w:tcW w:w="102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w w:val="87"/>
              </w:rPr>
              <w:t>261.62</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6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(638)</w:t>
            </w:r>
          </w:p>
        </w:tc>
        <w:tc>
          <w:tcPr>
            <w:tcW w:w="10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7"/>
              </w:rPr>
              <w:t>304.85</w:t>
            </w:r>
          </w:p>
        </w:tc>
        <w:tc>
          <w:tcPr>
            <w:tcW w:w="15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Outstanding at December 31, 2021</w:t>
            </w:r>
          </w:p>
        </w:tc>
        <w:tc>
          <w:tcPr>
            <w:tcW w:w="16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676,293</w:t>
            </w:r>
          </w:p>
        </w:tc>
        <w:tc>
          <w:tcPr>
            <w:tcW w:w="1020" w:type="dxa"/>
            <w:vAlign w:val="bottom"/>
            <w:tcBorders>
              <w:bottom w:val="single" w:sz="8" w:color="auto"/>
            </w:tcBorders>
          </w:tcPr>
          <w:p>
            <w:pPr>
              <w:jc w:val="right"/>
              <w:ind w:right="623"/>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7"/>
              </w:rPr>
              <w:t>169.71</w:t>
            </w:r>
          </w:p>
        </w:tc>
        <w:tc>
          <w:tcPr>
            <w:tcW w:w="152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rPr>
              <w:t>5.57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25,789</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Options exercisable</w:t>
            </w:r>
          </w:p>
        </w:tc>
        <w:tc>
          <w:tcPr>
            <w:tcW w:w="16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442,957</w:t>
            </w:r>
          </w:p>
        </w:tc>
        <w:tc>
          <w:tcPr>
            <w:tcW w:w="102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113.35</w:t>
            </w:r>
          </w:p>
        </w:tc>
        <w:tc>
          <w:tcPr>
            <w:tcW w:w="15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3.98</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25,789</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640" w:hanging="316"/>
        <w:spacing w:after="0" w:line="252" w:lineRule="auto"/>
        <w:tabs>
          <w:tab w:leader="none" w:pos="6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$122.60 on the last trading day of 2021 and the exercise price, multiplied by the number of shares covered by in-the-money options) that would have been received by the option holder had the option holder exercised these options on December 31, 2021. The intrinsic value changes based on the market value of the Company's common stock.</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there was approximately $22.2 million of unrecognized compensation cost related to stock options. These costs are expected to be recognized over a weighted-average period of approximately 3.3 years.</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Upon exercise, the intrinsic value represents the pre-tax difference between the Company's closing stock price on the exercise date and the exercise price, multiplied by the number of stock options exercised. During the years ended December 31, 2021, 2020 and 2019, the total intrinsic value of stock options that were exercised was $51.4 million, $6.8 million and $50.2 million, respectively. Cash received from stock option exercises and the related actual tax benefit realized were $2.2 million and $13.1 million, respectively, for the year ended December 31, 2021.</w:t>
      </w:r>
    </w:p>
    <w:p>
      <w:pPr>
        <w:spacing w:after="0" w:line="7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the years ended December 31, 2021, 2020 and 2019, the Company granted stock options with a weighted average grant date fair value per share of $128.86, $116.08 and $167.10, respectively, of which the vesting periods include (a) immediately upon grant, (b) earlier of one year from grant date and the Company's annual meeting of stockholders for 2022, (c) 33% over a period of three years from the grant date, (d) 25% over a period of four years from the grant date, and (e) certain grants to executive officers that vest over periods of up to six years.</w:t>
      </w:r>
    </w:p>
    <w:p>
      <w:pPr>
        <w:spacing w:after="0" w:line="71" w:lineRule="exact"/>
        <w:rPr>
          <w:sz w:val="20"/>
          <w:szCs w:val="20"/>
          <w:color w:val="auto"/>
        </w:rPr>
      </w:pPr>
    </w:p>
    <w:p>
      <w:pPr>
        <w:jc w:val="both"/>
        <w:ind w:right="420" w:firstLine="318"/>
        <w:spacing w:after="0" w:line="275" w:lineRule="auto"/>
        <w:rPr>
          <w:sz w:val="20"/>
          <w:szCs w:val="20"/>
          <w:color w:val="auto"/>
        </w:rPr>
      </w:pPr>
      <w:r>
        <w:rPr>
          <w:rFonts w:ascii="Arial" w:cs="Arial" w:eastAsia="Arial" w:hAnsi="Arial"/>
          <w:sz w:val="17"/>
          <w:szCs w:val="17"/>
          <w:color w:val="auto"/>
        </w:rPr>
        <w:t>For purposes of determining stock-based compensation expense, the weighted average grant date fair value per share of the stock options, except the December 2020 grant to the Chairman and Chief Executive Officer described below, was estimated using the Black-Scholes option pricing model, which requires the use of various key assumptions. The weighted average assumptions used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w w:val="96"/>
              </w:rPr>
              <w:t>Year Ended December 31,</w:t>
            </w:r>
          </w:p>
        </w:tc>
        <w:tc>
          <w:tcPr>
            <w:tcW w:w="1620" w:type="dxa"/>
            <w:vAlign w:val="bottom"/>
            <w:tcBorders>
              <w:bottom w:val="single" w:sz="8" w:color="auto"/>
            </w:tcBorders>
          </w:tcPr>
          <w:p>
            <w:pPr>
              <w:spacing w:after="0"/>
              <w:rPr>
                <w:sz w:val="18"/>
                <w:szCs w:val="18"/>
                <w:color w:val="auto"/>
              </w:rPr>
            </w:pPr>
          </w:p>
        </w:tc>
      </w:tr>
      <w:tr>
        <w:trPr>
          <w:trHeight w:val="206"/>
        </w:trPr>
        <w:tc>
          <w:tcPr>
            <w:tcW w:w="506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right"/>
              <w:ind w:right="773"/>
              <w:spacing w:after="0"/>
              <w:rPr>
                <w:sz w:val="20"/>
                <w:szCs w:val="20"/>
                <w:color w:val="auto"/>
              </w:rPr>
            </w:pPr>
            <w:r>
              <w:rPr>
                <w:rFonts w:ascii="Arial" w:cs="Arial" w:eastAsia="Arial" w:hAnsi="Arial"/>
                <w:sz w:val="16"/>
                <w:szCs w:val="16"/>
                <w:b w:val="1"/>
                <w:bCs w:val="1"/>
                <w:color w:val="auto"/>
              </w:rPr>
              <w:t>2021</w:t>
            </w:r>
          </w:p>
        </w:tc>
        <w:tc>
          <w:tcPr>
            <w:tcW w:w="2340" w:type="dxa"/>
            <w:vAlign w:val="bottom"/>
            <w:tcBorders>
              <w:bottom w:val="single" w:sz="8" w:color="auto"/>
            </w:tcBorders>
          </w:tcPr>
          <w:p>
            <w:pPr>
              <w:jc w:val="right"/>
              <w:ind w:right="1055"/>
              <w:spacing w:after="0"/>
              <w:rPr>
                <w:sz w:val="20"/>
                <w:szCs w:val="20"/>
                <w:color w:val="auto"/>
              </w:rPr>
            </w:pPr>
            <w:r>
              <w:rPr>
                <w:rFonts w:ascii="Arial" w:cs="Arial" w:eastAsia="Arial" w:hAnsi="Arial"/>
                <w:sz w:val="16"/>
                <w:szCs w:val="16"/>
                <w:b w:val="1"/>
                <w:bCs w:val="1"/>
                <w:color w:val="auto"/>
              </w:rPr>
              <w:t>2020</w:t>
            </w:r>
          </w:p>
        </w:tc>
        <w:tc>
          <w:tcPr>
            <w:tcW w:w="162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2019</w:t>
            </w:r>
          </w:p>
        </w:tc>
      </w:tr>
      <w:tr>
        <w:trPr>
          <w:trHeight w:val="221"/>
        </w:trPr>
        <w:tc>
          <w:tcPr>
            <w:tcW w:w="5060" w:type="dxa"/>
            <w:vAlign w:val="bottom"/>
            <w:shd w:val="clear" w:color="auto" w:fill="CCEEFF"/>
          </w:tcPr>
          <w:p>
            <w:pPr>
              <w:ind w:left="340"/>
              <w:spacing w:after="0" w:line="221"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2"/>
                <w:szCs w:val="22"/>
                <w:color w:val="auto"/>
                <w:vertAlign w:val="superscript"/>
              </w:rPr>
              <w:t>(1)</w:t>
            </w:r>
          </w:p>
        </w:tc>
        <w:tc>
          <w:tcPr>
            <w:tcW w:w="2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5.00-6.00 years</w:t>
            </w:r>
          </w:p>
        </w:tc>
        <w:tc>
          <w:tcPr>
            <w:tcW w:w="23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5.00 - 6.25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5.00 - 6.25 years</w:t>
            </w:r>
          </w:p>
        </w:tc>
      </w:tr>
      <w:tr>
        <w:trPr>
          <w:trHeight w:val="225"/>
        </w:trPr>
        <w:tc>
          <w:tcPr>
            <w:tcW w:w="5060" w:type="dxa"/>
            <w:vAlign w:val="bottom"/>
          </w:tcPr>
          <w:p>
            <w:pPr>
              <w:ind w:left="340"/>
              <w:spacing w:after="0" w:line="225"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2"/>
                <w:szCs w:val="22"/>
                <w:color w:val="auto"/>
                <w:vertAlign w:val="superscript"/>
              </w:rPr>
              <w:t>(2)</w:t>
            </w: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06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2"/>
                <w:szCs w:val="22"/>
                <w:color w:val="auto"/>
                <w:vertAlign w:val="superscript"/>
              </w:rPr>
              <w:t>(3)</w:t>
            </w:r>
          </w:p>
        </w:tc>
        <w:tc>
          <w:tcPr>
            <w:tcW w:w="2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 - 59%</w:t>
            </w:r>
          </w:p>
        </w:tc>
        <w:tc>
          <w:tcPr>
            <w:tcW w:w="23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52%- 60%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- 55%</w:t>
            </w:r>
          </w:p>
        </w:tc>
      </w:tr>
      <w:tr>
        <w:trPr>
          <w:trHeight w:val="225"/>
        </w:trPr>
        <w:tc>
          <w:tcPr>
            <w:tcW w:w="5060" w:type="dxa"/>
            <w:vAlign w:val="bottom"/>
            <w:tcBorders>
              <w:bottom w:val="single" w:sz="8" w:color="999999"/>
            </w:tcBorders>
          </w:tcPr>
          <w:p>
            <w:pPr>
              <w:ind w:left="340"/>
              <w:spacing w:after="0" w:line="225"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2"/>
                <w:szCs w:val="22"/>
                <w:color w:val="auto"/>
                <w:vertAlign w:val="superscript"/>
              </w:rPr>
              <w:t>(4)</w:t>
            </w:r>
          </w:p>
        </w:tc>
        <w:tc>
          <w:tcPr>
            <w:tcW w:w="2200" w:type="dxa"/>
            <w:vAlign w:val="bottom"/>
            <w:tcBorders>
              <w:bottom w:val="single" w:sz="8" w:color="999999"/>
            </w:tcBorders>
          </w:tcPr>
          <w:p>
            <w:pPr>
              <w:jc w:val="right"/>
              <w:ind w:right="73"/>
              <w:spacing w:after="0"/>
              <w:rPr>
                <w:sz w:val="20"/>
                <w:szCs w:val="20"/>
                <w:color w:val="auto"/>
              </w:rPr>
            </w:pPr>
            <w:r>
              <w:rPr>
                <w:rFonts w:ascii="Arial" w:cs="Arial" w:eastAsia="Arial" w:hAnsi="Arial"/>
                <w:sz w:val="18"/>
                <w:szCs w:val="18"/>
                <w:color w:val="auto"/>
              </w:rPr>
              <w:t>0.59% - 1.15%</w:t>
            </w:r>
          </w:p>
        </w:tc>
        <w:tc>
          <w:tcPr>
            <w:tcW w:w="2340" w:type="dxa"/>
            <w:vAlign w:val="bottom"/>
            <w:tcBorders>
              <w:bottom w:val="single" w:sz="8" w:color="999999"/>
            </w:tcBorders>
          </w:tcPr>
          <w:p>
            <w:pPr>
              <w:jc w:val="right"/>
              <w:ind w:right="375"/>
              <w:spacing w:after="0"/>
              <w:rPr>
                <w:sz w:val="20"/>
                <w:szCs w:val="20"/>
                <w:color w:val="auto"/>
              </w:rPr>
            </w:pPr>
            <w:r>
              <w:rPr>
                <w:rFonts w:ascii="Arial" w:cs="Arial" w:eastAsia="Arial" w:hAnsi="Arial"/>
                <w:sz w:val="18"/>
                <w:szCs w:val="18"/>
                <w:color w:val="auto"/>
              </w:rPr>
              <w:t>0.33%- 0.96%</w:t>
            </w:r>
          </w:p>
        </w:tc>
        <w:tc>
          <w:tcPr>
            <w:tcW w:w="16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1.46% - 2.55%</w:t>
            </w:r>
          </w:p>
        </w:tc>
      </w:tr>
    </w:tbl>
    <w:p>
      <w:pPr>
        <w:spacing w:after="0" w:line="173" w:lineRule="exact"/>
        <w:rPr>
          <w:sz w:val="20"/>
          <w:szCs w:val="20"/>
          <w:color w:val="auto"/>
        </w:rPr>
      </w:pPr>
    </w:p>
    <w:p>
      <w:pPr>
        <w:jc w:val="both"/>
        <w:ind w:left="880" w:hanging="318"/>
        <w:spacing w:after="0" w:line="255" w:lineRule="auto"/>
        <w:tabs>
          <w:tab w:leader="none" w:pos="8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82" w:lineRule="exact"/>
        <w:rPr>
          <w:rFonts w:ascii="Arial" w:cs="Arial" w:eastAsia="Arial" w:hAnsi="Arial"/>
          <w:sz w:val="18"/>
          <w:szCs w:val="18"/>
          <w:color w:val="auto"/>
        </w:rPr>
      </w:pPr>
    </w:p>
    <w:p>
      <w:pPr>
        <w:ind w:left="880" w:hanging="318"/>
        <w:spacing w:after="0" w:line="264" w:lineRule="auto"/>
        <w:tabs>
          <w:tab w:leader="none" w:pos="8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all stock options granted during the years ended December 31, 2021, 2020 and 2019, no dividends are expected to be paid over the contractual term of the stock options, resulting in a zero expected dividend rate.</w:t>
      </w:r>
    </w:p>
    <w:p>
      <w:pPr>
        <w:spacing w:after="0" w:line="74" w:lineRule="exact"/>
        <w:rPr>
          <w:rFonts w:ascii="Arial" w:cs="Arial" w:eastAsia="Arial" w:hAnsi="Arial"/>
          <w:sz w:val="18"/>
          <w:szCs w:val="18"/>
          <w:color w:val="auto"/>
        </w:rPr>
      </w:pPr>
    </w:p>
    <w:p>
      <w:pPr>
        <w:ind w:left="880" w:hanging="318"/>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80" w:hanging="318"/>
        <w:spacing w:after="0" w:line="264" w:lineRule="auto"/>
        <w:tabs>
          <w:tab w:leader="none" w:pos="8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December 2020, the Company granted time-based stock options to its Chairman and Chief Executive Officer at a premium exercise price of $300, representing an approximate 25% premium over the closing market price of LendingTree's common stock on the date of grant. The net after-tax shares acquired through exercise of these stock options are subject to a two-year post-exercise holding requirement. For purposes of determining stock-based compensation expense, the grant date fair value per share of these time-based stock options was estimated using the Monte Carlo simulation model. The key assumptions used in the valuation are as follows:</w:t>
      </w:r>
    </w:p>
    <w:p>
      <w:pPr>
        <w:spacing w:after="0" w:line="88" w:lineRule="exact"/>
        <w:rPr>
          <w:sz w:val="20"/>
          <w:szCs w:val="20"/>
          <w:color w:val="auto"/>
        </w:rPr>
      </w:pPr>
    </w:p>
    <w:p>
      <w:pPr>
        <w:ind w:left="880" w:hanging="318"/>
        <w:spacing w:after="0" w:line="264" w:lineRule="auto"/>
        <w:tabs>
          <w:tab w:leader="none" w:pos="8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average expected term of 6.90 years based on the midpoint between the first day that the stock options are both vested and in-the-money and the end of the contractual term.</w:t>
      </w:r>
    </w:p>
    <w:p>
      <w:pPr>
        <w:spacing w:after="0" w:line="74" w:lineRule="exact"/>
        <w:rPr>
          <w:rFonts w:ascii="Arial" w:cs="Arial" w:eastAsia="Arial" w:hAnsi="Arial"/>
          <w:sz w:val="18"/>
          <w:szCs w:val="18"/>
          <w:color w:val="auto"/>
        </w:rPr>
      </w:pPr>
    </w:p>
    <w:p>
      <w:pPr>
        <w:ind w:left="880" w:hanging="31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zero expected dividend rate as no dividends are expected to be paid over the contractual term of the stock options.</w:t>
      </w:r>
    </w:p>
    <w:p>
      <w:pPr>
        <w:spacing w:after="0" w:line="111" w:lineRule="exact"/>
        <w:rPr>
          <w:rFonts w:ascii="Arial" w:cs="Arial" w:eastAsia="Arial" w:hAnsi="Arial"/>
          <w:sz w:val="18"/>
          <w:szCs w:val="18"/>
          <w:color w:val="auto"/>
        </w:rPr>
      </w:pPr>
    </w:p>
    <w:p>
      <w:pPr>
        <w:ind w:left="880" w:hanging="31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expected volatility rate of 52% based on the historical volatility of the Company's common stock.</w:t>
      </w:r>
    </w:p>
    <w:p>
      <w:pPr>
        <w:spacing w:after="0" w:line="111" w:lineRule="exact"/>
        <w:rPr>
          <w:rFonts w:ascii="Arial" w:cs="Arial" w:eastAsia="Arial" w:hAnsi="Arial"/>
          <w:sz w:val="18"/>
          <w:szCs w:val="18"/>
          <w:color w:val="auto"/>
        </w:rPr>
      </w:pPr>
    </w:p>
    <w:p>
      <w:pPr>
        <w:ind w:left="880" w:hanging="318"/>
        <w:spacing w:after="0" w:line="264" w:lineRule="auto"/>
        <w:tabs>
          <w:tab w:leader="none" w:pos="8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risk-free interest rate of 0.92% based on U.S. Treasury yields for notes with comparable expected terms as the awards, in effect at the grant date.</w:t>
      </w:r>
    </w:p>
    <w:p>
      <w:pPr>
        <w:spacing w:after="0" w:line="74" w:lineRule="exact"/>
        <w:rPr>
          <w:rFonts w:ascii="Arial" w:cs="Arial" w:eastAsia="Arial" w:hAnsi="Arial"/>
          <w:sz w:val="18"/>
          <w:szCs w:val="18"/>
          <w:color w:val="auto"/>
        </w:rPr>
      </w:pPr>
    </w:p>
    <w:p>
      <w:pPr>
        <w:ind w:left="880" w:hanging="318"/>
        <w:spacing w:after="0" w:line="264" w:lineRule="auto"/>
        <w:tabs>
          <w:tab w:leader="none" w:pos="8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8.8% discount for the post-exercise holding requirement, calculated using the cost-of-carry method, the Chaffe protective put method, and the Finnerty model.</w:t>
      </w:r>
    </w:p>
    <w:p>
      <w:pPr>
        <w:spacing w:after="0" w:line="75"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During the years ended December 31, 2021, 2020 and 2019, the total fair value of options vested was $10.8 million, $5.8 million and $6.9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restart"/>
          </w:tcPr>
          <w:p>
            <w:pPr>
              <w:jc w:val="center"/>
              <w:ind w:right="339"/>
              <w:spacing w:after="0"/>
              <w:rPr>
                <w:sz w:val="20"/>
                <w:szCs w:val="20"/>
                <w:color w:val="auto"/>
              </w:rPr>
            </w:pPr>
            <w:r>
              <w:rPr>
                <w:rFonts w:ascii="Arial" w:cs="Arial" w:eastAsia="Arial" w:hAnsi="Arial"/>
                <w:sz w:val="14"/>
                <w:szCs w:val="14"/>
                <w:b w:val="1"/>
                <w:bCs w:val="1"/>
                <w:color w:val="auto"/>
                <w:w w:val="88"/>
              </w:rPr>
              <w:t>Weighted</w:t>
            </w:r>
          </w:p>
        </w:tc>
        <w:tc>
          <w:tcPr>
            <w:tcW w:w="1400" w:type="dxa"/>
            <w:vAlign w:val="bottom"/>
          </w:tcPr>
          <w:p>
            <w:pPr>
              <w:jc w:val="center"/>
              <w:ind w:right="85"/>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Options</w:t>
            </w:r>
          </w:p>
        </w:tc>
        <w:tc>
          <w:tcPr>
            <w:tcW w:w="3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0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1"/>
                <w:szCs w:val="11"/>
                <w:color w:val="auto"/>
              </w:rPr>
            </w:pPr>
          </w:p>
        </w:tc>
        <w:tc>
          <w:tcPr>
            <w:tcW w:w="124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center"/>
              <w:ind w:right="339"/>
              <w:spacing w:after="0" w:line="133"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tcPr>
          <w:p>
            <w:pPr>
              <w:jc w:val="center"/>
              <w:ind w:right="65"/>
              <w:spacing w:after="0" w:line="133"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with Market</w:t>
            </w:r>
          </w:p>
        </w:tc>
        <w:tc>
          <w:tcPr>
            <w:tcW w:w="300" w:type="dxa"/>
            <w:vAlign w:val="bottom"/>
          </w:tcPr>
          <w:p>
            <w:pPr>
              <w:spacing w:after="0"/>
              <w:rPr>
                <w:sz w:val="11"/>
                <w:szCs w:val="11"/>
                <w:color w:val="auto"/>
              </w:rPr>
            </w:pPr>
          </w:p>
        </w:tc>
        <w:tc>
          <w:tcPr>
            <w:tcW w:w="1380" w:type="dxa"/>
            <w:vAlign w:val="bottom"/>
          </w:tcPr>
          <w:p>
            <w:pPr>
              <w:jc w:val="center"/>
              <w:ind w:right="339"/>
              <w:spacing w:after="0" w:line="133"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1"/>
                <w:szCs w:val="11"/>
                <w:color w:val="auto"/>
              </w:rPr>
            </w:pPr>
          </w:p>
        </w:tc>
        <w:tc>
          <w:tcPr>
            <w:tcW w:w="124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3"/>
              <w:spacing w:after="0" w:line="186" w:lineRule="exact"/>
              <w:rPr>
                <w:sz w:val="20"/>
                <w:szCs w:val="20"/>
                <w:color w:val="auto"/>
              </w:rPr>
            </w:pPr>
            <w:r>
              <w:rPr>
                <w:rFonts w:ascii="Arial" w:cs="Arial" w:eastAsia="Arial" w:hAnsi="Arial"/>
                <w:sz w:val="14"/>
                <w:szCs w:val="14"/>
                <w:b w:val="1"/>
                <w:bCs w:val="1"/>
                <w:color w:val="auto"/>
                <w:w w:val="84"/>
              </w:rPr>
              <w:t>Value</w:t>
            </w:r>
            <w:r>
              <w:rPr>
                <w:rFonts w:ascii="Arial" w:cs="Arial" w:eastAsia="Arial" w:hAnsi="Arial"/>
                <w:sz w:val="18"/>
                <w:szCs w:val="18"/>
                <w:b w:val="1"/>
                <w:bCs w:val="1"/>
                <w:color w:val="auto"/>
                <w:w w:val="84"/>
                <w:vertAlign w:val="superscript"/>
              </w:rPr>
              <w:t>(a)</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center"/>
              <w:ind w:right="339"/>
              <w:spacing w:after="0"/>
              <w:rPr>
                <w:sz w:val="20"/>
                <w:szCs w:val="20"/>
                <w:color w:val="auto"/>
              </w:rPr>
            </w:pPr>
            <w:r>
              <w:rPr>
                <w:rFonts w:ascii="Arial" w:cs="Arial" w:eastAsia="Arial" w:hAnsi="Arial"/>
                <w:sz w:val="14"/>
                <w:szCs w:val="14"/>
                <w:b w:val="1"/>
                <w:bCs w:val="1"/>
                <w:i w:val="1"/>
                <w:iCs w:val="1"/>
                <w:color w:val="auto"/>
                <w:w w:val="87"/>
              </w:rPr>
              <w:t>(per option)</w:t>
            </w:r>
          </w:p>
        </w:tc>
        <w:tc>
          <w:tcPr>
            <w:tcW w:w="1400" w:type="dxa"/>
            <w:vAlign w:val="bottom"/>
          </w:tcPr>
          <w:p>
            <w:pPr>
              <w:jc w:val="center"/>
              <w:ind w:right="85"/>
              <w:spacing w:after="0"/>
              <w:rPr>
                <w:sz w:val="20"/>
                <w:szCs w:val="20"/>
                <w:color w:val="auto"/>
              </w:rPr>
            </w:pPr>
            <w:r>
              <w:rPr>
                <w:rFonts w:ascii="Arial" w:cs="Arial" w:eastAsia="Arial" w:hAnsi="Arial"/>
                <w:sz w:val="14"/>
                <w:szCs w:val="14"/>
                <w:b w:val="1"/>
                <w:bCs w:val="1"/>
                <w:i w:val="1"/>
                <w:iCs w:val="1"/>
                <w:color w:val="auto"/>
                <w:w w:val="89"/>
              </w:rPr>
              <w:t>(in years)</w:t>
            </w:r>
          </w:p>
        </w:tc>
        <w:tc>
          <w:tcPr>
            <w:tcW w:w="240" w:type="dxa"/>
            <w:vAlign w:val="bottom"/>
          </w:tcPr>
          <w:p>
            <w:pPr>
              <w:spacing w:after="0"/>
              <w:rPr>
                <w:sz w:val="15"/>
                <w:szCs w:val="15"/>
                <w:color w:val="auto"/>
              </w:rPr>
            </w:pPr>
          </w:p>
        </w:tc>
        <w:tc>
          <w:tcPr>
            <w:tcW w:w="1240" w:type="dxa"/>
            <w:vAlign w:val="bottom"/>
          </w:tcPr>
          <w:p>
            <w:pPr>
              <w:jc w:val="center"/>
              <w:ind w:right="123"/>
              <w:spacing w:after="0"/>
              <w:rPr>
                <w:sz w:val="20"/>
                <w:szCs w:val="20"/>
                <w:color w:val="auto"/>
              </w:rPr>
            </w:pPr>
            <w:r>
              <w:rPr>
                <w:rFonts w:ascii="Arial" w:cs="Arial" w:eastAsia="Arial" w:hAnsi="Arial"/>
                <w:sz w:val="14"/>
                <w:szCs w:val="14"/>
                <w:b w:val="1"/>
                <w:bCs w:val="1"/>
                <w:i w:val="1"/>
                <w:iCs w:val="1"/>
                <w:color w:val="auto"/>
                <w:w w:val="87"/>
              </w:rPr>
              <w:t>(in thousands)</w:t>
            </w: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700,209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236.01</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700,209</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236.01</w:t>
            </w: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b w:val="1"/>
                <w:bCs w:val="1"/>
                <w:color w:val="auto"/>
              </w:rPr>
              <w:t>6.75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2"/>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640" w:hanging="316"/>
        <w:spacing w:after="0" w:line="252" w:lineRule="auto"/>
        <w:tabs>
          <w:tab w:leader="none" w:pos="6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$122.60 on the last trading day of 2021 and the exercise price, multiplied by the number of shares covered by in-the-money options) that would have been received by the option holder had the option holder exercised these options on December 31, 2021. The intrinsic value changes based on the market value of the Company's common stock.</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2021, there was approximately $36.5 million of unrecognized compensation cost related to stock options with market conditions. These costs are expected to be recognized over a weighted-average period of approximately 1.8 years. For single cliff-vesting stock options with market conditions, the fair value will be recognized on a straight-line basis through each grant’s vest date, whether or not any of the total shareholder return targets are met. For graded-vesting stock options with market conditions, the fair value will be recognized using graded vesting expense attribution, whether or not any of the total shareholder return targets are met.</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 stock options with market conditions were granted in 2021. During the years ended December 31, 2020 and 2019, the Company granted stock options with a weighted-average grant date fair value per share of $142.54 and $230.81, respectively. The single cliff-vesting stock options granted during the years ended December 31, 2020 and 2019 have vest dates of March 31,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2024 and March 31, 2023, respectively. The graded-vesting stock options granted during the year ended December 31, 2020 have a vesting schedule with vesting dates of December 31, 2024, December 31, 2025 and December 31, 2026.</w:t>
      </w:r>
    </w:p>
    <w:p>
      <w:pPr>
        <w:spacing w:after="0" w:line="7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For purposes of determining stock-based compensation expense, the weighted-average grant date fair value per share of the stock options with a market condition was estimated using the Monte Carlo simulation model, which requires the use of various key assumptions.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assumptions used for single cliff-vesting stock options with a market condition are as follows:</w:t>
      </w:r>
    </w:p>
    <w:p>
      <w:pPr>
        <w:spacing w:after="0" w:line="149"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2020</w:t>
            </w:r>
          </w:p>
        </w:tc>
        <w:tc>
          <w:tcPr>
            <w:tcW w:w="1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6"/>
                <w:szCs w:val="16"/>
                <w:b w:val="1"/>
                <w:bCs w:val="1"/>
                <w:color w:val="auto"/>
              </w:rPr>
              <w:t>2019</w:t>
            </w:r>
          </w:p>
        </w:tc>
      </w:tr>
      <w:tr>
        <w:trPr>
          <w:trHeight w:val="220"/>
        </w:trPr>
        <w:tc>
          <w:tcPr>
            <w:tcW w:w="66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2"/>
                <w:szCs w:val="22"/>
                <w:color w:val="auto"/>
                <w:vertAlign w:val="superscript"/>
              </w:rPr>
              <w:t>(1)</w:t>
            </w:r>
          </w:p>
        </w:tc>
        <w:tc>
          <w:tcPr>
            <w:tcW w:w="1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5"/>
              </w:rPr>
              <w:t>7.00 years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years</w:t>
            </w:r>
          </w:p>
        </w:tc>
      </w:tr>
      <w:tr>
        <w:trPr>
          <w:trHeight w:val="225"/>
        </w:trPr>
        <w:tc>
          <w:tcPr>
            <w:tcW w:w="79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2"/>
                <w:szCs w:val="22"/>
                <w:color w:val="auto"/>
                <w:vertAlign w:val="superscript"/>
              </w:rPr>
              <w:t>(2)</w:t>
            </w:r>
          </w:p>
        </w:tc>
        <w:tc>
          <w:tcPr>
            <w:tcW w:w="12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9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2"/>
                <w:szCs w:val="22"/>
                <w:color w:val="auto"/>
                <w:vertAlign w:val="superscript"/>
              </w:rPr>
              <w:t>(3)</w:t>
            </w: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51 %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5"/>
        </w:trPr>
        <w:tc>
          <w:tcPr>
            <w:tcW w:w="7980" w:type="dxa"/>
            <w:vAlign w:val="bottom"/>
            <w:tcBorders>
              <w:bottom w:val="single" w:sz="8" w:color="999999"/>
            </w:tcBorders>
            <w:gridSpan w:val="2"/>
          </w:tcPr>
          <w:p>
            <w:pPr>
              <w:ind w:left="20"/>
              <w:spacing w:after="0" w:line="225"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2"/>
                <w:szCs w:val="22"/>
                <w:color w:val="auto"/>
                <w:vertAlign w:val="superscript"/>
              </w:rPr>
              <w:t>(4)</w:t>
            </w:r>
          </w:p>
        </w:tc>
        <w:tc>
          <w:tcPr>
            <w:tcW w:w="1280" w:type="dxa"/>
            <w:vAlign w:val="bottom"/>
            <w:tcBorders>
              <w:bottom w:val="single" w:sz="8" w:color="999999"/>
            </w:tcBorders>
          </w:tcPr>
          <w:p>
            <w:pPr>
              <w:jc w:val="right"/>
              <w:ind w:right="372"/>
              <w:spacing w:after="0"/>
              <w:rPr>
                <w:sz w:val="20"/>
                <w:szCs w:val="20"/>
                <w:color w:val="auto"/>
              </w:rPr>
            </w:pPr>
            <w:r>
              <w:rPr>
                <w:rFonts w:ascii="Arial" w:cs="Arial" w:eastAsia="Arial" w:hAnsi="Arial"/>
                <w:sz w:val="18"/>
                <w:szCs w:val="18"/>
                <w:color w:val="auto"/>
              </w:rPr>
              <w:t>1.03 %</w:t>
            </w:r>
          </w:p>
        </w:tc>
        <w:tc>
          <w:tcPr>
            <w:tcW w:w="17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2.54 %</w:t>
            </w:r>
          </w:p>
        </w:tc>
      </w:tr>
    </w:tbl>
    <w:p>
      <w:pPr>
        <w:spacing w:after="0" w:line="186" w:lineRule="exact"/>
        <w:rPr>
          <w:sz w:val="20"/>
          <w:szCs w:val="20"/>
          <w:color w:val="auto"/>
        </w:rPr>
      </w:pPr>
    </w:p>
    <w:p>
      <w:pPr>
        <w:ind w:left="960" w:hanging="318"/>
        <w:spacing w:after="0" w:line="264" w:lineRule="auto"/>
        <w:tabs>
          <w:tab w:leader="none" w:pos="9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weighted average time of vesting and the end of the contractual term.</w:t>
      </w:r>
    </w:p>
    <w:p>
      <w:pPr>
        <w:spacing w:after="0" w:line="74" w:lineRule="exact"/>
        <w:rPr>
          <w:rFonts w:ascii="Arial" w:cs="Arial" w:eastAsia="Arial" w:hAnsi="Arial"/>
          <w:sz w:val="18"/>
          <w:szCs w:val="18"/>
          <w:color w:val="auto"/>
        </w:rPr>
      </w:pPr>
    </w:p>
    <w:p>
      <w:pPr>
        <w:ind w:left="960" w:hanging="318"/>
        <w:spacing w:after="0" w:line="264" w:lineRule="auto"/>
        <w:tabs>
          <w:tab w:leader="none" w:pos="9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during the years ended December 31, 2020 and 2019, no dividends are expected to be paid over the contractual term of the stock options, resulting in a zero expected dividend rate.</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11" w:lineRule="exact"/>
        <w:rPr>
          <w:rFonts w:ascii="Arial" w:cs="Arial" w:eastAsia="Arial" w:hAnsi="Arial"/>
          <w:sz w:val="18"/>
          <w:szCs w:val="18"/>
          <w:color w:val="auto"/>
        </w:rPr>
      </w:pPr>
    </w:p>
    <w:p>
      <w:pPr>
        <w:ind w:left="960" w:hanging="318"/>
        <w:spacing w:after="0" w:line="264" w:lineRule="auto"/>
        <w:tabs>
          <w:tab w:leader="none" w:pos="9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December 2020, the Company granted graded-vesting stock options with a market condition to its Chairman and Chief Executive Officer at a premium exercise price of $300, representing an approximate 25% premium over the closing market price of LendingTree's common stock on the date of grant. The net after-tax shares acquired through exercise of these stock options are subject to a two-year post-exercise holding requirement. The key assumptions used in the Monte Carlo simulation model to determine the grant date fair value per share of these graded-vesting stock options with a market condition are as follows:</w:t>
      </w:r>
    </w:p>
    <w:p>
      <w:pPr>
        <w:spacing w:after="0" w:line="40" w:lineRule="exact"/>
        <w:rPr>
          <w:sz w:val="20"/>
          <w:szCs w:val="20"/>
          <w:color w:val="auto"/>
        </w:rPr>
      </w:pPr>
    </w:p>
    <w:p>
      <w:pPr>
        <w:ind w:left="880" w:hanging="318"/>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average expected term of 7.54 years based on the midpoint between vesting and the end of the contractual term.</w:t>
      </w:r>
    </w:p>
    <w:p>
      <w:pPr>
        <w:spacing w:after="0" w:line="111" w:lineRule="exact"/>
        <w:rPr>
          <w:rFonts w:ascii="Arial" w:cs="Arial" w:eastAsia="Arial" w:hAnsi="Arial"/>
          <w:sz w:val="18"/>
          <w:szCs w:val="18"/>
          <w:color w:val="auto"/>
        </w:rPr>
      </w:pPr>
    </w:p>
    <w:p>
      <w:pPr>
        <w:ind w:left="880" w:hanging="318"/>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zero expected dividend rate as no dividends are expected to be paid over the contractual term of the stock options.</w:t>
      </w:r>
    </w:p>
    <w:p>
      <w:pPr>
        <w:spacing w:after="0" w:line="111" w:lineRule="exact"/>
        <w:rPr>
          <w:rFonts w:ascii="Arial" w:cs="Arial" w:eastAsia="Arial" w:hAnsi="Arial"/>
          <w:sz w:val="18"/>
          <w:szCs w:val="18"/>
          <w:color w:val="auto"/>
        </w:rPr>
      </w:pPr>
    </w:p>
    <w:p>
      <w:pPr>
        <w:ind w:left="880" w:hanging="318"/>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expected volatility rate of 52% based on the historical volatility of the Company's common stock.</w:t>
      </w:r>
    </w:p>
    <w:p>
      <w:pPr>
        <w:spacing w:after="0" w:line="111" w:lineRule="exact"/>
        <w:rPr>
          <w:rFonts w:ascii="Arial" w:cs="Arial" w:eastAsia="Arial" w:hAnsi="Arial"/>
          <w:sz w:val="18"/>
          <w:szCs w:val="18"/>
          <w:color w:val="auto"/>
        </w:rPr>
      </w:pPr>
    </w:p>
    <w:p>
      <w:pPr>
        <w:ind w:left="880" w:hanging="318"/>
        <w:spacing w:after="0" w:line="264" w:lineRule="auto"/>
        <w:tabs>
          <w:tab w:leader="none" w:pos="8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risk-free interest rate of 0.92% based on U.S. Treasury yields for notes with comparable expected terms as the awards, in effect at the grant date.</w:t>
      </w:r>
    </w:p>
    <w:p>
      <w:pPr>
        <w:spacing w:after="0" w:line="74" w:lineRule="exact"/>
        <w:rPr>
          <w:rFonts w:ascii="Arial" w:cs="Arial" w:eastAsia="Arial" w:hAnsi="Arial"/>
          <w:sz w:val="18"/>
          <w:szCs w:val="18"/>
          <w:color w:val="auto"/>
        </w:rPr>
      </w:pPr>
    </w:p>
    <w:p>
      <w:pPr>
        <w:ind w:left="880" w:hanging="318"/>
        <w:spacing w:after="0" w:line="264" w:lineRule="auto"/>
        <w:tabs>
          <w:tab w:leader="none" w:pos="8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8.8% discount for the post-exercise holding requirement, calculated using the cost-of-carry method, the Chaffe protective put method, and the Finnerty model.</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single cliff-vesting stock options with a market condition granted in 2020 have a target number of shares that vest upon achieving a targeted total shareholder return performance of 81% stock price appreciation and a maximum of 31,940 shares for achieving superior performance. No shares will vest unless 41% of the targeted performance is achieved. The performance measurement period ends on March 31, 2024. The graded-vesting stock options with a market condition granted in 2020 have a target number of shares that vest upon achieving a targeted total shareholder return performance of 135% stock price appreciation and a maximum of 363,464 shares for achieving superior performance. No shares will vest unless 81% of the targeted performance is achieved. The performance measurement period ends on March 31, 2025.</w:t>
      </w:r>
    </w:p>
    <w:p>
      <w:pPr>
        <w:spacing w:after="0" w:line="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stock options with a market condition granted in 2019 have a target number of shares that vest upon achieving a targeted total shareholder return performance of 81% stock price appreciation and a maximum of 27,132 shares for achieving superior performance. No shares will vest unless 41% of the targeted performance is achieved. The performance measurement period ends on March 31,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Certain of the stock options with a market condition granted in 2018 have a target number of shares that vest upon achieving a targeted total shareholder return performance of 110% stock price appreciation and a maximum of 52,332 shares for achieving superior performance. No shares will vest unless 70% of the targeted performance is achieved. The performance measurement period ends on September 30, 2022. The remaining stock options with a market condition granted in 2018 have a target number of shares that vest upon achieving a targeted total shareholder return performance of 81% stock price appreciation and a maximum of 21,982 shares for achieving superior performance. No shares will vest unless 41% of the targeted performance is achieved. The performance measurement period ends on March 31, 2022.</w:t>
      </w:r>
    </w:p>
    <w:p>
      <w:pPr>
        <w:spacing w:after="0" w:line="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all stock options with market conditions, time-based service vesting conditions would also have to be satisfied in order for shares to become fully vested and no longer subject to forfeiture.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2021, stock options with a market condition of 481,669 had been earned, which have a vest date of September 30,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nonvested RSUs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jc w:val="right"/>
              <w:ind w:right="40"/>
              <w:spacing w:after="0" w:line="131" w:lineRule="exact"/>
              <w:rPr>
                <w:sz w:val="20"/>
                <w:szCs w:val="20"/>
                <w:color w:val="auto"/>
              </w:rPr>
            </w:pPr>
            <w:r>
              <w:rPr>
                <w:rFonts w:ascii="Arial" w:cs="Arial" w:eastAsia="Arial" w:hAnsi="Arial"/>
                <w:sz w:val="14"/>
                <w:szCs w:val="14"/>
                <w:b w:val="1"/>
                <w:bCs w:val="1"/>
                <w:color w:val="auto"/>
                <w:w w:val="90"/>
              </w:rPr>
              <w:t>Weighted Average Grant</w:t>
            </w:r>
          </w:p>
        </w:tc>
        <w:tc>
          <w:tcPr>
            <w:tcW w:w="0" w:type="dxa"/>
            <w:vAlign w:val="bottom"/>
          </w:tcPr>
          <w:p>
            <w:pPr>
              <w:spacing w:after="0"/>
              <w:rPr>
                <w:sz w:val="1"/>
                <w:szCs w:val="1"/>
                <w:color w:val="auto"/>
              </w:rPr>
            </w:pPr>
          </w:p>
        </w:tc>
      </w:tr>
      <w:tr>
        <w:trPr>
          <w:trHeight w:val="133"/>
        </w:trPr>
        <w:tc>
          <w:tcPr>
            <w:tcW w:w="7320" w:type="dxa"/>
            <w:vAlign w:val="bottom"/>
          </w:tcPr>
          <w:p>
            <w:pPr>
              <w:spacing w:after="0"/>
              <w:rPr>
                <w:sz w:val="11"/>
                <w:szCs w:val="11"/>
                <w:color w:val="auto"/>
              </w:rPr>
            </w:pPr>
          </w:p>
        </w:tc>
        <w:tc>
          <w:tcPr>
            <w:tcW w:w="18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Number of Units</w:t>
            </w:r>
          </w:p>
        </w:tc>
        <w:tc>
          <w:tcPr>
            <w:tcW w:w="460" w:type="dxa"/>
            <w:vAlign w:val="bottom"/>
          </w:tcPr>
          <w:p>
            <w:pPr>
              <w:spacing w:after="0"/>
              <w:rPr>
                <w:sz w:val="11"/>
                <w:szCs w:val="11"/>
                <w:color w:val="auto"/>
              </w:rPr>
            </w:pPr>
          </w:p>
        </w:tc>
        <w:tc>
          <w:tcPr>
            <w:tcW w:w="1620" w:type="dxa"/>
            <w:vAlign w:val="bottom"/>
          </w:tcPr>
          <w:p>
            <w:pPr>
              <w:jc w:val="right"/>
              <w:ind w:right="820"/>
              <w:spacing w:after="0" w:line="133"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5"/>
        </w:trPr>
        <w:tc>
          <w:tcPr>
            <w:tcW w:w="732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7"/>
        </w:trPr>
        <w:tc>
          <w:tcPr>
            <w:tcW w:w="7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Pr>
          <w:p>
            <w:pPr>
              <w:jc w:val="right"/>
              <w:ind w:right="520"/>
              <w:spacing w:after="0"/>
              <w:rPr>
                <w:sz w:val="20"/>
                <w:szCs w:val="20"/>
                <w:color w:val="auto"/>
              </w:rPr>
            </w:pPr>
            <w:r>
              <w:rPr>
                <w:rFonts w:ascii="Arial" w:cs="Arial" w:eastAsia="Arial" w:hAnsi="Arial"/>
                <w:sz w:val="14"/>
                <w:szCs w:val="14"/>
                <w:b w:val="1"/>
                <w:bCs w:val="1"/>
                <w:i w:val="1"/>
                <w:iCs w:val="1"/>
                <w:color w:val="auto"/>
              </w:rPr>
              <w:t>(per unit)</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Nonvested at December 31, 2020</w:t>
            </w:r>
          </w:p>
        </w:tc>
        <w:tc>
          <w:tcPr>
            <w:tcW w:w="184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194,686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289.82</w:t>
            </w:r>
          </w:p>
        </w:tc>
        <w:tc>
          <w:tcPr>
            <w:tcW w:w="0" w:type="dxa"/>
            <w:vAlign w:val="bottom"/>
          </w:tcPr>
          <w:p>
            <w:pPr>
              <w:spacing w:after="0"/>
              <w:rPr>
                <w:sz w:val="1"/>
                <w:szCs w:val="1"/>
                <w:color w:val="auto"/>
              </w:rPr>
            </w:pPr>
          </w:p>
        </w:tc>
      </w:tr>
      <w:tr>
        <w:trPr>
          <w:trHeight w:val="225"/>
        </w:trPr>
        <w:tc>
          <w:tcPr>
            <w:tcW w:w="7320" w:type="dxa"/>
            <w:vAlign w:val="bottom"/>
          </w:tcPr>
          <w:p>
            <w:pPr>
              <w:ind w:left="340"/>
              <w:spacing w:after="0" w:line="225"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2"/>
                <w:szCs w:val="22"/>
                <w:color w:val="auto"/>
                <w:vertAlign w:val="superscript"/>
              </w:rPr>
              <w:t>(a)</w:t>
            </w:r>
          </w:p>
        </w:tc>
        <w:tc>
          <w:tcPr>
            <w:tcW w:w="1840" w:type="dxa"/>
            <w:vAlign w:val="bottom"/>
          </w:tcPr>
          <w:p>
            <w:pPr>
              <w:ind w:left="1100"/>
              <w:spacing w:after="0"/>
              <w:rPr>
                <w:sz w:val="20"/>
                <w:szCs w:val="20"/>
                <w:color w:val="auto"/>
              </w:rPr>
            </w:pPr>
            <w:r>
              <w:rPr>
                <w:rFonts w:ascii="Arial" w:cs="Arial" w:eastAsia="Arial" w:hAnsi="Arial"/>
                <w:sz w:val="18"/>
                <w:szCs w:val="18"/>
                <w:color w:val="auto"/>
              </w:rPr>
              <w:t>263,779</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(91,670)</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0" w:type="dxa"/>
            <w:vAlign w:val="bottom"/>
          </w:tcPr>
          <w:p>
            <w:pPr>
              <w:spacing w:after="0"/>
              <w:rPr>
                <w:sz w:val="1"/>
                <w:szCs w:val="1"/>
                <w:color w:val="auto"/>
              </w:rPr>
            </w:pPr>
          </w:p>
        </w:tc>
      </w:tr>
      <w:tr>
        <w:trPr>
          <w:trHeight w:val="225"/>
        </w:trPr>
        <w:tc>
          <w:tcPr>
            <w:tcW w:w="73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(58,727)</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260.13</w:t>
            </w:r>
          </w:p>
        </w:tc>
        <w:tc>
          <w:tcPr>
            <w:tcW w:w="0" w:type="dxa"/>
            <w:vAlign w:val="bottom"/>
          </w:tcPr>
          <w:p>
            <w:pPr>
              <w:spacing w:after="0"/>
              <w:rPr>
                <w:sz w:val="1"/>
                <w:szCs w:val="1"/>
                <w:color w:val="auto"/>
              </w:rPr>
            </w:pPr>
          </w:p>
        </w:tc>
      </w:tr>
      <w:tr>
        <w:trPr>
          <w:trHeight w:val="226"/>
        </w:trPr>
        <w:tc>
          <w:tcPr>
            <w:tcW w:w="73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Nonvested at December 31, 2021</w:t>
            </w:r>
          </w:p>
        </w:tc>
        <w:tc>
          <w:tcPr>
            <w:tcW w:w="18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308,068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226.55</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The grant date fair value per share of the RSUs is calculated as the closing market price of LendingTree's common stock at the time of grant.</w:t>
      </w:r>
    </w:p>
    <w:p>
      <w:pPr>
        <w:spacing w:after="0" w:line="1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there was approximately $45.3 million of unrecognized compensation cost related to RSUs. These costs are expected to be recognized over a weighted-average period of approximately 1.8 years.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total fair value of RSUs that vested during the years ended December 31, 2021, 2020 and 2019 was $21.7 million, $22.4 million and $27.2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nonvested RSUs with performance conditions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8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77"/>
        </w:trPr>
        <w:tc>
          <w:tcPr>
            <w:tcW w:w="7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58"/>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8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6,328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223.90</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RSUs with performance conditions were granted in 2021, 2020, or 2019.</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there was no unrecognized compensation cost related to RSUs with performance conditions.</w:t>
      </w:r>
    </w:p>
    <w:p>
      <w:pPr>
        <w:spacing w:after="0" w:line="11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total fair value of RSUs with performance conditions that vested during the years ended December 31, 2021, 2020, and 2019 was $0.9 million, $2.6 million, and $18.8 million,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Performance Conditions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nonvested RSAs with performance conditions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82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1"/>
                <w:szCs w:val="11"/>
                <w:color w:val="auto"/>
              </w:rPr>
            </w:pPr>
          </w:p>
        </w:tc>
        <w:tc>
          <w:tcPr>
            <w:tcW w:w="162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77"/>
        </w:trPr>
        <w:tc>
          <w:tcPr>
            <w:tcW w:w="7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58"/>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8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23,804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(23,804)</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No RSAs with performance conditions were granted in 2021, 2020, or 2019. During 2018, the Company granted time-vested RSAs with a performance condition to its Chairman and Chief Executive Officer, which vested through December 31, 2021. The terms of this award were fixed in compensation agreements in July 2017 with a total grant date fair value of $21.9 million. The performance condition was tied to the Company's operating results during the first six months of 2018, and has been met.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there was no unrecognized compensation cost related to RSAs with performance conditions.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total fair value of RSAs with performance conditions that vested during the years ended December 31, 2021, 2020 and 2019 was $4.1 million, $6.2 million and $8.2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838"/>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8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1"/>
                <w:szCs w:val="11"/>
                <w:color w:val="auto"/>
              </w:rPr>
            </w:pPr>
          </w:p>
        </w:tc>
        <w:tc>
          <w:tcPr>
            <w:tcW w:w="162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77"/>
        </w:trPr>
        <w:tc>
          <w:tcPr>
            <w:tcW w:w="7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ind w:right="58"/>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No RSAs with market conditions were granted in 2021, 2020 or 2019. During 2018, the Company granted RSAs with market conditions to its Chairman and Chief Executive Officer with a total grant date fair value of $1.9 million. These RSAs with a market condition have a target number of shares that vest upon achieving a targeted total shareholder return performance of 110% stock price appreciation and a maximum of 44,545 shares for achieving superior performance. No shares will vest unless 70% of the targeted performance is achieved. The performance measurement period ends on September 30, 2022. Time-based service vesting conditions would also have to be satisfied in order for shares to become fully vested and no longer subject to forfeiture.</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there was approximately $0.3 million of unrecognized compensation cost related to RSAs with market conditions. These costs are expected to be recognized over a weighted-average period of approximately 0.8 years.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RSAs with a market condition of 29,601 had been earned, which have a vest date of September 30, 2022.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Employee Stock Purchase Plan</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2021, the Company implemented an employee stock purchase plan ("ESPP"), under which a total of 262,731 shares of the Company's common stock were reserved for issuance.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6-month periods ending on June 30 and December 31 of each year.</w:t>
      </w:r>
    </w:p>
    <w:p>
      <w:pPr>
        <w:spacing w:after="0" w:line="8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the year ended December 31, 2021, 5,543 shares were purchased under the ESPP at a weighted average purchase price of $103.62 per share, resulting in cash proceeds of $0.6 million. As of December 31, 2021, 257,188 shares were available for issuance under the ESPP.</w:t>
      </w:r>
    </w:p>
    <w:p>
      <w:pPr>
        <w:spacing w:after="0" w:line="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the year ended December 31, 2021, the Company granted Employee Stock Purchase Rights to certain employees with a grant date fair value per share of $42.39,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42"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5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2"/>
                <w:szCs w:val="22"/>
                <w:color w:val="auto"/>
                <w:vertAlign w:val="superscript"/>
              </w:rPr>
              <w:t>(1)</w:t>
            </w:r>
          </w:p>
        </w:tc>
        <w:tc>
          <w:tcPr>
            <w:tcW w:w="38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0.33 years</w:t>
            </w:r>
          </w:p>
        </w:tc>
      </w:tr>
      <w:tr>
        <w:trPr>
          <w:trHeight w:val="225"/>
        </w:trPr>
        <w:tc>
          <w:tcPr>
            <w:tcW w:w="5820" w:type="dxa"/>
            <w:vAlign w:val="bottom"/>
          </w:tcPr>
          <w:p>
            <w:pPr>
              <w:ind w:left="660"/>
              <w:spacing w:after="0" w:line="225"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2"/>
                <w:szCs w:val="22"/>
                <w:color w:val="auto"/>
                <w:vertAlign w:val="superscript"/>
              </w:rPr>
              <w:t>(2)</w:t>
            </w:r>
          </w:p>
        </w:tc>
        <w:tc>
          <w:tcPr>
            <w:tcW w:w="38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r>
      <w:tr>
        <w:trPr>
          <w:trHeight w:val="225"/>
        </w:trPr>
        <w:tc>
          <w:tcPr>
            <w:tcW w:w="5820" w:type="dxa"/>
            <w:vAlign w:val="bottom"/>
            <w:shd w:val="clear" w:color="auto" w:fill="CCEEFF"/>
          </w:tcPr>
          <w:p>
            <w:pPr>
              <w:ind w:left="660"/>
              <w:spacing w:after="0" w:line="225"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2"/>
                <w:szCs w:val="22"/>
                <w:color w:val="auto"/>
                <w:vertAlign w:val="superscript"/>
              </w:rPr>
              <w:t>(3)</w:t>
            </w:r>
          </w:p>
        </w:tc>
        <w:tc>
          <w:tcPr>
            <w:tcW w:w="3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820" w:type="dxa"/>
            <w:vAlign w:val="bottom"/>
            <w:tcBorders>
              <w:bottom w:val="single" w:sz="8" w:color="999999"/>
            </w:tcBorders>
          </w:tcPr>
          <w:p>
            <w:pPr>
              <w:ind w:left="660"/>
              <w:spacing w:after="0" w:line="225"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2"/>
                <w:szCs w:val="22"/>
                <w:color w:val="auto"/>
                <w:vertAlign w:val="superscript"/>
              </w:rPr>
              <w:t>(4)</w:t>
            </w:r>
          </w:p>
        </w:tc>
        <w:tc>
          <w:tcPr>
            <w:tcW w:w="38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0.05</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r>
    </w:tbl>
    <w:p>
      <w:pPr>
        <w:spacing w:after="0" w:line="239" w:lineRule="exact"/>
        <w:rPr>
          <w:sz w:val="20"/>
          <w:szCs w:val="20"/>
          <w:color w:val="auto"/>
        </w:rPr>
      </w:pPr>
    </w:p>
    <w:p>
      <w:pPr>
        <w:ind w:left="960" w:hanging="318"/>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term was calculated using the time period between the grant date and the purchase date.</w:t>
      </w:r>
    </w:p>
    <w:p>
      <w:pPr>
        <w:spacing w:after="0" w:line="164" w:lineRule="exact"/>
        <w:rPr>
          <w:rFonts w:ascii="Arial" w:cs="Arial" w:eastAsia="Arial" w:hAnsi="Arial"/>
          <w:sz w:val="18"/>
          <w:szCs w:val="18"/>
          <w:color w:val="auto"/>
        </w:rPr>
      </w:pPr>
    </w:p>
    <w:p>
      <w:pPr>
        <w:ind w:left="960" w:hanging="318"/>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dividends are expected to be paid, resulting in a zero expected dividend rate.</w:t>
      </w:r>
    </w:p>
    <w:p>
      <w:pPr>
        <w:spacing w:after="0" w:line="164" w:lineRule="exact"/>
        <w:rPr>
          <w:rFonts w:ascii="Arial" w:cs="Arial" w:eastAsia="Arial" w:hAnsi="Arial"/>
          <w:sz w:val="18"/>
          <w:szCs w:val="18"/>
          <w:color w:val="auto"/>
        </w:rPr>
      </w:pPr>
    </w:p>
    <w:p>
      <w:pPr>
        <w:ind w:left="960" w:hanging="318"/>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64" w:lineRule="exact"/>
        <w:rPr>
          <w:rFonts w:ascii="Arial" w:cs="Arial" w:eastAsia="Arial" w:hAnsi="Arial"/>
          <w:sz w:val="18"/>
          <w:szCs w:val="18"/>
          <w:color w:val="auto"/>
        </w:rPr>
      </w:pPr>
    </w:p>
    <w:p>
      <w:pPr>
        <w:ind w:left="960" w:hanging="318"/>
        <w:spacing w:after="0" w:line="264" w:lineRule="auto"/>
        <w:tabs>
          <w:tab w:leader="none" w:pos="9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components of the income tax benefit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3"/>
        </w:trPr>
        <w:tc>
          <w:tcPr>
            <w:tcW w:w="64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19"/>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income tax expense (benefit):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6480" w:type="dxa"/>
            <w:vAlign w:val="bottom"/>
          </w:tcPr>
          <w:p>
            <w:pPr>
              <w:ind w:left="460"/>
              <w:spacing w:after="0"/>
              <w:rPr>
                <w:sz w:val="20"/>
                <w:szCs w:val="20"/>
                <w:color w:val="auto"/>
              </w:rPr>
            </w:pPr>
            <w:r>
              <w:rPr>
                <w:rFonts w:ascii="Arial" w:cs="Arial" w:eastAsia="Arial" w:hAnsi="Arial"/>
                <w:sz w:val="18"/>
                <w:szCs w:val="18"/>
                <w:color w:val="auto"/>
              </w:rPr>
              <w:t>Federal</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128</w:t>
            </w:r>
          </w:p>
        </w:tc>
        <w:tc>
          <w:tcPr>
            <w:tcW w:w="6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(10,705)</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5"/>
        </w:trPr>
        <w:tc>
          <w:tcPr>
            <w:tcW w:w="64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262</w:t>
            </w: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372</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9"/>
        </w:trPr>
        <w:tc>
          <w:tcPr>
            <w:tcW w:w="6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Current income tax expense (benefit)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390</w:t>
            </w: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(10,333)</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r>
      <w:tr>
        <w:trPr>
          <w:trHeight w:val="218"/>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provision (benefit):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6480" w:type="dxa"/>
            <w:vAlign w:val="bottom"/>
          </w:tcPr>
          <w:p>
            <w:pPr>
              <w:ind w:left="460"/>
              <w:spacing w:after="0"/>
              <w:rPr>
                <w:sz w:val="20"/>
                <w:szCs w:val="20"/>
                <w:color w:val="auto"/>
              </w:rPr>
            </w:pPr>
            <w:r>
              <w:rPr>
                <w:rFonts w:ascii="Arial" w:cs="Arial" w:eastAsia="Arial" w:hAnsi="Arial"/>
                <w:sz w:val="18"/>
                <w:szCs w:val="18"/>
                <w:color w:val="auto"/>
              </w:rPr>
              <w:t>Federal</w:t>
            </w:r>
          </w:p>
        </w:tc>
        <w:tc>
          <w:tcPr>
            <w:tcW w:w="60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9,912</w:t>
            </w:r>
          </w:p>
        </w:tc>
        <w:tc>
          <w:tcPr>
            <w:tcW w:w="620" w:type="dxa"/>
            <w:vAlign w:val="bottom"/>
          </w:tcPr>
          <w:p>
            <w:pPr>
              <w:spacing w:after="0"/>
              <w:rPr>
                <w:sz w:val="19"/>
                <w:szCs w:val="19"/>
                <w:color w:val="auto"/>
              </w:rPr>
            </w:pP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(7,495)</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(10,857)</w:t>
            </w:r>
          </w:p>
        </w:tc>
      </w:tr>
      <w:tr>
        <w:trPr>
          <w:trHeight w:val="225"/>
        </w:trPr>
        <w:tc>
          <w:tcPr>
            <w:tcW w:w="64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996</w:t>
            </w: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(2,133)</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r>
      <w:tr>
        <w:trPr>
          <w:trHeight w:val="219"/>
        </w:trPr>
        <w:tc>
          <w:tcPr>
            <w:tcW w:w="6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Deferred income tax provision (benefit)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10,908</w:t>
            </w: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(9,628)</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(8,555)</w:t>
            </w:r>
          </w:p>
        </w:tc>
      </w:tr>
      <w:tr>
        <w:trPr>
          <w:trHeight w:val="225"/>
        </w:trPr>
        <w:tc>
          <w:tcPr>
            <w:tcW w:w="6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Income tax expense (benefit)</w:t>
            </w: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11,298</w:t>
            </w:r>
          </w:p>
        </w:tc>
        <w:tc>
          <w:tcPr>
            <w:tcW w:w="6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(19,961)</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(8,479)</w:t>
            </w:r>
          </w:p>
        </w:tc>
      </w:tr>
    </w:tbl>
    <w:p>
      <w:pPr>
        <w:spacing w:after="0" w:line="18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A reconciliation of the income tax benefit to the amounts computed by applying the statutory federal income tax rate to income (loss) from continuing operations before income taxes is shown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3"/>
        </w:trPr>
        <w:tc>
          <w:tcPr>
            <w:tcW w:w="7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17,731</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State income taxes, net</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(1,832)</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deductions on non-cash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(13,971)</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Impact of the Coronavirus Aid, Relief, and Economic Security Act</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experimentation tax credit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Impact of certain state legislation, net</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3,932</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executive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3,058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Increase (decrease) in valuation allowance</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595</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2,100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Nondeductible meals &amp; entertainment</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25"/>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579</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5"/>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11,298</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(19,961)</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100"/>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17"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 xml:space="preserve">The tax effects of cumulative temporary differences that give rise to significant portions of the deferred tax assets and deferred tax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76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r>
      <w:tr>
        <w:trPr>
          <w:trHeight w:val="219"/>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7680" w:type="dxa"/>
            <w:vAlign w:val="bottom"/>
          </w:tcPr>
          <w:p>
            <w:pPr>
              <w:ind w:left="460"/>
              <w:spacing w:after="0"/>
              <w:rPr>
                <w:sz w:val="20"/>
                <w:szCs w:val="20"/>
                <w:color w:val="auto"/>
              </w:rPr>
            </w:pPr>
            <w:r>
              <w:rPr>
                <w:rFonts w:ascii="Arial" w:cs="Arial" w:eastAsia="Arial" w:hAnsi="Arial"/>
                <w:sz w:val="18"/>
                <w:szCs w:val="18"/>
                <w:color w:val="auto"/>
              </w:rPr>
              <w:t>Provision for accrued expenses</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5,405</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6"/>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Leasing</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27,419</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5"/>
        </w:trPr>
        <w:tc>
          <w:tcPr>
            <w:tcW w:w="7680" w:type="dxa"/>
            <w:vAlign w:val="bottom"/>
          </w:tcPr>
          <w:p>
            <w:pPr>
              <w:ind w:left="460"/>
              <w:spacing w:after="0" w:line="225"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2"/>
                <w:szCs w:val="22"/>
                <w:color w:val="auto"/>
                <w:vertAlign w:val="superscript"/>
              </w:rPr>
              <w:t>(a)</w:t>
            </w:r>
          </w:p>
        </w:tc>
        <w:tc>
          <w:tcPr>
            <w:tcW w:w="660" w:type="dxa"/>
            <w:vAlign w:val="bottom"/>
          </w:tcPr>
          <w:p>
            <w:pPr>
              <w:spacing w:after="0"/>
              <w:rPr>
                <w:sz w:val="19"/>
                <w:szCs w:val="19"/>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66,977</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25"/>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compensation expense</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26,756</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5"/>
        </w:trPr>
        <w:tc>
          <w:tcPr>
            <w:tcW w:w="7680" w:type="dxa"/>
            <w:vAlign w:val="bottom"/>
          </w:tcPr>
          <w:p>
            <w:pPr>
              <w:ind w:left="460"/>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9"/>
                <w:szCs w:val="19"/>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15,222</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6"/>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limitation</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8,036</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7680" w:type="dxa"/>
            <w:vAlign w:val="bottom"/>
          </w:tcPr>
          <w:p>
            <w:pPr>
              <w:ind w:left="460"/>
              <w:spacing w:after="0"/>
              <w:rPr>
                <w:sz w:val="20"/>
                <w:szCs w:val="20"/>
                <w:color w:val="auto"/>
              </w:rPr>
            </w:pPr>
            <w:r>
              <w:rPr>
                <w:rFonts w:ascii="Arial" w:cs="Arial" w:eastAsia="Arial" w:hAnsi="Arial"/>
                <w:sz w:val="18"/>
                <w:szCs w:val="18"/>
                <w:color w:val="auto"/>
              </w:rPr>
              <w:t>Contingent liabilities</w:t>
            </w:r>
          </w:p>
        </w:tc>
        <w:tc>
          <w:tcPr>
            <w:tcW w:w="660" w:type="dxa"/>
            <w:vAlign w:val="bottom"/>
          </w:tcPr>
          <w:p>
            <w:pPr>
              <w:spacing w:after="0"/>
              <w:rPr>
                <w:sz w:val="19"/>
                <w:szCs w:val="19"/>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6"/>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Tax credits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15,848</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5"/>
        </w:trPr>
        <w:tc>
          <w:tcPr>
            <w:tcW w:w="7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1,079</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9"/>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gross deferred tax assets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166,742</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25"/>
        </w:trPr>
        <w:tc>
          <w:tcPr>
            <w:tcW w:w="7680" w:type="dxa"/>
            <w:vAlign w:val="bottom"/>
            <w:tcBorders>
              <w:bottom w:val="single" w:sz="8" w:color="auto"/>
            </w:tcBorders>
          </w:tcPr>
          <w:p>
            <w:pPr>
              <w:ind w:left="340"/>
              <w:spacing w:after="0" w:line="225"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2"/>
                <w:szCs w:val="22"/>
                <w:color w:val="auto"/>
                <w:vertAlign w:val="superscript"/>
              </w:rPr>
              <w:t>(b)</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(6,039)</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18"/>
        </w:trPr>
        <w:tc>
          <w:tcPr>
            <w:tcW w:w="7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deferred tax assets, net of the valuation allowance</w:t>
            </w:r>
          </w:p>
        </w:tc>
        <w:tc>
          <w:tcPr>
            <w:tcW w:w="6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160,703</w:t>
            </w: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139,4</w:t>
            </w:r>
          </w:p>
        </w:tc>
      </w:tr>
      <w:tr>
        <w:trPr>
          <w:trHeight w:val="218"/>
        </w:trPr>
        <w:tc>
          <w:tcPr>
            <w:tcW w:w="768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6"/>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Leasing</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(24,590)</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5"/>
        </w:trPr>
        <w:tc>
          <w:tcPr>
            <w:tcW w:w="7680" w:type="dxa"/>
            <w:vAlign w:val="bottom"/>
          </w:tcPr>
          <w:p>
            <w:pPr>
              <w:ind w:left="460"/>
              <w:spacing w:after="0"/>
              <w:rPr>
                <w:sz w:val="20"/>
                <w:szCs w:val="20"/>
                <w:color w:val="auto"/>
              </w:rPr>
            </w:pPr>
            <w:r>
              <w:rPr>
                <w:rFonts w:ascii="Arial" w:cs="Arial" w:eastAsia="Arial" w:hAnsi="Arial"/>
                <w:sz w:val="18"/>
                <w:szCs w:val="18"/>
                <w:color w:val="auto"/>
              </w:rPr>
              <w:t>Property and equipment</w:t>
            </w:r>
          </w:p>
        </w:tc>
        <w:tc>
          <w:tcPr>
            <w:tcW w:w="66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(8,156)</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6"/>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investment</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(25,608)</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7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(444)</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7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gross deferred tax liabilities</w:t>
            </w:r>
          </w:p>
        </w:tc>
        <w:tc>
          <w:tcPr>
            <w:tcW w:w="6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(58,798)</w:t>
            </w: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r>
      <w:tr>
        <w:trPr>
          <w:trHeight w:val="225"/>
        </w:trPr>
        <w:tc>
          <w:tcPr>
            <w:tcW w:w="76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Net deferred taxes</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101,905</w:t>
            </w: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w:t>
            </w:r>
          </w:p>
        </w:tc>
      </w:tr>
    </w:tbl>
    <w:p>
      <w:pPr>
        <w:spacing w:after="0" w:line="186" w:lineRule="exact"/>
        <w:rPr>
          <w:sz w:val="20"/>
          <w:szCs w:val="20"/>
          <w:color w:val="auto"/>
        </w:rPr>
      </w:pPr>
    </w:p>
    <w:p>
      <w:pPr>
        <w:jc w:val="both"/>
        <w:ind w:left="640" w:right="100" w:hanging="316"/>
        <w:spacing w:after="0" w:line="252" w:lineRule="auto"/>
        <w:tabs>
          <w:tab w:leader="none" w:pos="6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December 31, 2021, the Company had pre-tax consolidated federal net operating losses ("NOLs") of $220.1 million. The federal NOLs no longer expire under the new TCJA. The Company's NOLs will be available to offset taxable income subject to the Internal Revenue Code Section 382 annual limitation. In addition, the Company has state NOLs of approximately $542.7 million at December 31, 2021 that will expire at various times between 2022 and 2041.</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valuation allowance is related to items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Deferred income taxes are presented in the accompanying consolidated balance sheets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87,581</w:t>
            </w:r>
          </w:p>
        </w:tc>
        <w:tc>
          <w:tcPr>
            <w:tcW w:w="5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96,224</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3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16,589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15,892</w:t>
            </w:r>
          </w:p>
        </w:tc>
      </w:tr>
      <w:tr>
        <w:trPr>
          <w:trHeight w:val="225"/>
        </w:trPr>
        <w:tc>
          <w:tcPr>
            <w:tcW w:w="8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deferred taxes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101,905</w:t>
            </w:r>
          </w:p>
        </w:tc>
        <w:tc>
          <w:tcPr>
            <w:tcW w:w="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112,116</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A valuation allowance is provided on deferred tax assets if it is determined that it is </w:t>
      </w:r>
      <w:r>
        <w:rPr>
          <w:rFonts w:ascii="Arial" w:cs="Arial" w:eastAsia="Arial" w:hAnsi="Arial"/>
          <w:sz w:val="15"/>
          <w:szCs w:val="15"/>
          <w:i w:val="1"/>
          <w:iCs w:val="1"/>
          <w:color w:val="auto"/>
        </w:rPr>
        <w:t>"more likely than not"</w:t>
      </w:r>
      <w:r>
        <w:rPr>
          <w:rFonts w:ascii="Arial" w:cs="Arial" w:eastAsia="Arial" w:hAnsi="Arial"/>
          <w:sz w:val="15"/>
          <w:szCs w:val="15"/>
          <w:color w:val="auto"/>
        </w:rPr>
        <w:t xml:space="preserve"> that the deferred tax asset will not be realized.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As of each reporting date, management considers both positive and negative evidence regarding the likelihood of future realization of the deferred tax assets.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December 31, 2021, 2020 and 2019, the Company recorded a partial valuation allowance of $6.0 million, $5.8 million and $4.1 million, respectively, primarily related to state net operating losses, which the Company does not expect to be able to utilize prior to expiration.</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 reconciliation of the beginning and ending balances of the deferred tax valuation allowance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w w:val="90"/>
              </w:rPr>
              <w:t>Year Ended December 31,</w:t>
            </w:r>
          </w:p>
        </w:tc>
        <w:tc>
          <w:tcPr>
            <w:tcW w:w="940" w:type="dxa"/>
            <w:vAlign w:val="bottom"/>
            <w:tcBorders>
              <w:bottom w:val="single" w:sz="8" w:color="auto"/>
            </w:tcBorders>
          </w:tcPr>
          <w:p>
            <w:pPr>
              <w:spacing w:after="0"/>
              <w:rPr>
                <w:sz w:val="16"/>
                <w:szCs w:val="16"/>
                <w:color w:val="auto"/>
              </w:rPr>
            </w:pPr>
          </w:p>
        </w:tc>
      </w:tr>
      <w:tr>
        <w:trPr>
          <w:trHeight w:val="183"/>
        </w:trPr>
        <w:tc>
          <w:tcPr>
            <w:tcW w:w="73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5,802</w:t>
            </w:r>
          </w:p>
        </w:tc>
        <w:tc>
          <w:tcPr>
            <w:tcW w:w="4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4,102</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25"/>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Charges to earnings</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1,700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r>
      <w:tr>
        <w:trPr>
          <w:trHeight w:val="219"/>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6,039</w:t>
            </w:r>
          </w:p>
        </w:tc>
        <w:tc>
          <w:tcPr>
            <w:tcW w:w="4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5,802</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4,102</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A reconciliation of the beginning and ending amounts of unrecognized tax benefits, excluding interest and penalties,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183"/>
        </w:trPr>
        <w:tc>
          <w:tcPr>
            <w:tcW w:w="70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219"/>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 beginning of the period</w:t>
            </w:r>
          </w:p>
        </w:tc>
        <w:tc>
          <w:tcPr>
            <w:tcW w:w="12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2,613</w:t>
            </w:r>
          </w:p>
        </w:tc>
        <w:tc>
          <w:tcPr>
            <w:tcW w:w="110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1,996</w:t>
            </w:r>
          </w:p>
        </w:tc>
      </w:tr>
      <w:tr>
        <w:trPr>
          <w:trHeight w:val="225"/>
        </w:trPr>
        <w:tc>
          <w:tcPr>
            <w:tcW w:w="7080" w:type="dxa"/>
            <w:vAlign w:val="bottom"/>
          </w:tcPr>
          <w:p>
            <w:pPr>
              <w:ind w:left="340"/>
              <w:spacing w:after="0"/>
              <w:rPr>
                <w:sz w:val="20"/>
                <w:szCs w:val="20"/>
                <w:color w:val="auto"/>
              </w:rPr>
            </w:pPr>
            <w:r>
              <w:rPr>
                <w:rFonts w:ascii="Arial" w:cs="Arial" w:eastAsia="Arial" w:hAnsi="Arial"/>
                <w:sz w:val="18"/>
                <w:szCs w:val="18"/>
                <w:color w:val="auto"/>
              </w:rPr>
              <w:t>Additions based on tax positions of the current period</w:t>
            </w:r>
          </w:p>
        </w:tc>
        <w:tc>
          <w:tcPr>
            <w:tcW w:w="120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435</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25"/>
        </w:trPr>
        <w:tc>
          <w:tcPr>
            <w:tcW w:w="70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Additions (subtractions) based on tax positions of the prior period</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(134)</w:t>
            </w:r>
          </w:p>
        </w:tc>
        <w:tc>
          <w:tcPr>
            <w:tcW w:w="1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70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Balance, end of the period</w:t>
            </w:r>
          </w:p>
        </w:tc>
        <w:tc>
          <w:tcPr>
            <w:tcW w:w="1200" w:type="dxa"/>
            <w:vAlign w:val="bottom"/>
            <w:tcBorders>
              <w:bottom w:val="single" w:sz="8" w:color="auto"/>
            </w:tcBorders>
          </w:tcPr>
          <w:p>
            <w:pPr>
              <w:jc w:val="right"/>
              <w:ind w:right="701"/>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3"/>
              </w:rPr>
              <w:t>2,914</w:t>
            </w:r>
          </w:p>
        </w:tc>
        <w:tc>
          <w:tcPr>
            <w:tcW w:w="110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2,613</w:t>
            </w:r>
          </w:p>
        </w:tc>
      </w:tr>
    </w:tbl>
    <w:p>
      <w:pPr>
        <w:spacing w:after="0" w:line="173"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Interest and, if applicable, penalties are recognized related to unrecognized tax benefits in income tax expense. Interest and penalties on unrecognized tax benefits included in income tax expense for each of the years ended December 31, 2021, 2020 and 2019 is immaterial.</w:t>
      </w:r>
    </w:p>
    <w:p>
      <w:pPr>
        <w:spacing w:after="0" w:line="75"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As of December 31, 2021 and 2020, the accrual for unrecognized tax benefits, including interest, was $2.9 million and $2.6 million, respectively, which would benefit the effective tax rate if recognized.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17" w:lineRule="exact"/>
        <w:rPr>
          <w:sz w:val="20"/>
          <w:szCs w:val="20"/>
          <w:color w:val="auto"/>
        </w:rPr>
      </w:pPr>
    </w:p>
    <w:p>
      <w:pPr>
        <w:jc w:val="both"/>
        <w:ind w:firstLine="437"/>
        <w:spacing w:after="0" w:line="267" w:lineRule="auto"/>
        <w:rPr>
          <w:sz w:val="20"/>
          <w:szCs w:val="20"/>
          <w:color w:val="auto"/>
        </w:rPr>
      </w:pPr>
      <w:r>
        <w:rPr>
          <w:rFonts w:ascii="Arial" w:cs="Arial" w:eastAsia="Arial" w:hAnsi="Arial"/>
          <w:sz w:val="17"/>
          <w:szCs w:val="17"/>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2021, the Company is subject to a federal income tax examination for the tax years 2014 through 2020. In addition, the Company is subject to state and local tax examinations for the tax years 2017 through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15—DEBT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75" w:lineRule="exact"/>
        <w:rPr>
          <w:sz w:val="20"/>
          <w:szCs w:val="20"/>
          <w:color w:val="auto"/>
        </w:rPr>
      </w:pPr>
    </w:p>
    <w:p>
      <w:pPr>
        <w:jc w:val="both"/>
        <w:ind w:left="640" w:hanging="316"/>
        <w:spacing w:after="0" w:line="252"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8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December 31, 2021 as the last reported sale price of the Company's common stock, for at least 20 trading days (whether or not consecutive) during the period of 30 consecutive trading days ending on September 30, 2021, was not greater than or equal to 130% of the conversion price of the 2025 Notes on each applicable trading day. Holders of the 2025 Notes are not entitled to convert the 2025 Notes during the calendar quarter ended March 31, 2022 as the last reported sale price of the Company's common stock, for at least 20 trading days (whether or not consecutive) during the period of 30 consecutive trading days ending on December 31, 2021, was not greater than or equal to 130% of the conversion price of the 2025 Notes on each applicable trading day.</w:t>
      </w:r>
    </w:p>
    <w:p>
      <w:pPr>
        <w:spacing w:after="0" w:line="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41st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7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2021, the Company recorded interest expense on the 2025 Notes of $27.2 million which consisted of $2.9 million associated with the 0.50% coupon rate, $22.1 million associated with the accretion of the debt discount, and $2.2 million associated with the amortization of the debt issuance costs. During 2020, the Company recorded interest expense on the 2025 Notes of $11.5 million which consisted of $1.3 million associated with the 0.50% coupon rate, $9.3 million associated with the accretion of the debt discount, and $0.9 million associated with the amortization of the debt issuance costs. The debt discount is being amortized over the term of the debt.</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 fair value of the 2025 Notes is estimated to be approximately $475.1 million using the Level 1 observable input of the last quoted market price on December 31, 2021.</w:t>
      </w:r>
    </w:p>
    <w:p>
      <w:pPr>
        <w:spacing w:after="0" w:line="7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A summary of the gross carrying amount, unamortized debt cost, debt issuance costs and net carrying value of the liability component of the 2025 Notes, all of which is recorded as a non-current liability in the December 31, 2021 consolidated balance sheet,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8"/>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4"/>
                <w:szCs w:val="14"/>
                <w:color w:val="auto"/>
              </w:rPr>
            </w:pPr>
          </w:p>
        </w:tc>
        <w:tc>
          <w:tcPr>
            <w:tcW w:w="1220" w:type="dxa"/>
            <w:vAlign w:val="bottom"/>
          </w:tcPr>
          <w:p>
            <w:pPr>
              <w:jc w:val="right"/>
              <w:ind w:right="218"/>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r>
      <w:tr>
        <w:trPr>
          <w:trHeight w:val="219"/>
        </w:trPr>
        <w:tc>
          <w:tcPr>
            <w:tcW w:w="83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carrying amount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87,994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110,110</w:t>
            </w:r>
          </w:p>
        </w:tc>
      </w:tr>
      <w:tr>
        <w:trPr>
          <w:trHeight w:val="225"/>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w:t>
            </w:r>
          </w:p>
        </w:tc>
      </w:tr>
      <w:tr>
        <w:trPr>
          <w:trHeight w:val="22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478,151</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453,834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“2022 Notes”) in a private placement. The 2022 Notes bear interest at a rate of 0.625% per year, payable semi-annually on June 1 and December 1 of each year, beginning on December 1, 2017. The 2022 Notes will mature on June 1, 2022, unless earlier repurchased or converted.</w:t>
      </w:r>
    </w:p>
    <w:p>
      <w:pPr>
        <w:spacing w:after="0" w:line="6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initial conversion rate of the 2022 Notes is 4.8163 shares of the Company's common stock per $1,000 principal amount of 2022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make-whole fundamental change prior to the maturity of the 2022 Notes, the Company will, in certain circumstances, increase the conversion rate by a specified number of additional shares for a holder that elects to convert the 2022 Notes in connection with such make-whole fundamental change. Upon conversion, the 2022 Notes will settle for cash, shares of the Company’s stock, or a combination thereof, at the Company’s option. It is the intent of the Company to settle the principal amount of the 2022 Notes in cash and any conversion premium in shares of its common stock.</w:t>
      </w:r>
    </w:p>
    <w:p>
      <w:pPr>
        <w:spacing w:after="0" w:line="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2022 Notes are the Company’s senior unsecured obligations and will rank senior in right of payment to any of the Company’s indebtedness that is expressly subordinated in right of payment to the 2022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Prior to the close of business on the business day immediately preceding February 1, 2022, the 2022 Notes will be convertible at the option of the holders thereof only under the following circumstances:</w:t>
      </w:r>
    </w:p>
    <w:p>
      <w:pPr>
        <w:spacing w:after="0" w:line="75" w:lineRule="exact"/>
        <w:rPr>
          <w:sz w:val="20"/>
          <w:szCs w:val="20"/>
          <w:color w:val="auto"/>
        </w:rPr>
      </w:pPr>
    </w:p>
    <w:p>
      <w:pPr>
        <w:jc w:val="both"/>
        <w:ind w:left="640" w:hanging="316"/>
        <w:spacing w:after="0" w:line="255"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immediately preceding calendar quarter is greater than or equal to 130% of the conversion price on each applicable trading day;</w:t>
      </w:r>
    </w:p>
    <w:p>
      <w:pPr>
        <w:spacing w:after="0" w:line="111" w:lineRule="exact"/>
        <w:rPr>
          <w:sz w:val="20"/>
          <w:szCs w:val="20"/>
          <w:color w:val="auto"/>
        </w:rPr>
      </w:pPr>
    </w:p>
    <w:p>
      <w:pPr>
        <w:jc w:val="both"/>
        <w:ind w:left="640" w:hanging="316"/>
        <w:spacing w:after="0" w:line="255"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2022 Notes) per $1,000 principal amount of 2022 Notes for such trading day was less than 98% of the product of the last reported sale price of the common stock and the conversion rate on each such trading day; or</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200" w:lineRule="exact"/>
        <w:rPr>
          <w:sz w:val="20"/>
          <w:szCs w:val="20"/>
          <w:color w:val="auto"/>
        </w:rPr>
      </w:pPr>
    </w:p>
    <w:p>
      <w:pPr>
        <w:spacing w:after="0" w:line="25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Holders of the 2022 Notes were not entitled to convert the 2022 Notes during the calendar quarter ended December 31, 2021 as the last reported sale price of the Company's common stock, for at least 20 trading days (whether or not consecutive) during the period of 30 consecutive trading days ending on September 30, 2021, was not greater than or equal to 130% of the conversion price of the 2022 Notes on each applicable trading day. Holders of the 2022 Notes are not entitled to convert the 2022 Notes during the calendar quarter ended March 31, 2022 as the last reported sale price of the Company's common stock, for at least 20 trading days (whether or not consecutive) during the period of 30 consecutive trading days ending on December 31, 2021, was not greater than or equal to 130% of the conversion price of the 2022 Notes on each applicable trading day.</w:t>
      </w:r>
    </w:p>
    <w:p>
      <w:pPr>
        <w:spacing w:after="0" w:line="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2022 Notes, holders of the 2022 Notes may convert all or a portion of their 2022 Notes regardless of the foregoing conditions.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may not redeem the 2022 Notes prior to the maturity date and no sinking fund is provided for the 2022 Notes. Upon the occurrence of a fundamental change prior to the maturity date of the 2022 Notes, holders of the 2022 Notes may require the Company to repurchase all or a portion of the 2022 Notes for cash at a price equal to 100% of the principal amount of the 2022 Notes to be repurchased, plus any accrued and unpaid interest to, but excluding, the fundamental change repurchase date.</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market price per share of the common stock, as measured under the terms of the 2022 Notes, exceeds the conversion price of the 2022 Notes, the 2022 Notes could have a dilutive effect, unless the Company elects, subject to certain conditions, to settle the principal amount of the 2022 Notes and any conversion premium in cash.</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4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which is included in interest expense, net in the consolidated statements of operations and comprehensive income (loss).</w:t>
      </w:r>
    </w:p>
    <w:p>
      <w:pPr>
        <w:spacing w:after="0" w:line="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During 2021, the Company recorded interest expense on the 2022 Notes of $9.5 million which consisted of $1.1 million associated with the 0.625% coupon rate, $7.5 million associated with the accretion of the debt discount, and $0.9 million associated with the amortization of the debt issuance costs. During 2020, the Company recorded interest expense on the 2022 Notes of $13.0 million which consisted of $1.5 million associated with the 0.625% coupon rate, $10.3 million associated with the accretion of the debt discount, and $1.2 million associated with the amortization of the debt issuance costs. During 2019, the Company recorded interest expense on the 2022 Notes of $15.3 million which consisted of $1.9 million associated with the 0.625% coupon rate, $12.0 million associated with the accretion of the debt discount, and $1.4 million associated with the amortization of the debt issuance costs. The debt discount is being amortized over the term of the debt.</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 fair value of the 2022 Notes is estimated to be approximately $167.3 million using the Level 1 observable input of the last quoted market price on December 31, 2021.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A summary of the gross carrying amount, unamortized debt cost, debt issuance costs and net carrying value of the liability component of the 2022 Notes, all of which is recorded as a current liability in the December 31, 2021 consolidated balance sheet,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58"/>
              <w:spacing w:after="0"/>
              <w:rPr>
                <w:sz w:val="20"/>
                <w:szCs w:val="20"/>
                <w:color w:val="auto"/>
              </w:rPr>
            </w:pPr>
            <w:r>
              <w:rPr>
                <w:rFonts w:ascii="Arial" w:cs="Arial" w:eastAsia="Arial" w:hAnsi="Arial"/>
                <w:sz w:val="14"/>
                <w:szCs w:val="14"/>
                <w:b w:val="1"/>
                <w:bCs w:val="1"/>
                <w:color w:val="auto"/>
                <w:w w:val="98"/>
              </w:rPr>
              <w:t>December 31,</w:t>
            </w:r>
          </w:p>
        </w:tc>
        <w:tc>
          <w:tcPr>
            <w:tcW w:w="280" w:type="dxa"/>
            <w:vAlign w:val="bottom"/>
          </w:tcPr>
          <w:p>
            <w:pPr>
              <w:spacing w:after="0"/>
              <w:rPr>
                <w:sz w:val="14"/>
                <w:szCs w:val="14"/>
                <w:color w:val="auto"/>
              </w:rPr>
            </w:pPr>
          </w:p>
        </w:tc>
        <w:tc>
          <w:tcPr>
            <w:tcW w:w="1220" w:type="dxa"/>
            <w:vAlign w:val="bottom"/>
          </w:tcPr>
          <w:p>
            <w:pPr>
              <w:jc w:val="right"/>
              <w:ind w:right="218"/>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r>
      <w:tr>
        <w:trPr>
          <w:trHeight w:val="219"/>
        </w:trPr>
        <w:tc>
          <w:tcPr>
            <w:tcW w:w="82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carrying amount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169,659</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169,690</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3,260</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10,815</w:t>
            </w:r>
          </w:p>
        </w:tc>
      </w:tr>
      <w:tr>
        <w:trPr>
          <w:trHeight w:val="225"/>
        </w:trPr>
        <w:tc>
          <w:tcPr>
            <w:tcW w:w="8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391</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26"/>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166,008</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157,578</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6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7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6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are exercisable upon any conversion of the 2022 Notes. The 2017 Hedge transactions are expected generally to reduce the potential dilution to the Company's common stock upon conversion of the 2022 Notes and/or offset any cash payments the Company is required to make in excess of the principal amount of the converted 2022 Notes, as the case may be, in the event that the market price per share of common stock, as measured under the terms of the 2017 Hedge transactions, is greater than the strike price of the 2017 Hedge transactions, which initially corresponds to the initial conversion price of the 2022 Notes, or approximately $207.63 per share of common stock. The 2017 Hedge transactions will expire upon the maturity of the Notes.</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May 31, 2017, the Company sold to the counterparties, warrants (the “2017 Warrants”) to acquire 1.4 million shares of the Company's common stock at an initial strike price of $266.39 per share, which represents a premium of 70% over the last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Subsequent to such termination, the outstanding portion of the 2017 Hedge covers 0.8 million shares of the Company's common stock and 2017 Warrants to acquire 0.8 million shares of the Company's common stock remain outstanding. The Company received $109.9 million and paid $94.3 million as a result of terminating such portions of the 2017 Hedge and 2017 Warrants, respectively. The net $15.6 million has been recorded as an increase to additional paid-in capital in the consolidated statement of shareholders’ equity.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to the extent the loans thereunder will be drawn. The delayed draw commitments under the Term Loan Facility will be available until June 1, 2022. The proceeds of the Revolving Facility can be used to finance working capital, for general corporate purposes and any other purpose not prohibited by the Credit Agreement. The proceeds of the Term Loan Facility can be used to settle the Company’s 2022 Notes, including related fees, costs and expenses, and up to $80.0 million may be used for general corporate purposes and any other purposes not prohibited by the Credit Agreement. The Credit Facility replaces the Company's $500.0 million five-year senior secured revolving credit facility (the "Amended Revolving Credit Facility") which was entered into on December 10, 2019. As of December 31, 2021, the Company had no borrowings outstanding under the Credit Facility and at December 31, 2020, the Company had no borrowings outstanding under the Amended Revolving Credit Facility.</w:t>
      </w:r>
    </w:p>
    <w:p>
      <w:pPr>
        <w:spacing w:after="0" w:line="12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full amount of the Revolving Facility will be available on a same-day basis, with respect to base rate loans and upon advance notice with respect to LIBO rate loans, subject to customary terms and conditions. Under certain conditions, the Company will be permitted to add one or more term loans and/or increase revolving or term loan commitments under the Credit Facility by an amount set at the greater of $116.0 million and 100% of consolidated EBITDA (subject to adjustments for certain prepayments), plus an unlimited amount provided that the first lien net leverage ratio does not exceed 3.00 to 1.00. Additionally, up to $20.0 million of the Revolving Facility will be available for the issuance of letters of credit. At each of December 31, 2021 and December 31, 2020, the Company had outstanding one letter of credit issued in the amount of $0.2 million.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borrowings under the Credit Facility bear interest at annual rates that, at the Company’s option, will be either:</w:t>
      </w:r>
    </w:p>
    <w:p>
      <w:pPr>
        <w:spacing w:after="0" w:line="111" w:lineRule="exact"/>
        <w:rPr>
          <w:sz w:val="20"/>
          <w:szCs w:val="20"/>
          <w:color w:val="auto"/>
        </w:rPr>
      </w:pPr>
    </w:p>
    <w:p>
      <w:pPr>
        <w:jc w:val="both"/>
        <w:ind w:left="640" w:hanging="316"/>
        <w:spacing w:after="0" w:line="252"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1.25% to 1.75% for loans under the Revolving Facility and 2.75% to 3.00% for loans under the Term Loan Facility, in each case, based on a first lien net leverage ratio; or</w:t>
      </w:r>
    </w:p>
    <w:p>
      <w:pPr>
        <w:spacing w:after="0" w:line="8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dollar deposits for the applicable interest period and (ii) an applicable percentage of 2.25% to 2.75% for loans under the Revolving Facility and 3.75% and 4.00% for loans under the Term Loan Facility, in each case, based on a first lien net leverage ratio.</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on the Company’s borrowings is payable quarterly in arrears for base rate loans and on the last day of each interest rate period (but not less often than three months) for LIBO rate loans.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Credit Facility contains a restrictive financial covenant, which is set at a first lien net leverage ratio of 2.50 to 1.00, except that this may increase by 0.50:1.00 for the four fiscal quarters following a material acquisition. The financial covenant will be tested only if the loans and certain other obligations under the Revolving Facility exceed $20.0 million as of the last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of any fiscal quarter (starting with the fiscal quarter ending on December 31, 2021). In addition, the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Term Loan Facility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Credit Agreement, in whole or in part, at any time without premium or penalty, subject to certain limitations and a 1.0% soft call premium applicable during the first six months following the closing date.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was in compliance with all covenants at December 31, 2021.</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Credit Facility requires the Company and certain of its subsidiaries to pledge as collateral, subject to certain customary exclusions, substantially all of its assets, including 100% of the equity in certain domestic subsidiaries and 65% of the voting equity, and 100% of the non-voting equity, in certain foreign subsidiaries. The obligations under the Credit Facility are unconditionally guaranteed on a senior basis by the Company's material domestic subsidiaries, which guaranties are secured by the collateral.</w:t>
      </w:r>
    </w:p>
    <w:p>
      <w:pPr>
        <w:spacing w:after="0" w:line="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With respect to the Revolving Facility, the Company is required to pay an unused commitment fee quarterly in arrears on the difference between committed amounts and amounts actually borrowed under the Revolving Facility equal to an applicable percentage of 0.25% to 0.50%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2.25% to 2.75% based on a first lien net leverage ratio. The letter of credit fronting fee is 0.125% per annum on the face amount of each letter of credit.</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 respect to the Term Loan Facility, the Company is required to pay an unused commitment fee quarterly in arrears on the difference between committed amounts and amounts actually borrowed under the Term Loan Facility equal to an applicable LIBO rate plus an applicable percentage of 3.75% to 4.00% per annum based on a first lien net leverage ratio.</w:t>
      </w:r>
    </w:p>
    <w:p>
      <w:pPr>
        <w:spacing w:after="0" w:line="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recognized $1.1 million in additional interest expense in the third quarter of 2021 due to the write-off of certain unamortized debt issuance costs associated with the Amended Revolving Credit Facility. In addition to the remaining unamortized debt issuance costs associated with the Amended Revolving Credit Facility, debt issuance costs of $2.8 million related to the Revolving Facility are being amortized to interest expense over the life of the Revolving Facility. Debt issuance costs of $3.5 million related to the Term Loan Facility and the original issue discount $2.5 million paid on the undrawn term loan facility are being amortized to interest expense over the delayed draw access period, until such time that the loans thereunder are drawn. These deferred costs are included in prepaid and other current assets and other non-current assets in the Company's consolidated balance sheet.</w:t>
      </w:r>
    </w:p>
    <w:p>
      <w:pPr>
        <w:spacing w:after="0" w:line="4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2021, the Company recorded interest expense related to its revolving credit facilities of $3.4 million which consisted of $2.0 million in unused commitment fees and $1.4 million associated with the amortization of the debt issuance costs. During 2021, the Company recorded interest expense related to the Term Loan Facility of $5.9 million which consisted of $3.5 million in unused commitment fees, $1.4 million associated with the amortization of the debt issuance costs, and $1.0 million associated with the amortization of the original issue discount.</w:t>
      </w:r>
    </w:p>
    <w:p>
      <w:pPr>
        <w:spacing w:after="0" w:line="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2020, the Company recorded interest expense related to the Amended Revolving Credit Facility of $4.3 million which consisted of $1.3 million associated with borrowings bearing interest at the LIBO rate, $1.7 million in unused commitment fees, and $1.3 million associated with the amortization of the debt issuance costs. During 2019, the Company recorded interest expense related to the Amended Revolving Credit Facility of $6.1 million which consisted of $4.9 million associated with borrowings bearing interest at the base rate and the LIBO rate, $0.6 million in unused commitment fees, and $0.6 million associated with the amortization of the debt issuance costs.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117"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 xml:space="preserve">The Company has funding commitments that could potentially require performance in the event of demands by third parties or contingent events,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Commitments Due By Period</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vMerge w:val="restart"/>
          </w:tcPr>
          <w:p>
            <w:pPr>
              <w:jc w:val="right"/>
              <w:ind w:right="576"/>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3"/>
                <w:szCs w:val="13"/>
                <w:color w:val="auto"/>
              </w:rPr>
            </w:pPr>
          </w:p>
        </w:tc>
        <w:tc>
          <w:tcPr>
            <w:tcW w:w="1040" w:type="dxa"/>
            <w:vAlign w:val="bottom"/>
          </w:tcPr>
          <w:p>
            <w:pPr>
              <w:ind w:left="100"/>
              <w:spacing w:after="0" w:line="155" w:lineRule="exact"/>
              <w:rPr>
                <w:sz w:val="20"/>
                <w:szCs w:val="20"/>
                <w:color w:val="auto"/>
              </w:rPr>
            </w:pPr>
            <w:r>
              <w:rPr>
                <w:rFonts w:ascii="Arial" w:cs="Arial" w:eastAsia="Arial" w:hAnsi="Arial"/>
                <w:sz w:val="16"/>
                <w:szCs w:val="16"/>
                <w:b w:val="1"/>
                <w:bCs w:val="1"/>
                <w:color w:val="auto"/>
              </w:rPr>
              <w:t>Less Than</w:t>
            </w:r>
          </w:p>
        </w:tc>
        <w:tc>
          <w:tcPr>
            <w:tcW w:w="680" w:type="dxa"/>
            <w:vAlign w:val="bottom"/>
          </w:tcPr>
          <w:p>
            <w:pPr>
              <w:spacing w:after="0"/>
              <w:rPr>
                <w:sz w:val="13"/>
                <w:szCs w:val="13"/>
                <w:color w:val="auto"/>
              </w:rPr>
            </w:pPr>
          </w:p>
        </w:tc>
        <w:tc>
          <w:tcPr>
            <w:tcW w:w="1400" w:type="dxa"/>
            <w:vAlign w:val="bottom"/>
            <w:vMerge w:val="restart"/>
          </w:tcPr>
          <w:p>
            <w:pPr>
              <w:jc w:val="right"/>
              <w:ind w:right="596"/>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3"/>
                <w:szCs w:val="13"/>
                <w:color w:val="auto"/>
              </w:rPr>
            </w:pPr>
          </w:p>
        </w:tc>
        <w:tc>
          <w:tcPr>
            <w:tcW w:w="12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3-5 years</w:t>
            </w:r>
          </w:p>
        </w:tc>
        <w:tc>
          <w:tcPr>
            <w:tcW w:w="400" w:type="dxa"/>
            <w:vAlign w:val="bottom"/>
          </w:tcPr>
          <w:p>
            <w:pPr>
              <w:spacing w:after="0"/>
              <w:rPr>
                <w:sz w:val="13"/>
                <w:szCs w:val="13"/>
                <w:color w:val="auto"/>
              </w:rPr>
            </w:pPr>
          </w:p>
        </w:tc>
        <w:tc>
          <w:tcPr>
            <w:tcW w:w="1080" w:type="dxa"/>
            <w:vAlign w:val="bottom"/>
          </w:tcPr>
          <w:p>
            <w:pPr>
              <w:ind w:left="80"/>
              <w:spacing w:after="0" w:line="155"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 year</w:t>
            </w:r>
          </w:p>
        </w:tc>
        <w:tc>
          <w:tcPr>
            <w:tcW w:w="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21"/>
        </w:trPr>
        <w:tc>
          <w:tcPr>
            <w:tcW w:w="2940" w:type="dxa"/>
            <w:vAlign w:val="bottom"/>
            <w:shd w:val="clear" w:color="auto" w:fill="CCEEFF"/>
          </w:tcPr>
          <w:p>
            <w:pPr>
              <w:ind w:left="340"/>
              <w:spacing w:after="0" w:line="221" w:lineRule="exact"/>
              <w:rPr>
                <w:sz w:val="20"/>
                <w:szCs w:val="20"/>
                <w:color w:val="auto"/>
              </w:rPr>
            </w:pPr>
            <w:r>
              <w:rPr>
                <w:rFonts w:ascii="Arial" w:cs="Arial" w:eastAsia="Arial" w:hAnsi="Arial"/>
                <w:sz w:val="18"/>
                <w:szCs w:val="18"/>
                <w:color w:val="auto"/>
              </w:rPr>
              <w:t xml:space="preserve">Surety bonds </w:t>
            </w:r>
            <w:r>
              <w:rPr>
                <w:rFonts w:ascii="Arial" w:cs="Arial" w:eastAsia="Arial" w:hAnsi="Arial"/>
                <w:sz w:val="22"/>
                <w:szCs w:val="22"/>
                <w:color w:val="auto"/>
                <w:vertAlign w:val="superscript"/>
              </w:rPr>
              <w:t>(a)</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5,177</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80" w:hanging="315"/>
        <w:spacing w:after="0" w:line="271" w:lineRule="auto"/>
        <w:tabs>
          <w:tab w:leader="none" w:pos="402"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certain other commitments through 2025, where the aggregate commitments for these contracts range from $0.2 million to $5.2 million each year throughout the remaining life of the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17, unless otherwise indicated, the Company is unable to estimate the possible loss or range of losses that could potentially result from the application of such non-monetary remedies.</w:t>
      </w:r>
    </w:p>
    <w:p>
      <w:pPr>
        <w:spacing w:after="0" w:line="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As of December 31, 2021, the Company had litigation settlement accruals of $0.1 million in continuing operations. As of December 31, 2020, the Company had litigation settlement accruals of $0.1 million and $0.5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21—Discontinued Operations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18—FAIR VALUE MEASUREMENTS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Other than the convertible notes and warrants, as well as the equity interest in Stash, the carrying amounts of the Company's financial instruments are equal to fair value at December 31, 2021.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8—Equity Investment for additional information on the equity interest in Stash.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Contingent consideration payments related to acquisitions are measured at fair value each reporting period using Level 3 unobservable inputs. The changes in the fair value of the Company's Level 3 liabilities during the years ended December 31, 2021, 2020 and 2019 are as follows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w w:val="90"/>
              </w:rPr>
              <w:t>Year Ended December 31,</w:t>
            </w:r>
          </w:p>
        </w:tc>
        <w:tc>
          <w:tcPr>
            <w:tcW w:w="980" w:type="dxa"/>
            <w:vAlign w:val="bottom"/>
            <w:tcBorders>
              <w:bottom w:val="single" w:sz="8" w:color="auto"/>
            </w:tcBorders>
          </w:tcPr>
          <w:p>
            <w:pPr>
              <w:spacing w:after="0"/>
              <w:rPr>
                <w:sz w:val="16"/>
                <w:szCs w:val="16"/>
                <w:color w:val="auto"/>
              </w:rPr>
            </w:pPr>
          </w:p>
        </w:tc>
      </w:tr>
      <w:tr>
        <w:trPr>
          <w:trHeight w:val="205"/>
        </w:trPr>
        <w:tc>
          <w:tcPr>
            <w:tcW w:w="7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beginning of period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4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33,464</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38,837</w:t>
            </w:r>
          </w:p>
        </w:tc>
      </w:tr>
      <w:tr>
        <w:trPr>
          <w:trHeight w:val="225"/>
        </w:trPr>
        <w:tc>
          <w:tcPr>
            <w:tcW w:w="7140" w:type="dxa"/>
            <w:vAlign w:val="bottom"/>
          </w:tcPr>
          <w:p>
            <w:pPr>
              <w:ind w:left="20"/>
              <w:spacing w:after="0"/>
              <w:rPr>
                <w:sz w:val="20"/>
                <w:szCs w:val="20"/>
                <w:color w:val="auto"/>
              </w:rPr>
            </w:pPr>
            <w:r>
              <w:rPr>
                <w:rFonts w:ascii="Arial" w:cs="Arial" w:eastAsia="Arial" w:hAnsi="Arial"/>
                <w:sz w:val="18"/>
                <w:szCs w:val="18"/>
                <w:color w:val="auto"/>
              </w:rPr>
              <w:t>Transfers into Level 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40" w:type="dxa"/>
            <w:vAlign w:val="bottom"/>
          </w:tcPr>
          <w:p>
            <w:pPr>
              <w:ind w:left="20"/>
              <w:spacing w:after="0"/>
              <w:rPr>
                <w:sz w:val="20"/>
                <w:szCs w:val="20"/>
                <w:color w:val="auto"/>
              </w:rPr>
            </w:pPr>
            <w:r>
              <w:rPr>
                <w:rFonts w:ascii="Arial" w:cs="Arial" w:eastAsia="Arial" w:hAnsi="Arial"/>
                <w:sz w:val="18"/>
                <w:szCs w:val="18"/>
                <w:color w:val="auto"/>
              </w:rPr>
              <w:t>Total net losses included in earnings (realized and unrealized)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(8,249)</w:t>
            </w:r>
          </w:p>
        </w:tc>
        <w:tc>
          <w:tcPr>
            <w:tcW w:w="4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5,327</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28,402</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71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(33,775)</w:t>
            </w:r>
          </w:p>
        </w:tc>
      </w:tr>
      <w:tr>
        <w:trPr>
          <w:trHeight w:val="22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Contingent consideration, end of period</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8,249</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33,464</w:t>
            </w: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There was no contingent consideration liability at December 31, 2021 because the final earnout period for the QuoteWizard acquisition ended on October 31, 2021. The contingent consideration liability at December 31, 2020 consisted of the estimated fair value of the remaining earnout payment for the QuoteWizard acquisition. The contingent consideration liability at December 31, 2019 consisted of the estimated fair value of the earnout payments of the DepositAccounts, SnapCap, Ovation, and QuoteWizard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19—RELATED PARTY TRANSACTIONS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2017, the Company's Board of Directors approved a $10.0 million contribution to fund the newly formed LendingTree Foundation. In each of 2020 and 2019, the Company paid $3.3 million of the $10.0 million contribution, and paid the final installment in 2022. Officers of the Company serve as officers of the LendingTree Foundation.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20—BENEFIT PLANS</w:t>
      </w:r>
    </w:p>
    <w:p>
      <w:pPr>
        <w:spacing w:after="0" w:line="1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($19,500 for 2021, $19,500 for 2020, and $19,000 for 2019).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one year of service vesting at 33%, two years of service vesting at 66%, and three years or more of service vesting at 100%. Matching contributions were approximately $2.9 million, $2.4 million and $2.0 million for the years ended December 31, 2021, 2020 and 2019,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21—DISCONTINUED OPERATIONS</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to a wholly-owned subsidiary of Discover Financial Services ("Discover"). Discover generally did not assume liabilities of HLC that arose before the closing date, except for certain liabilities directly related to assets Discover acquired.</w:t>
      </w:r>
    </w:p>
    <w:p>
      <w:pPr>
        <w:spacing w:after="0" w:line="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Certain liability for losses on previously sold loans remained with HLC.</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Litigation settlements and contingencies and legal fees associated with related bankruptcy and legal proceedings against the Company are included in discontinued operations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8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a result of the voluntary 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 The derecognition of HLC’s cash of $5.9 million removed from the consolidated balance sheet on the deconsolidation date of July 21, 2019 is included within cash flows from operating activities attributable to discontinued operations in the accompanying consolidated statement of cash flows.</w:t>
      </w:r>
    </w:p>
    <w:p>
      <w:pPr>
        <w:spacing w:after="0" w:line="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its bankruptcy, HLC indicated that it believed that it had claims against HLC’s sole shareholder, LendingTree, LLC, and certain of its officers and directors, relating to the declaration of a dividend by HLC in January 2016 of $40.0 million. During the second quarter of 2020, LendingTree, LLC and HLC entered into a settlement agreement in the amount of $36.0 million for the release of any and all claims against the Company defendants by HLC, including the dividend claim. The Bankruptcy Court approved the settlement on July 16, 2020. The $36.0 million settlement payment was made in the third quarter of 2020.</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HLC bankruptcy, a bar date for claims against HLC was set, establishing a deadline for all HLC’s creditors to assert any claim they may have had against HLC. Distributions were made to holders of allowed claims deemed timely filed. After all distributions to creditors were made and HLC’s Chapter 7 bankruptcy estate was fully administered, the HLC bankruptcy case was closed on July 14,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ResCap Liquidating Trust v. Home Loan Center, Inc., Case No. 14-cv-1716 (U.S. Dist. Ct., Minn.), </w:t>
      </w:r>
      <w:r>
        <w:rPr>
          <w:rFonts w:ascii="Arial" w:cs="Arial" w:eastAsia="Arial" w:hAnsi="Arial"/>
          <w:sz w:val="17"/>
          <w:szCs w:val="17"/>
          <w:color w:val="auto"/>
        </w:rPr>
        <w:t>successor to</w:t>
      </w:r>
      <w:r>
        <w:rPr>
          <w:rFonts w:ascii="Arial" w:cs="Arial" w:eastAsia="Arial" w:hAnsi="Arial"/>
          <w:sz w:val="17"/>
          <w:szCs w:val="17"/>
          <w:i w:val="1"/>
          <w:iCs w:val="1"/>
          <w:color w:val="auto"/>
        </w:rPr>
        <w:t xml:space="preserve"> Residential Funding Company, LLC v Home Loan Center, Inc., No. 13-cv-3451 (U.S. Dist. Ct., Minn.). </w:t>
      </w:r>
      <w:r>
        <w:rPr>
          <w:rFonts w:ascii="Arial" w:cs="Arial" w:eastAsia="Arial" w:hAnsi="Arial"/>
          <w:sz w:val="17"/>
          <w:szCs w:val="17"/>
          <w:color w:val="auto"/>
        </w:rPr>
        <w:t>On or about December 16, 2013, Home Loan Center, Inc. was served in the original captioned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matter, which involves claims of Residential Funding Company, LLC ("RFC") for damages for breach of contract and indemnification for certain residential mortgage loans as well as residential mortgage-backed securitizations ("RMBS") containing mortgage loans. Plaintiff then alleged that, after RFC filed for Chapter 11 protection, hundreds of proofs of claim were filed, many of which mirrored the litigation filed against RFC prior to its bankruptcy. It filed substantially similar complaints against approximately 80 of the loan originators from whom RFC had purchased loans, including HLC. Judgment was entered against HLC, </w:t>
      </w:r>
      <w:r>
        <w:rPr>
          <w:rFonts w:ascii="Arial" w:cs="Arial" w:eastAsia="Arial" w:hAnsi="Arial"/>
          <w:sz w:val="17"/>
          <w:szCs w:val="17"/>
          <w:i w:val="1"/>
          <w:iCs w:val="1"/>
          <w:color w:val="auto"/>
        </w:rPr>
        <w:t>see</w:t>
      </w:r>
      <w:r>
        <w:rPr>
          <w:rFonts w:ascii="Arial" w:cs="Arial" w:eastAsia="Arial" w:hAnsi="Arial"/>
          <w:sz w:val="17"/>
          <w:szCs w:val="17"/>
          <w:color w:val="auto"/>
        </w:rPr>
        <w:t xml:space="preserve"> Home Loan Center, Inc. Bankruptcy Filing above.</w:t>
      </w:r>
    </w:p>
    <w:p>
      <w:pPr>
        <w:spacing w:after="0" w:line="7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HLC’s filing under the Bankruptcy Code discussed above in Home Loan Center, Inc. Bankruptcy Filing created an automatic stay of enforcement of the judgment entered against HLC. On August 27, 2019, plaintiff filed a lawsuit captioned </w:t>
      </w:r>
      <w:r>
        <w:rPr>
          <w:rFonts w:ascii="Arial" w:cs="Arial" w:eastAsia="Arial" w:hAnsi="Arial"/>
          <w:sz w:val="17"/>
          <w:szCs w:val="17"/>
          <w:i w:val="1"/>
          <w:iCs w:val="1"/>
          <w:color w:val="auto"/>
        </w:rPr>
        <w:t>ResCap Liquidating Trust v. LendingTree, LLC, et al., Case No. 19-cv-2360 (U.S. Dist. Ct., Minn.)</w:t>
      </w:r>
      <w:r>
        <w:rPr>
          <w:rFonts w:ascii="Arial" w:cs="Arial" w:eastAsia="Arial" w:hAnsi="Arial"/>
          <w:sz w:val="17"/>
          <w:szCs w:val="17"/>
          <w:color w:val="auto"/>
        </w:rPr>
        <w:t>, seeking to hold the Company liable for the judgment against HLC. In June 2020, the Company entered into a settlement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ResCap, pursuant to which, the Company agreed to, among other things, pay ResCap $58.5 million, less any amounts ResCap receives in the HLC bankruptcy. In the third and fourth quarters of 2020, the Company made payments of $26.5 million and $6.4 million, respectively, to the ResCap Liquidating Trust and the ResCap Liquidating Trust, in turn, assigned its allowed claims against HLC to the Company. In the second quarter of 2021, the Company received $8.6 million related to these amounts, from the final distributions in the HLC bankruptcy on account of the allowed claims that the ResCap Liquidating Trust had assigned to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100"/>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i w:val="1"/>
          <w:iCs w:val="1"/>
          <w:color w:val="auto"/>
        </w:rPr>
        <w:t xml:space="preserve">Lehman Brothers Holdings Inc. v. 1st Advantage Mortgage, LLC et al., Case No. 08-13555 (SCC), Adversary Proceeding No. 16-01342 (SCC) (Bankr. S.D.N.Y.). </w:t>
      </w:r>
      <w:r>
        <w:rPr>
          <w:rFonts w:ascii="Arial" w:cs="Arial" w:eastAsia="Arial" w:hAnsi="Arial"/>
          <w:sz w:val="18"/>
          <w:szCs w:val="18"/>
          <w:color w:val="auto"/>
        </w:rPr>
        <w:t>In February 2016, Lehman Brothers Holdings, Inc. (“LBHI”) filed an Adversary Complaint against HLC and approximately 149 other defendants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"Complaint").</w:t>
      </w:r>
    </w:p>
    <w:p>
      <w:pPr>
        <w:spacing w:after="0" w:line="82"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 xml:space="preserve">HLC’s filing under the Bankruptcy Code discussed above in Home Loan Center, Inc. Bankruptcy Filing created an automatic stay of this proceeding. On June 11, 2020, LBHI filed a lawsuit captioned </w:t>
      </w:r>
      <w:r>
        <w:rPr>
          <w:rFonts w:ascii="Arial" w:cs="Arial" w:eastAsia="Arial" w:hAnsi="Arial"/>
          <w:sz w:val="18"/>
          <w:szCs w:val="18"/>
          <w:i w:val="1"/>
          <w:iCs w:val="1"/>
          <w:color w:val="auto"/>
        </w:rPr>
        <w:t>Lehman Brothers Holdings Inc. v. LendingTree, LLC, et al., Case No. 20-cv-01351 (U.S. Dist. Ct., Minn.)</w:t>
      </w:r>
      <w:r>
        <w:rPr>
          <w:rFonts w:ascii="Arial" w:cs="Arial" w:eastAsia="Arial" w:hAnsi="Arial"/>
          <w:sz w:val="18"/>
          <w:szCs w:val="18"/>
          <w:color w:val="auto"/>
        </w:rPr>
        <w:t>, seeking to hold the Company liable for their allowed bankruptcy claim of $13.3 million. In July 2021, the Company entered into a settlement with LBHI, which payment was made in the third quarter of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1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(loss)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9"/>
              </w:rPr>
              <w:t>Year Ended December 31,</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3"/>
        </w:trPr>
        <w:tc>
          <w:tcPr>
            <w:tcW w:w="6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r>
      <w:tr>
        <w:trPr>
          <w:trHeight w:val="219"/>
        </w:trPr>
        <w:tc>
          <w:tcPr>
            <w:tcW w:w="6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Revenue</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spacing w:after="0"/>
              <w:rPr>
                <w:sz w:val="19"/>
                <w:szCs w:val="19"/>
                <w:color w:val="auto"/>
              </w:rPr>
            </w:pPr>
          </w:p>
        </w:tc>
      </w:tr>
      <w:tr>
        <w:trPr>
          <w:trHeight w:val="245"/>
        </w:trPr>
        <w:tc>
          <w:tcPr>
            <w:tcW w:w="6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5"/>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removal of HLC's assets and liabilities</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5"/>
        </w:trPr>
        <w:tc>
          <w:tcPr>
            <w:tcW w:w="6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operating expenses</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(4,719)</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(33,308)</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19"/>
        </w:trPr>
        <w:tc>
          <w:tcPr>
            <w:tcW w:w="6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before income taxes</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(4,719)</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(33,308)</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r>
      <w:tr>
        <w:trPr>
          <w:trHeight w:val="225"/>
        </w:trPr>
        <w:tc>
          <w:tcPr>
            <w:tcW w:w="6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tax benefit</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696</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7,619</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r>
      <w:tr>
        <w:trPr>
          <w:trHeight w:val="226"/>
        </w:trPr>
        <w:tc>
          <w:tcPr>
            <w:tcW w:w="62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Net loss</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(4,023)</w:t>
            </w:r>
          </w:p>
        </w:tc>
        <w:tc>
          <w:tcPr>
            <w:tcW w:w="6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(25,689)</w:t>
            </w:r>
          </w:p>
        </w:tc>
        <w:tc>
          <w:tcPr>
            <w:tcW w:w="4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w:t>
            </w:r>
          </w:p>
        </w:tc>
      </w:tr>
    </w:tbl>
    <w:p>
      <w:pPr>
        <w:spacing w:after="0" w:line="186"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 as well as a gain upon deconsolidation due to the accounting effect of HLC’s bankruptcy filing on the consolidated financial statements.</w:t>
      </w:r>
    </w:p>
    <w:p>
      <w:pPr>
        <w:spacing w:after="0" w:line="82"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legal proceedings against LendingTree, Inc. or LendingTree, LLC that arose due to the LendingTree Loans Business or the HLC bankruptcy filing.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22—SEGMENT INFORMATION</w:t>
      </w:r>
    </w:p>
    <w:p>
      <w:pPr>
        <w:spacing w:after="0" w:line="117"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CODM for the purpose of assessing performance and allocating resources.</w:t>
      </w:r>
    </w:p>
    <w:p>
      <w:pPr>
        <w:spacing w:after="0" w:line="31"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and insurance policies in our agency businesses. Revenue from the resale of online advertising space to third parties and revenue from home improvement referrals, and the related variable marketing and advertising expenses, are included within the Other category.</w:t>
      </w:r>
    </w:p>
    <w:p>
      <w:pPr>
        <w:spacing w:after="0" w:line="75"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also includes the portion of cost of revenue attributable to costs paid for advertising re-sold to third parties. The Company ceased reselling online advertising space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right="83"/>
              <w:spacing w:after="0"/>
              <w:rPr>
                <w:sz w:val="20"/>
                <w:szCs w:val="20"/>
                <w:color w:val="auto"/>
              </w:rPr>
            </w:pPr>
            <w:r>
              <w:rPr>
                <w:rFonts w:ascii="Arial" w:cs="Arial" w:eastAsia="Arial" w:hAnsi="Arial"/>
                <w:sz w:val="14"/>
                <w:szCs w:val="14"/>
                <w:b w:val="1"/>
                <w:bCs w:val="1"/>
                <w:color w:val="auto"/>
                <w:w w:val="91"/>
              </w:rPr>
              <w:t>Year Ended December 31, 2021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Home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8"/>
              </w:rPr>
              <w:t>Consumer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0"/>
              </w:rPr>
              <w:t>Insurance</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88"/>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441,738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329,945</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326,153</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1,098,499</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288,386</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186,448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212,689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688,133</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153,352</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143,497</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113,464</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410,366</w:t>
            </w:r>
          </w:p>
        </w:tc>
        <w:tc>
          <w:tcPr>
            <w:tcW w:w="0" w:type="dxa"/>
            <w:vAlign w:val="bottom"/>
          </w:tcPr>
          <w:p>
            <w:pPr>
              <w:spacing w:after="0"/>
              <w:rPr>
                <w:sz w:val="1"/>
                <w:szCs w:val="1"/>
                <w:color w:val="auto"/>
              </w:rPr>
            </w:pPr>
          </w:p>
        </w:tc>
      </w:tr>
      <w:tr>
        <w:trPr>
          <w:trHeight w:val="203"/>
        </w:trPr>
        <w:tc>
          <w:tcPr>
            <w:tcW w:w="574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57,297</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85,857</w:t>
            </w: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153,472</w:t>
            </w: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52,865</w:t>
            </w:r>
          </w:p>
        </w:tc>
        <w:tc>
          <w:tcPr>
            <w:tcW w:w="0" w:type="dxa"/>
            <w:vAlign w:val="bottom"/>
          </w:tcPr>
          <w:p>
            <w:pPr>
              <w:spacing w:after="0"/>
              <w:rPr>
                <w:sz w:val="1"/>
                <w:szCs w:val="1"/>
                <w:color w:val="auto"/>
              </w:rPr>
            </w:pPr>
          </w:p>
        </w:tc>
      </w:tr>
      <w:tr>
        <w:trPr>
          <w:trHeight w:val="210"/>
        </w:trPr>
        <w:tc>
          <w:tcPr>
            <w:tcW w:w="57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17,910</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42,738</w:t>
            </w: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(8,249)</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8,031</w:t>
            </w: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(46,867)</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123,272</w:t>
            </w:r>
          </w:p>
        </w:tc>
        <w:tc>
          <w:tcPr>
            <w:tcW w:w="0" w:type="dxa"/>
            <w:vAlign w:val="bottom"/>
          </w:tcPr>
          <w:p>
            <w:pPr>
              <w:spacing w:after="0"/>
              <w:rPr>
                <w:sz w:val="1"/>
                <w:szCs w:val="1"/>
                <w:color w:val="auto"/>
              </w:rPr>
            </w:pPr>
          </w:p>
        </w:tc>
      </w:tr>
      <w:tr>
        <w:trPr>
          <w:trHeight w:val="214"/>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84,436</w:t>
            </w:r>
          </w:p>
        </w:tc>
        <w:tc>
          <w:tcPr>
            <w:tcW w:w="0" w:type="dxa"/>
            <w:vAlign w:val="bottom"/>
          </w:tcPr>
          <w:p>
            <w:pPr>
              <w:spacing w:after="0"/>
              <w:rPr>
                <w:sz w:val="1"/>
                <w:szCs w:val="1"/>
                <w:color w:val="auto"/>
              </w:rPr>
            </w:pPr>
          </w:p>
        </w:tc>
      </w:tr>
      <w:tr>
        <w:trPr>
          <w:trHeight w:val="405"/>
        </w:trPr>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right="83"/>
              <w:spacing w:after="0"/>
              <w:rPr>
                <w:sz w:val="20"/>
                <w:szCs w:val="20"/>
                <w:color w:val="auto"/>
              </w:rPr>
            </w:pPr>
            <w:r>
              <w:rPr>
                <w:rFonts w:ascii="Arial" w:cs="Arial" w:eastAsia="Arial" w:hAnsi="Arial"/>
                <w:sz w:val="14"/>
                <w:szCs w:val="14"/>
                <w:b w:val="1"/>
                <w:bCs w:val="1"/>
                <w:color w:val="auto"/>
                <w:w w:val="91"/>
              </w:rPr>
              <w:t>Year Ended December 31, 2020</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Home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8"/>
              </w:rPr>
              <w:t>Consumer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0"/>
              </w:rPr>
              <w:t>Insurance</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88"/>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320,992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253,198</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333,765</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909,990</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188,869</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146,308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540,517</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132,123</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106,890</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131,142</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(682)</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369,473</w:t>
            </w:r>
          </w:p>
        </w:tc>
        <w:tc>
          <w:tcPr>
            <w:tcW w:w="0" w:type="dxa"/>
            <w:vAlign w:val="bottom"/>
          </w:tcPr>
          <w:p>
            <w:pPr>
              <w:spacing w:after="0"/>
              <w:rPr>
                <w:sz w:val="1"/>
                <w:szCs w:val="1"/>
                <w:color w:val="auto"/>
              </w:rPr>
            </w:pPr>
          </w:p>
        </w:tc>
      </w:tr>
      <w:tr>
        <w:trPr>
          <w:trHeight w:val="142"/>
        </w:trPr>
        <w:tc>
          <w:tcPr>
            <w:tcW w:w="5740" w:type="dxa"/>
            <w:vAlign w:val="bottom"/>
          </w:tcPr>
          <w:p>
            <w:pPr>
              <w:ind w:left="140"/>
              <w:spacing w:after="0" w:line="142" w:lineRule="exact"/>
              <w:rPr>
                <w:sz w:val="20"/>
                <w:szCs w:val="20"/>
                <w:color w:val="auto"/>
              </w:rPr>
            </w:pPr>
            <w:r>
              <w:rPr>
                <w:rFonts w:ascii="Arial" w:cs="Arial" w:eastAsia="Arial" w:hAnsi="Arial"/>
                <w:sz w:val="16"/>
                <w:szCs w:val="16"/>
                <w:color w:val="auto"/>
                <w:w w:val="99"/>
              </w:rPr>
              <w:t>Cost of revenue (exclusive of cost of advertising re-sold to third parties included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53,408</w:t>
            </w:r>
          </w:p>
        </w:tc>
        <w:tc>
          <w:tcPr>
            <w:tcW w:w="0" w:type="dxa"/>
            <w:vAlign w:val="bottom"/>
          </w:tcPr>
          <w:p>
            <w:pPr>
              <w:spacing w:after="0"/>
              <w:rPr>
                <w:sz w:val="1"/>
                <w:szCs w:val="1"/>
                <w:color w:val="auto"/>
              </w:rPr>
            </w:pPr>
          </w:p>
        </w:tc>
      </w:tr>
      <w:tr>
        <w:trPr>
          <w:trHeight w:val="206"/>
        </w:trPr>
        <w:tc>
          <w:tcPr>
            <w:tcW w:w="5740" w:type="dxa"/>
            <w:vAlign w:val="bottom"/>
          </w:tcPr>
          <w:p>
            <w:pPr>
              <w:ind w:left="140"/>
              <w:spacing w:after="0"/>
              <w:rPr>
                <w:sz w:val="20"/>
                <w:szCs w:val="20"/>
                <w:color w:val="auto"/>
              </w:rPr>
            </w:pPr>
            <w:r>
              <w:rPr>
                <w:rFonts w:ascii="Arial" w:cs="Arial" w:eastAsia="Arial" w:hAnsi="Arial"/>
                <w:sz w:val="16"/>
                <w:szCs w:val="16"/>
                <w:color w:val="auto"/>
              </w:rPr>
              <w:t>above)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77,973</w:t>
            </w:r>
          </w:p>
        </w:tc>
        <w:tc>
          <w:tcPr>
            <w:tcW w:w="0" w:type="dxa"/>
            <w:vAlign w:val="bottom"/>
          </w:tcPr>
          <w:p>
            <w:pPr>
              <w:spacing w:after="0"/>
              <w:rPr>
                <w:sz w:val="1"/>
                <w:szCs w:val="1"/>
                <w:color w:val="auto"/>
              </w:rPr>
            </w:pPr>
          </w:p>
        </w:tc>
      </w:tr>
      <w:tr>
        <w:trPr>
          <w:trHeight w:val="210"/>
        </w:trPr>
        <w:tc>
          <w:tcPr>
            <w:tcW w:w="574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129,101</w:t>
            </w: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43,636</w:t>
            </w: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14,201</w:t>
            </w: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53,078</w:t>
            </w:r>
          </w:p>
        </w:tc>
        <w:tc>
          <w:tcPr>
            <w:tcW w:w="0" w:type="dxa"/>
            <w:vAlign w:val="bottom"/>
          </w:tcPr>
          <w:p>
            <w:pPr>
              <w:spacing w:after="0"/>
              <w:rPr>
                <w:sz w:val="1"/>
                <w:szCs w:val="1"/>
                <w:color w:val="auto"/>
              </w:rPr>
            </w:pPr>
          </w:p>
        </w:tc>
      </w:tr>
      <w:tr>
        <w:trPr>
          <w:trHeight w:val="210"/>
        </w:trPr>
        <w:tc>
          <w:tcPr>
            <w:tcW w:w="574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(6,603)</w:t>
            </w:r>
          </w:p>
        </w:tc>
        <w:tc>
          <w:tcPr>
            <w:tcW w:w="0" w:type="dxa"/>
            <w:vAlign w:val="bottom"/>
          </w:tcPr>
          <w:p>
            <w:pPr>
              <w:spacing w:after="0"/>
              <w:rPr>
                <w:sz w:val="1"/>
                <w:szCs w:val="1"/>
                <w:color w:val="auto"/>
              </w:rPr>
            </w:pPr>
          </w:p>
        </w:tc>
      </w:tr>
      <w:tr>
        <w:trPr>
          <w:trHeight w:val="210"/>
        </w:trPr>
        <w:tc>
          <w:tcPr>
            <w:tcW w:w="57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(36,300)</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4"/>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right="83"/>
              <w:spacing w:after="0"/>
              <w:rPr>
                <w:sz w:val="20"/>
                <w:szCs w:val="20"/>
                <w:color w:val="auto"/>
              </w:rPr>
            </w:pPr>
            <w:r>
              <w:rPr>
                <w:rFonts w:ascii="Arial" w:cs="Arial" w:eastAsia="Arial" w:hAnsi="Arial"/>
                <w:sz w:val="14"/>
                <w:szCs w:val="14"/>
                <w:b w:val="1"/>
                <w:bCs w:val="1"/>
                <w:color w:val="auto"/>
                <w:w w:val="91"/>
              </w:rPr>
              <w:t>Year Ended December 31, 2019</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Home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8"/>
              </w:rPr>
              <w:t>Consumer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0"/>
              </w:rPr>
              <w:t>Insurance</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88"/>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277,935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515,037</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284,792</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28,839</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1,106,603</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174,814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301,852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170,153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27,466</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674,285</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103,121</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213,185</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114,639</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1,373</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432,318</w:t>
            </w:r>
          </w:p>
        </w:tc>
        <w:tc>
          <w:tcPr>
            <w:tcW w:w="0" w:type="dxa"/>
            <w:vAlign w:val="bottom"/>
          </w:tcPr>
          <w:p>
            <w:pPr>
              <w:spacing w:after="0"/>
              <w:rPr>
                <w:sz w:val="1"/>
                <w:szCs w:val="1"/>
                <w:color w:val="auto"/>
              </w:rPr>
            </w:pPr>
          </w:p>
        </w:tc>
      </w:tr>
      <w:tr>
        <w:trPr>
          <w:trHeight w:val="142"/>
        </w:trPr>
        <w:tc>
          <w:tcPr>
            <w:tcW w:w="5740" w:type="dxa"/>
            <w:vAlign w:val="bottom"/>
          </w:tcPr>
          <w:p>
            <w:pPr>
              <w:ind w:left="140"/>
              <w:spacing w:after="0" w:line="142" w:lineRule="exact"/>
              <w:rPr>
                <w:sz w:val="20"/>
                <w:szCs w:val="20"/>
                <w:color w:val="auto"/>
              </w:rPr>
            </w:pPr>
            <w:r>
              <w:rPr>
                <w:rFonts w:ascii="Arial" w:cs="Arial" w:eastAsia="Arial" w:hAnsi="Arial"/>
                <w:sz w:val="16"/>
                <w:szCs w:val="16"/>
                <w:color w:val="auto"/>
                <w:w w:val="99"/>
              </w:rPr>
              <w:t>Cost of revenue (exclusive of cost of advertising re-sold to third parties included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45,624</w:t>
            </w:r>
          </w:p>
        </w:tc>
        <w:tc>
          <w:tcPr>
            <w:tcW w:w="0" w:type="dxa"/>
            <w:vAlign w:val="bottom"/>
          </w:tcPr>
          <w:p>
            <w:pPr>
              <w:spacing w:after="0"/>
              <w:rPr>
                <w:sz w:val="1"/>
                <w:szCs w:val="1"/>
                <w:color w:val="auto"/>
              </w:rPr>
            </w:pPr>
          </w:p>
        </w:tc>
      </w:tr>
      <w:tr>
        <w:trPr>
          <w:trHeight w:val="206"/>
        </w:trPr>
        <w:tc>
          <w:tcPr>
            <w:tcW w:w="5740" w:type="dxa"/>
            <w:vAlign w:val="bottom"/>
          </w:tcPr>
          <w:p>
            <w:pPr>
              <w:ind w:left="140"/>
              <w:spacing w:after="0"/>
              <w:rPr>
                <w:sz w:val="20"/>
                <w:szCs w:val="20"/>
                <w:color w:val="auto"/>
              </w:rPr>
            </w:pPr>
            <w:r>
              <w:rPr>
                <w:rFonts w:ascii="Arial" w:cs="Arial" w:eastAsia="Arial" w:hAnsi="Arial"/>
                <w:sz w:val="16"/>
                <w:szCs w:val="16"/>
                <w:color w:val="auto"/>
              </w:rPr>
              <w:t>above)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83,650</w:t>
            </w: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116,847</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39,953</w:t>
            </w:r>
          </w:p>
        </w:tc>
        <w:tc>
          <w:tcPr>
            <w:tcW w:w="0" w:type="dxa"/>
            <w:vAlign w:val="bottom"/>
          </w:tcPr>
          <w:p>
            <w:pPr>
              <w:spacing w:after="0"/>
              <w:rPr>
                <w:sz w:val="1"/>
                <w:szCs w:val="1"/>
                <w:color w:val="auto"/>
              </w:rPr>
            </w:pPr>
          </w:p>
        </w:tc>
      </w:tr>
      <w:tr>
        <w:trPr>
          <w:trHeight w:val="210"/>
        </w:trPr>
        <w:tc>
          <w:tcPr>
            <w:tcW w:w="57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10,998</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55,241</w:t>
            </w: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28,402</w:t>
            </w: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50,728</w:t>
            </w: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(20,271)</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4"/>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30,981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CODM does not review information on segment assets and as such, no segment asset information is reported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t>LENDINGTREE, INC. AND SUBSIDIARIES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23—SUBSEQUENT EVENT</w:t>
      </w:r>
    </w:p>
    <w:p>
      <w:pPr>
        <w:spacing w:after="0" w:line="236" w:lineRule="exact"/>
        <w:rPr>
          <w:sz w:val="20"/>
          <w:szCs w:val="20"/>
          <w:color w:val="auto"/>
        </w:rPr>
      </w:pPr>
    </w:p>
    <w:p>
      <w:pPr>
        <w:ind w:firstLine="636"/>
        <w:spacing w:after="0" w:line="328" w:lineRule="auto"/>
        <w:rPr>
          <w:sz w:val="20"/>
          <w:szCs w:val="20"/>
          <w:color w:val="auto"/>
        </w:rPr>
      </w:pPr>
      <w:r>
        <w:rPr>
          <w:rFonts w:ascii="Arial" w:cs="Arial" w:eastAsia="Arial" w:hAnsi="Arial"/>
          <w:sz w:val="15"/>
          <w:szCs w:val="15"/>
          <w:color w:val="auto"/>
        </w:rPr>
        <w:t>In January 2022, the Company acquired an equity interest in another company for $15.0 million. This company is a consumer-first payment platform that intelligently automates loan payment scheduling and helps consumers better manage their money and improve their financial well-being.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required by Rule 13a-15(b) of the Securities Exchange Act of 1934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4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Based upon that evaluation, our Chief Executive Officer and Chief Financial Officer concluded that, as of December 31, 2021,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Management, with the participation of our Chief Executive Officer and Chief Financial Officer, assessed the effectiveness of our internal control over financial reporting as of December 31, 2021.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2021. The effectiveness of our internal control over financial reporting as of December 31, 2021 has been audited by PricewaterhouseCoopers LLP, an independent registered public accounting firm, as stated in their report appearing under "Item 8. Financial Statements and Supplementary Data" included elsewhere in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0"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There was no change in our internal control over financial reporting (as defined in the Exchange Act, Rules 13a-15(f)) that occurred during the quarter ended December 31, 2021 that has materially affected, or is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color w:val="auto"/>
        </w:rPr>
        <w:t xml:space="preserve">ITEM 9C. </w:t>
      </w:r>
      <w:r>
        <w:rPr>
          <w:rFonts w:ascii="Arial" w:cs="Arial" w:eastAsia="Arial" w:hAnsi="Arial"/>
          <w:sz w:val="15"/>
          <w:szCs w:val="15"/>
          <w:b w:val="1"/>
          <w:bCs w:val="1"/>
          <w:i w:val="1"/>
          <w:iCs w:val="1"/>
          <w:color w:val="auto"/>
        </w:rPr>
        <w:t>Disclosure Regarding Foreign Jurisdictions that Prevent Inspections.</w:t>
      </w:r>
    </w:p>
    <w:p>
      <w:pPr>
        <w:sectPr>
          <w:pgSz w:w="11900" w:h="16838" w:orient="portrait"/>
          <w:cols w:equalWidth="0" w:num="1">
            <w:col w:w="10139"/>
          </w:cols>
          <w:pgMar w:left="320" w:top="1141" w:right="1440" w:bottom="1440" w:gutter="0" w:footer="0" w:header="0"/>
        </w:sect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41" w:right="1440" w:bottom="1440" w:gutter="0" w:footer="0" w:header="0"/>
          <w:type w:val="continuous"/>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the Company's definitive proxy statement to be used in connection with its 2022 Annual Meeting of Stockholders and which will be filed with the Securities and Exchange Commission not later than 120 days after the end of the Company's fiscal year ended December 31, 2021 (the "2022 Proxy Statement"), in accordance with General Instruction G(3) of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Item 10 will be contained in, and is hereby incorporated by reference to, the 2022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Item 11 will be contained in, and is hereby incorporated by reference to, the 2022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Item 12 will be contained in, and is hereby incorporated by reference to, the 2022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Item 13 will be contained in, and is hereby incorporated by reference to, the 2022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Item 14 will be contained in, and is hereby incorporated by reference to, the 2022 Proxy Statement.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  List of documents filed as part of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LendingTree, Inc.</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Report of Independent Registered Public Accounting Firm: PricewaterhouseCoopers LLP.</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Consolidated Statements of Operations and Comprehensive Income (Loss) for the Years Ended December 31, 2021, 2020 and 2019.</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Consolidated Balance Sheets as of December 31, 2021 and 2020.</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Consolidated Statements of Shareholders' Equity for the Years Ended December 31, 2021, 2020 and 2019.</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LendingTree, Inc.</w:t>
      </w:r>
    </w:p>
    <w:p>
      <w:pPr>
        <w:spacing w:after="0" w:line="157"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All financial statements and schedules have been omitted since the required information is included in the consolidated financial statements or the notes thereto, or is not applicable or required.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tbl>
      <w:tblPr>
        <w:tblLayout w:type="fixed"/>
        <w:tblInd w:w="0" w:type="dxa"/>
        <w:tblCellMar>
          <w:top w:w="0" w:type="dxa"/>
          <w:left w:w="0" w:type="dxa"/>
          <w:bottom w:w="0" w:type="dxa"/>
          <w:right w:w="0" w:type="dxa"/>
        </w:tblCellMar>
      </w:tblPr>
      <w:tr>
        <w:trPr>
          <w:trHeight w:val="180"/>
        </w:trPr>
        <w:tc>
          <w:tcPr>
            <w:tcW w:w="1200" w:type="dxa"/>
            <w:vAlign w:val="bottom"/>
          </w:tcPr>
          <w:p>
            <w:pPr>
              <w:jc w:val="right"/>
              <w:ind w:right="292"/>
              <w:spacing w:after="0" w:line="180" w:lineRule="exact"/>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5"/>
        </w:trPr>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Number</w:t>
            </w: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00" w:type="dxa"/>
            <w:vAlign w:val="bottom"/>
            <w:shd w:val="clear" w:color="auto" w:fill="CCEEFF"/>
          </w:tcPr>
          <w:p>
            <w:pPr>
              <w:jc w:val="right"/>
              <w:ind w:right="92"/>
              <w:spacing w:after="0" w:line="179" w:lineRule="exact"/>
              <w:rPr>
                <w:sz w:val="20"/>
                <w:szCs w:val="20"/>
                <w:color w:val="auto"/>
              </w:rPr>
            </w:pPr>
            <w:r>
              <w:rPr>
                <w:rFonts w:ascii="Arial" w:cs="Arial" w:eastAsia="Arial" w:hAnsi="Arial"/>
                <w:sz w:val="18"/>
                <w:szCs w:val="18"/>
                <w:color w:val="auto"/>
              </w:rPr>
              <w:t>2.1</w:t>
            </w:r>
          </w:p>
        </w:tc>
        <w:tc>
          <w:tcPr>
            <w:tcW w:w="5300" w:type="dxa"/>
            <w:vAlign w:val="bottom"/>
            <w:gridSpan w:val="21"/>
            <w:shd w:val="clear" w:color="auto" w:fill="CCEEFF"/>
          </w:tcPr>
          <w:p>
            <w:pPr>
              <w:spacing w:after="0" w:line="179" w:lineRule="exact"/>
              <w:rPr>
                <w:rFonts w:ascii="Arial" w:cs="Arial" w:eastAsia="Arial" w:hAnsi="Arial"/>
                <w:sz w:val="18"/>
                <w:szCs w:val="18"/>
                <w:color w:val="0000FF"/>
                <w:w w:val="97"/>
              </w:rPr>
            </w:pPr>
            <w:hyperlink r:id="rId117">
              <w:r>
                <w:rPr>
                  <w:rFonts w:ascii="Arial" w:cs="Arial" w:eastAsia="Arial" w:hAnsi="Arial"/>
                  <w:sz w:val="18"/>
                  <w:szCs w:val="18"/>
                  <w:color w:val="0000FF"/>
                  <w:w w:val="97"/>
                </w:rPr>
                <w:t>Separation and Distribution Agreement among IAC/InterActiveCorp,</w:t>
              </w:r>
            </w:hyperlink>
          </w:p>
        </w:tc>
        <w:tc>
          <w:tcPr>
            <w:tcW w:w="474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w w:val="89"/>
              </w:rPr>
              <w:t>Exhibit 2.1 to the Registrant's Registration Statement on Form S-1</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260" w:type="dxa"/>
            <w:vAlign w:val="bottom"/>
            <w:tcBorders>
              <w:top w:val="single" w:sz="8" w:color="0000FF"/>
            </w:tcBorders>
            <w:gridSpan w:val="19"/>
            <w:shd w:val="clear" w:color="auto" w:fill="CCEEFF"/>
          </w:tcPr>
          <w:p>
            <w:pPr>
              <w:spacing w:after="0" w:line="152" w:lineRule="exact"/>
              <w:rPr>
                <w:rFonts w:ascii="Arial" w:cs="Arial" w:eastAsia="Arial" w:hAnsi="Arial"/>
                <w:sz w:val="17"/>
                <w:szCs w:val="17"/>
                <w:color w:val="0000FF"/>
              </w:rPr>
            </w:pPr>
            <w:hyperlink r:id="rId117">
              <w:r>
                <w:rPr>
                  <w:rFonts w:ascii="Arial" w:cs="Arial" w:eastAsia="Arial" w:hAnsi="Arial"/>
                  <w:sz w:val="17"/>
                  <w:szCs w:val="17"/>
                  <w:color w:val="0000FF"/>
                </w:rPr>
                <w:t>HSN, Inc., Interval Leisure Group, Inc., Ticketmaster and Tree.com,</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7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(No. 333-152700), filed August 1, 2008</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0000FF"/>
            </w:tcBorders>
            <w:gridSpan w:val="7"/>
            <w:shd w:val="clear" w:color="auto" w:fill="CCEEFF"/>
          </w:tcPr>
          <w:p>
            <w:pPr>
              <w:spacing w:after="0" w:line="152" w:lineRule="exact"/>
              <w:rPr>
                <w:rFonts w:ascii="Arial" w:cs="Arial" w:eastAsia="Arial" w:hAnsi="Arial"/>
                <w:sz w:val="17"/>
                <w:szCs w:val="17"/>
                <w:color w:val="0000FF"/>
              </w:rPr>
            </w:pPr>
            <w:hyperlink r:id="rId117">
              <w:r>
                <w:rPr>
                  <w:rFonts w:ascii="Arial" w:cs="Arial" w:eastAsia="Arial" w:hAnsi="Arial"/>
                  <w:sz w:val="17"/>
                  <w:szCs w:val="17"/>
                  <w:color w:val="0000FF"/>
                </w:rPr>
                <w:t>Inc., dated August 20, 2008.</w:t>
              </w:r>
            </w:hyperlink>
          </w:p>
        </w:tc>
        <w:tc>
          <w:tcPr>
            <w:tcW w:w="11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7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2.2</w:t>
            </w:r>
          </w:p>
        </w:tc>
        <w:tc>
          <w:tcPr>
            <w:tcW w:w="5300" w:type="dxa"/>
            <w:vAlign w:val="bottom"/>
            <w:gridSpan w:val="21"/>
          </w:tcPr>
          <w:p>
            <w:pPr>
              <w:spacing w:after="0" w:line="186" w:lineRule="exact"/>
              <w:rPr>
                <w:rFonts w:ascii="Arial" w:cs="Arial" w:eastAsia="Arial" w:hAnsi="Arial"/>
                <w:sz w:val="18"/>
                <w:szCs w:val="18"/>
                <w:color w:val="0000FF"/>
                <w:w w:val="98"/>
              </w:rPr>
            </w:pPr>
            <w:hyperlink r:id="rId118">
              <w:r>
                <w:rPr>
                  <w:rFonts w:ascii="Arial" w:cs="Arial" w:eastAsia="Arial" w:hAnsi="Arial"/>
                  <w:sz w:val="18"/>
                  <w:szCs w:val="18"/>
                  <w:color w:val="0000FF"/>
                  <w:w w:val="98"/>
                </w:rPr>
                <w:t>Tax  Sharing  Agreement  among  IAC/InterActiveCorp,  HSN,  Inc.,</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2"/>
              </w:rPr>
              <w:t>Exhibit 10.2 to the Registrant's Current Report on Form 8-K (No.</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5"/>
          </w:tcPr>
          <w:p>
            <w:pPr>
              <w:spacing w:after="0" w:line="152" w:lineRule="exact"/>
              <w:rPr>
                <w:rFonts w:ascii="Arial" w:cs="Arial" w:eastAsia="Arial" w:hAnsi="Arial"/>
                <w:sz w:val="17"/>
                <w:szCs w:val="17"/>
                <w:color w:val="0000FF"/>
              </w:rPr>
            </w:pPr>
            <w:hyperlink r:id="rId118">
              <w:r>
                <w:rPr>
                  <w:rFonts w:ascii="Arial" w:cs="Arial" w:eastAsia="Arial" w:hAnsi="Arial"/>
                  <w:sz w:val="17"/>
                  <w:szCs w:val="17"/>
                  <w:color w:val="0000FF"/>
                </w:rPr>
                <w:t>Interval Leisure Group, Inc., Ticketmaster and Tree.com, Inc.,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Pr>
          <w:p>
            <w:pPr>
              <w:spacing w:after="0" w:line="152" w:lineRule="exact"/>
              <w:rPr>
                <w:sz w:val="20"/>
                <w:szCs w:val="20"/>
                <w:color w:val="auto"/>
              </w:rPr>
            </w:pPr>
            <w:r>
              <w:rPr>
                <w:rFonts w:ascii="Arial" w:cs="Arial" w:eastAsia="Arial" w:hAnsi="Arial"/>
                <w:sz w:val="17"/>
                <w:szCs w:val="17"/>
                <w:color w:val="auto"/>
              </w:rPr>
              <w:t>001-34063) filed August 25, 2008</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20" w:type="dxa"/>
            <w:vAlign w:val="bottom"/>
            <w:tcBorders>
              <w:bottom w:val="single" w:sz="8" w:color="0000FF"/>
            </w:tcBorders>
            <w:gridSpan w:val="3"/>
          </w:tcPr>
          <w:p>
            <w:pPr>
              <w:spacing w:after="0" w:line="152" w:lineRule="exact"/>
              <w:rPr>
                <w:rFonts w:ascii="Arial" w:cs="Arial" w:eastAsia="Arial" w:hAnsi="Arial"/>
                <w:sz w:val="17"/>
                <w:szCs w:val="17"/>
                <w:color w:val="0000FF"/>
                <w:w w:val="93"/>
              </w:rPr>
            </w:pPr>
            <w:hyperlink r:id="rId118">
              <w:r>
                <w:rPr>
                  <w:rFonts w:ascii="Arial" w:cs="Arial" w:eastAsia="Arial" w:hAnsi="Arial"/>
                  <w:sz w:val="17"/>
                  <w:szCs w:val="17"/>
                  <w:color w:val="0000FF"/>
                  <w:w w:val="93"/>
                </w:rPr>
                <w:t>August 20, 2008.</w:t>
              </w:r>
            </w:hyperlink>
          </w:p>
        </w:tc>
        <w:tc>
          <w:tcPr>
            <w:tcW w:w="6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2.3</w:t>
            </w:r>
          </w:p>
        </w:tc>
        <w:tc>
          <w:tcPr>
            <w:tcW w:w="5300" w:type="dxa"/>
            <w:vAlign w:val="bottom"/>
            <w:gridSpan w:val="21"/>
            <w:shd w:val="clear" w:color="auto" w:fill="CCEEFF"/>
          </w:tcPr>
          <w:p>
            <w:pPr>
              <w:spacing w:after="0" w:line="195"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Employee Matters Agreement among IAC/InterActiveCorp, HSN, Inc.,</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Exhibit 10.3 to the Registrant's Current Report on Form 8-K (No.</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280" w:type="dxa"/>
            <w:vAlign w:val="bottom"/>
            <w:tcBorders>
              <w:top w:val="single" w:sz="8" w:color="0000FF"/>
            </w:tcBorders>
            <w:gridSpan w:val="20"/>
            <w:shd w:val="clear" w:color="auto" w:fill="CCEEFF"/>
          </w:tcPr>
          <w:p>
            <w:pPr>
              <w:spacing w:after="0" w:line="152" w:lineRule="exact"/>
              <w:rPr>
                <w:rFonts w:ascii="Arial" w:cs="Arial" w:eastAsia="Arial" w:hAnsi="Arial"/>
                <w:sz w:val="17"/>
                <w:szCs w:val="17"/>
                <w:color w:val="0000FF"/>
              </w:rPr>
            </w:pPr>
            <w:hyperlink r:id="rId119">
              <w:r>
                <w:rPr>
                  <w:rFonts w:ascii="Arial" w:cs="Arial" w:eastAsia="Arial" w:hAnsi="Arial"/>
                  <w:sz w:val="17"/>
                  <w:szCs w:val="17"/>
                  <w:color w:val="0000FF"/>
                </w:rPr>
                <w:t>Interval Leisure Group, Inc., Ticketmaster and Tree.com, Inc., dated</w:t>
              </w:r>
            </w:hyperlink>
          </w:p>
        </w:tc>
        <w:tc>
          <w:tcPr>
            <w:tcW w:w="20" w:type="dxa"/>
            <w:vAlign w:val="bottom"/>
            <w:tcBorders>
              <w:top w:val="single" w:sz="8" w:color="CCEEFF"/>
            </w:tcBorders>
            <w:shd w:val="clear" w:color="auto" w:fill="CCEEFF"/>
          </w:tcPr>
          <w:p>
            <w:pPr>
              <w:spacing w:after="0"/>
              <w:rPr>
                <w:sz w:val="13"/>
                <w:szCs w:val="13"/>
                <w:color w:val="auto"/>
              </w:rPr>
            </w:pPr>
          </w:p>
        </w:tc>
        <w:tc>
          <w:tcPr>
            <w:tcW w:w="47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001-34063) filed August 25, 2008</w:t>
            </w:r>
          </w:p>
        </w:tc>
        <w:tc>
          <w:tcPr>
            <w:tcW w:w="0" w:type="dxa"/>
            <w:vAlign w:val="bottom"/>
          </w:tcPr>
          <w:p>
            <w:pPr>
              <w:spacing w:after="0"/>
              <w:rPr>
                <w:sz w:val="1"/>
                <w:szCs w:val="1"/>
                <w:color w:val="auto"/>
              </w:rPr>
            </w:pPr>
          </w:p>
        </w:tc>
      </w:tr>
      <w:tr>
        <w:trPr>
          <w:trHeight w:val="172"/>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0000FF"/>
              <w:bottom w:val="single" w:sz="8" w:color="0000FF"/>
            </w:tcBorders>
            <w:gridSpan w:val="3"/>
            <w:shd w:val="clear" w:color="auto" w:fill="CCEEFF"/>
          </w:tcPr>
          <w:p>
            <w:pPr>
              <w:spacing w:after="0" w:line="152" w:lineRule="exact"/>
              <w:rPr>
                <w:rFonts w:ascii="Arial" w:cs="Arial" w:eastAsia="Arial" w:hAnsi="Arial"/>
                <w:sz w:val="17"/>
                <w:szCs w:val="17"/>
                <w:color w:val="0000FF"/>
                <w:w w:val="93"/>
              </w:rPr>
            </w:pPr>
            <w:hyperlink r:id="rId119">
              <w:r>
                <w:rPr>
                  <w:rFonts w:ascii="Arial" w:cs="Arial" w:eastAsia="Arial" w:hAnsi="Arial"/>
                  <w:sz w:val="17"/>
                  <w:szCs w:val="17"/>
                  <w:color w:val="0000FF"/>
                  <w:w w:val="93"/>
                </w:rPr>
                <w:t>August 20, 2008.</w:t>
              </w:r>
            </w:hyperlink>
          </w:p>
        </w:tc>
        <w:tc>
          <w:tcPr>
            <w:tcW w:w="6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114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7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2.4</w:t>
            </w:r>
          </w:p>
        </w:tc>
        <w:tc>
          <w:tcPr>
            <w:tcW w:w="5300" w:type="dxa"/>
            <w:vAlign w:val="bottom"/>
            <w:gridSpan w:val="21"/>
          </w:tcPr>
          <w:p>
            <w:pPr>
              <w:spacing w:after="0" w:line="18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Transition Services Agreement among IAC/InterActiveCorp, HSN, Inc.,</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2"/>
              </w:rPr>
              <w:t>Exhibit 10.4 to the Registrant's Current Report on Form 8-K (No.</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22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120">
              <w:r>
                <w:rPr>
                  <w:rFonts w:ascii="Arial" w:cs="Arial" w:eastAsia="Arial" w:hAnsi="Arial"/>
                  <w:sz w:val="17"/>
                  <w:szCs w:val="17"/>
                  <w:color w:val="0000FF"/>
                </w:rPr>
                <w:t>Interval Leisure Group, Inc., Ticketmaster and Tree.com, Inc., dated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740" w:type="dxa"/>
            <w:vAlign w:val="bottom"/>
          </w:tcPr>
          <w:p>
            <w:pPr>
              <w:spacing w:after="0" w:line="152" w:lineRule="exact"/>
              <w:rPr>
                <w:sz w:val="20"/>
                <w:szCs w:val="20"/>
                <w:color w:val="auto"/>
              </w:rPr>
            </w:pPr>
            <w:r>
              <w:rPr>
                <w:rFonts w:ascii="Arial" w:cs="Arial" w:eastAsia="Arial" w:hAnsi="Arial"/>
                <w:sz w:val="17"/>
                <w:szCs w:val="17"/>
                <w:color w:val="auto"/>
              </w:rPr>
              <w:t>001-34063) filed August 25, 2008</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2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3"/>
              </w:rPr>
            </w:pPr>
            <w:hyperlink r:id="rId120">
              <w:r>
                <w:rPr>
                  <w:rFonts w:ascii="Arial" w:cs="Arial" w:eastAsia="Arial" w:hAnsi="Arial"/>
                  <w:sz w:val="17"/>
                  <w:szCs w:val="17"/>
                  <w:color w:val="0000FF"/>
                  <w:w w:val="93"/>
                </w:rPr>
                <w:t>August 20, 2008.</w:t>
              </w:r>
            </w:hyperlink>
          </w:p>
        </w:tc>
        <w:tc>
          <w:tcPr>
            <w:tcW w:w="680" w:type="dxa"/>
            <w:vAlign w:val="bottom"/>
            <w:tcBorders>
              <w:top w:val="single" w:sz="8" w:color="0000FF"/>
            </w:tcBorders>
            <w:gridSpan w:val="2"/>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2.5</w:t>
            </w:r>
          </w:p>
        </w:tc>
        <w:tc>
          <w:tcPr>
            <w:tcW w:w="640" w:type="dxa"/>
            <w:vAlign w:val="bottom"/>
            <w:shd w:val="clear" w:color="auto" w:fill="CCEEFF"/>
          </w:tcPr>
          <w:p>
            <w:pPr>
              <w:spacing w:after="0" w:line="195" w:lineRule="exact"/>
              <w:rPr>
                <w:rFonts w:ascii="Arial" w:cs="Arial" w:eastAsia="Arial" w:hAnsi="Arial"/>
                <w:sz w:val="18"/>
                <w:szCs w:val="18"/>
                <w:color w:val="0000FF"/>
              </w:rPr>
            </w:pPr>
            <w:hyperlink r:id="rId121">
              <w:r>
                <w:rPr>
                  <w:rFonts w:ascii="Arial" w:cs="Arial" w:eastAsia="Arial" w:hAnsi="Arial"/>
                  <w:sz w:val="18"/>
                  <w:szCs w:val="18"/>
                  <w:color w:val="0000FF"/>
                </w:rPr>
                <w:t>Spinco</w:t>
              </w:r>
            </w:hyperlink>
          </w:p>
        </w:tc>
        <w:tc>
          <w:tcPr>
            <w:tcW w:w="1260" w:type="dxa"/>
            <w:vAlign w:val="bottom"/>
            <w:gridSpan w:val="4"/>
            <w:shd w:val="clear" w:color="auto" w:fill="CCEEFF"/>
          </w:tcPr>
          <w:p>
            <w:pPr>
              <w:ind w:left="140"/>
              <w:spacing w:after="0" w:line="195" w:lineRule="exact"/>
              <w:rPr>
                <w:rFonts w:ascii="Arial" w:cs="Arial" w:eastAsia="Arial" w:hAnsi="Arial"/>
                <w:sz w:val="18"/>
                <w:szCs w:val="18"/>
                <w:color w:val="0000FF"/>
              </w:rPr>
            </w:pPr>
            <w:hyperlink r:id="rId121">
              <w:r>
                <w:rPr>
                  <w:rFonts w:ascii="Arial" w:cs="Arial" w:eastAsia="Arial" w:hAnsi="Arial"/>
                  <w:sz w:val="18"/>
                  <w:szCs w:val="18"/>
                  <w:color w:val="0000FF"/>
                </w:rPr>
                <w:t>Assignment</w:t>
              </w:r>
            </w:hyperlink>
          </w:p>
        </w:tc>
        <w:tc>
          <w:tcPr>
            <w:tcW w:w="400" w:type="dxa"/>
            <w:vAlign w:val="bottom"/>
            <w:gridSpan w:val="2"/>
            <w:shd w:val="clear" w:color="auto" w:fill="CCEEFF"/>
          </w:tcPr>
          <w:p>
            <w:pPr>
              <w:spacing w:after="0" w:line="195" w:lineRule="exact"/>
              <w:rPr>
                <w:rFonts w:ascii="Arial" w:cs="Arial" w:eastAsia="Arial" w:hAnsi="Arial"/>
                <w:sz w:val="18"/>
                <w:szCs w:val="18"/>
                <w:color w:val="0000FF"/>
              </w:rPr>
            </w:pPr>
            <w:hyperlink r:id="rId121">
              <w:r>
                <w:rPr>
                  <w:rFonts w:ascii="Arial" w:cs="Arial" w:eastAsia="Arial" w:hAnsi="Arial"/>
                  <w:sz w:val="18"/>
                  <w:szCs w:val="18"/>
                  <w:color w:val="0000FF"/>
                </w:rPr>
                <w:t>and</w:t>
              </w:r>
            </w:hyperlink>
          </w:p>
        </w:tc>
        <w:tc>
          <w:tcPr>
            <w:tcW w:w="1140" w:type="dxa"/>
            <w:vAlign w:val="bottom"/>
            <w:shd w:val="clear" w:color="auto" w:fill="CCEEFF"/>
          </w:tcPr>
          <w:p>
            <w:pPr>
              <w:ind w:left="140"/>
              <w:spacing w:after="0" w:line="195" w:lineRule="exact"/>
              <w:rPr>
                <w:rFonts w:ascii="Arial" w:cs="Arial" w:eastAsia="Arial" w:hAnsi="Arial"/>
                <w:sz w:val="18"/>
                <w:szCs w:val="18"/>
                <w:color w:val="0000FF"/>
              </w:rPr>
            </w:pPr>
            <w:hyperlink r:id="rId121">
              <w:r>
                <w:rPr>
                  <w:rFonts w:ascii="Arial" w:cs="Arial" w:eastAsia="Arial" w:hAnsi="Arial"/>
                  <w:sz w:val="18"/>
                  <w:szCs w:val="18"/>
                  <w:color w:val="0000FF"/>
                </w:rPr>
                <w:t>Assumption</w:t>
              </w:r>
            </w:hyperlink>
          </w:p>
        </w:tc>
        <w:tc>
          <w:tcPr>
            <w:tcW w:w="1140" w:type="dxa"/>
            <w:vAlign w:val="bottom"/>
            <w:gridSpan w:val="3"/>
            <w:shd w:val="clear" w:color="auto" w:fill="CCEEFF"/>
          </w:tcPr>
          <w:p>
            <w:pPr>
              <w:jc w:val="right"/>
              <w:ind w:right="200"/>
              <w:spacing w:after="0" w:line="195" w:lineRule="exact"/>
              <w:rPr>
                <w:rFonts w:ascii="Arial" w:cs="Arial" w:eastAsia="Arial" w:hAnsi="Arial"/>
                <w:sz w:val="18"/>
                <w:szCs w:val="18"/>
                <w:color w:val="0000FF"/>
              </w:rPr>
            </w:pPr>
            <w:hyperlink r:id="rId121">
              <w:r>
                <w:rPr>
                  <w:rFonts w:ascii="Arial" w:cs="Arial" w:eastAsia="Arial" w:hAnsi="Arial"/>
                  <w:sz w:val="18"/>
                  <w:szCs w:val="18"/>
                  <w:color w:val="0000FF"/>
                </w:rPr>
                <w:t>Agreement</w:t>
              </w:r>
            </w:hyperlink>
          </w:p>
        </w:tc>
        <w:tc>
          <w:tcPr>
            <w:tcW w:w="720" w:type="dxa"/>
            <w:vAlign w:val="bottom"/>
            <w:gridSpan w:val="10"/>
            <w:shd w:val="clear" w:color="auto" w:fill="CCEEFF"/>
          </w:tcPr>
          <w:p>
            <w:pPr>
              <w:ind w:left="80"/>
              <w:spacing w:after="0" w:line="195" w:lineRule="exact"/>
              <w:rPr>
                <w:rFonts w:ascii="Arial" w:cs="Arial" w:eastAsia="Arial" w:hAnsi="Arial"/>
                <w:sz w:val="18"/>
                <w:szCs w:val="18"/>
                <w:color w:val="0000FF"/>
              </w:rPr>
            </w:pPr>
            <w:hyperlink r:id="rId121">
              <w:r>
                <w:rPr>
                  <w:rFonts w:ascii="Arial" w:cs="Arial" w:eastAsia="Arial" w:hAnsi="Arial"/>
                  <w:sz w:val="18"/>
                  <w:szCs w:val="18"/>
                  <w:color w:val="0000FF"/>
                </w:rPr>
                <w:t>among</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Exhibit 10.6 to the Registrant's Current Report on Form 8-K (No.</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160" w:type="dxa"/>
            <w:vAlign w:val="bottom"/>
            <w:tcBorders>
              <w:top w:val="single" w:sz="8" w:color="0000FF"/>
              <w:bottom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121">
              <w:r>
                <w:rPr>
                  <w:rFonts w:ascii="Arial" w:cs="Arial" w:eastAsia="Arial" w:hAnsi="Arial"/>
                  <w:sz w:val="17"/>
                  <w:szCs w:val="17"/>
                  <w:color w:val="0000FF"/>
                </w:rPr>
                <w:t>IAC/InterActiveCorp, Tree.com, Inc., Liberty Media Corporation and</w:t>
              </w:r>
            </w:hyperlink>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740" w:type="dxa"/>
            <w:vAlign w:val="bottom"/>
            <w:tcBorders>
              <w:top w:val="single" w:sz="8" w:color="CCEEFF"/>
              <w:bottom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001-34063) filed August 25, 2008</w:t>
            </w: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spacing w:after="0"/>
              <w:rPr>
                <w:sz w:val="13"/>
                <w:szCs w:val="13"/>
                <w:color w:val="auto"/>
              </w:rPr>
            </w:pPr>
          </w:p>
        </w:tc>
        <w:tc>
          <w:tcPr>
            <w:tcW w:w="4580" w:type="dxa"/>
            <w:vAlign w:val="bottom"/>
            <w:gridSpan w:val="11"/>
            <w:shd w:val="clear" w:color="auto" w:fill="CCEEFF"/>
          </w:tcPr>
          <w:p>
            <w:pPr>
              <w:spacing w:after="0" w:line="152" w:lineRule="exact"/>
              <w:rPr>
                <w:rFonts w:ascii="Arial" w:cs="Arial" w:eastAsia="Arial" w:hAnsi="Arial"/>
                <w:sz w:val="17"/>
                <w:szCs w:val="17"/>
                <w:color w:val="0000FF"/>
              </w:rPr>
            </w:pPr>
            <w:hyperlink r:id="rId121">
              <w:r>
                <w:rPr>
                  <w:rFonts w:ascii="Arial" w:cs="Arial" w:eastAsia="Arial" w:hAnsi="Arial"/>
                  <w:sz w:val="17"/>
                  <w:szCs w:val="17"/>
                  <w:color w:val="0000FF"/>
                </w:rPr>
                <w:t>Liberty USA Holdings, LLC, dated August 20, 2008.</w:t>
              </w:r>
            </w:hyperlink>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2.6</w:t>
            </w:r>
          </w:p>
        </w:tc>
        <w:tc>
          <w:tcPr>
            <w:tcW w:w="5300" w:type="dxa"/>
            <w:vAlign w:val="bottom"/>
            <w:tcBorders>
              <w:bottom w:val="single" w:sz="8" w:color="0000FF"/>
            </w:tcBorders>
            <w:gridSpan w:val="21"/>
          </w:tcPr>
          <w:p>
            <w:pPr>
              <w:spacing w:after="0" w:line="186" w:lineRule="exact"/>
              <w:rPr>
                <w:rFonts w:ascii="Arial" w:cs="Arial" w:eastAsia="Arial" w:hAnsi="Arial"/>
                <w:sz w:val="18"/>
                <w:szCs w:val="18"/>
                <w:color w:val="0000FF"/>
              </w:rPr>
            </w:pPr>
            <w:hyperlink r:id="rId122">
              <w:r>
                <w:rPr>
                  <w:rFonts w:ascii="Arial" w:cs="Arial" w:eastAsia="Arial" w:hAnsi="Arial"/>
                  <w:sz w:val="18"/>
                  <w:szCs w:val="18"/>
                  <w:color w:val="0000FF"/>
                </w:rPr>
                <w:t>Asset Purchase Agreement among Home Loan Center, Inc., First</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2"/>
              </w:rPr>
              <w:t>Exhibit 2.1 to Registrant's Current Report on Form 8-K (No. 001-</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300" w:type="dxa"/>
            <w:vAlign w:val="bottom"/>
            <w:gridSpan w:val="21"/>
          </w:tcPr>
          <w:p>
            <w:pPr>
              <w:spacing w:after="0" w:line="152" w:lineRule="exact"/>
              <w:rPr>
                <w:rFonts w:ascii="Arial" w:cs="Arial" w:eastAsia="Arial" w:hAnsi="Arial"/>
                <w:sz w:val="17"/>
                <w:szCs w:val="17"/>
                <w:color w:val="0000FF"/>
              </w:rPr>
            </w:pPr>
            <w:hyperlink r:id="rId122">
              <w:r>
                <w:rPr>
                  <w:rFonts w:ascii="Arial" w:cs="Arial" w:eastAsia="Arial" w:hAnsi="Arial"/>
                  <w:sz w:val="17"/>
                  <w:szCs w:val="17"/>
                  <w:color w:val="0000FF"/>
                </w:rPr>
                <w:t>Residential Mortgage Network, Inc. dba SurePoint Lending, and the</w:t>
              </w:r>
            </w:hyperlink>
          </w:p>
        </w:tc>
        <w:tc>
          <w:tcPr>
            <w:tcW w:w="4740" w:type="dxa"/>
            <w:vAlign w:val="bottom"/>
          </w:tcPr>
          <w:p>
            <w:pPr>
              <w:spacing w:after="0" w:line="152" w:lineRule="exact"/>
              <w:rPr>
                <w:sz w:val="20"/>
                <w:szCs w:val="20"/>
                <w:color w:val="auto"/>
              </w:rPr>
            </w:pPr>
            <w:r>
              <w:rPr>
                <w:rFonts w:ascii="Arial" w:cs="Arial" w:eastAsia="Arial" w:hAnsi="Arial"/>
                <w:sz w:val="17"/>
                <w:szCs w:val="17"/>
                <w:color w:val="auto"/>
              </w:rPr>
              <w:t>34063) filed November 16, 2010</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20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122">
              <w:r>
                <w:rPr>
                  <w:rFonts w:ascii="Arial" w:cs="Arial" w:eastAsia="Arial" w:hAnsi="Arial"/>
                  <w:sz w:val="17"/>
                  <w:szCs w:val="17"/>
                  <w:color w:val="0000FF"/>
                </w:rPr>
                <w:t>shareholders of First Residential Mortgage Network named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900" w:type="dxa"/>
            <w:vAlign w:val="bottom"/>
            <w:tcBorders>
              <w:top w:val="single" w:sz="8" w:color="0000FF"/>
            </w:tcBorders>
            <w:gridSpan w:val="5"/>
          </w:tcPr>
          <w:p>
            <w:pPr>
              <w:spacing w:after="0" w:line="152" w:lineRule="exact"/>
              <w:rPr>
                <w:rFonts w:ascii="Arial" w:cs="Arial" w:eastAsia="Arial" w:hAnsi="Arial"/>
                <w:sz w:val="17"/>
                <w:szCs w:val="17"/>
                <w:color w:val="0000FF"/>
                <w:w w:val="93"/>
              </w:rPr>
            </w:pPr>
            <w:hyperlink r:id="rId122">
              <w:r>
                <w:rPr>
                  <w:rFonts w:ascii="Arial" w:cs="Arial" w:eastAsia="Arial" w:hAnsi="Arial"/>
                  <w:sz w:val="17"/>
                  <w:szCs w:val="17"/>
                  <w:color w:val="0000FF"/>
                  <w:w w:val="93"/>
                </w:rPr>
                <w:t>dated November 15, 2010.</w:t>
              </w:r>
            </w:hyperlink>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2.7</w:t>
            </w:r>
          </w:p>
        </w:tc>
        <w:tc>
          <w:tcPr>
            <w:tcW w:w="5300" w:type="dxa"/>
            <w:vAlign w:val="bottom"/>
            <w:gridSpan w:val="21"/>
            <w:shd w:val="clear" w:color="auto" w:fill="CCEEFF"/>
          </w:tcPr>
          <w:p>
            <w:pPr>
              <w:spacing w:after="0" w:line="195"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First Amendment to Asset Purchase Agreement among HLC, SurePoint</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Exhibit 2.1 to the Registrant's Current Report on Form 8-K filed</w:t>
            </w:r>
          </w:p>
        </w:tc>
        <w:tc>
          <w:tcPr>
            <w:tcW w:w="0" w:type="dxa"/>
            <w:vAlign w:val="bottom"/>
          </w:tcPr>
          <w:p>
            <w:pPr>
              <w:spacing w:after="0"/>
              <w:rPr>
                <w:sz w:val="1"/>
                <w:szCs w:val="1"/>
                <w:color w:val="auto"/>
              </w:rPr>
            </w:pPr>
          </w:p>
        </w:tc>
      </w:tr>
      <w:tr>
        <w:trPr>
          <w:trHeight w:val="172"/>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4080" w:type="dxa"/>
            <w:vAlign w:val="bottom"/>
            <w:tcBorders>
              <w:top w:val="single" w:sz="8" w:color="0000FF"/>
              <w:bottom w:val="single" w:sz="8" w:color="0000FF"/>
            </w:tcBorders>
            <w:gridSpan w:val="10"/>
            <w:shd w:val="clear" w:color="auto" w:fill="CCEEFF"/>
          </w:tcPr>
          <w:p>
            <w:pPr>
              <w:spacing w:after="0" w:line="152" w:lineRule="exact"/>
              <w:rPr>
                <w:rFonts w:ascii="Arial" w:cs="Arial" w:eastAsia="Arial" w:hAnsi="Arial"/>
                <w:sz w:val="17"/>
                <w:szCs w:val="17"/>
                <w:color w:val="0000FF"/>
                <w:w w:val="92"/>
              </w:rPr>
            </w:pPr>
            <w:hyperlink r:id="rId123">
              <w:r>
                <w:rPr>
                  <w:rFonts w:ascii="Arial" w:cs="Arial" w:eastAsia="Arial" w:hAnsi="Arial"/>
                  <w:sz w:val="17"/>
                  <w:szCs w:val="17"/>
                  <w:color w:val="0000FF"/>
                  <w:w w:val="92"/>
                </w:rPr>
                <w:t>and the shareholders party thereto, dated March 14, 2011.</w:t>
              </w:r>
            </w:hyperlink>
          </w:p>
        </w:tc>
        <w:tc>
          <w:tcPr>
            <w:tcW w:w="50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740" w:type="dxa"/>
            <w:vAlign w:val="bottom"/>
            <w:tcBorders>
              <w:top w:val="single" w:sz="8" w:color="CCEEFF"/>
              <w:bottom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March 21, 2011</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2.8</w:t>
            </w:r>
          </w:p>
        </w:tc>
        <w:tc>
          <w:tcPr>
            <w:tcW w:w="5300" w:type="dxa"/>
            <w:vAlign w:val="bottom"/>
            <w:gridSpan w:val="21"/>
          </w:tcPr>
          <w:p>
            <w:pPr>
              <w:spacing w:after="0" w:line="186" w:lineRule="exact"/>
              <w:rPr>
                <w:rFonts w:ascii="Arial" w:cs="Arial" w:eastAsia="Arial" w:hAnsi="Arial"/>
                <w:sz w:val="18"/>
                <w:szCs w:val="18"/>
                <w:color w:val="0000FF"/>
                <w:w w:val="96"/>
              </w:rPr>
            </w:pPr>
            <w:hyperlink r:id="rId124">
              <w:r>
                <w:rPr>
                  <w:rFonts w:ascii="Arial" w:cs="Arial" w:eastAsia="Arial" w:hAnsi="Arial"/>
                  <w:sz w:val="18"/>
                  <w:szCs w:val="18"/>
                  <w:color w:val="0000FF"/>
                  <w:w w:val="96"/>
                </w:rPr>
                <w:t>Second  Amendment  to  Asset  Purchase  Agreement  among  HLC,</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4"/>
              </w:rPr>
              <w:t>Exhibit 2.2 to the Registrant's Current Report on Form 8-K filed</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w w:val="92"/>
              </w:rPr>
            </w:pPr>
            <w:hyperlink r:id="rId124">
              <w:r>
                <w:rPr>
                  <w:rFonts w:ascii="Arial" w:cs="Arial" w:eastAsia="Arial" w:hAnsi="Arial"/>
                  <w:sz w:val="17"/>
                  <w:szCs w:val="17"/>
                  <w:color w:val="0000FF"/>
                  <w:w w:val="92"/>
                </w:rPr>
                <w:t>SurePoint and the shareholders party thereto, dated March 15, 2011.</w:t>
              </w:r>
            </w:hyperlink>
          </w:p>
        </w:tc>
        <w:tc>
          <w:tcPr>
            <w:tcW w:w="420" w:type="dxa"/>
            <w:vAlign w:val="bottom"/>
            <w:tcBorders>
              <w:top w:val="single" w:sz="8" w:color="0000FF"/>
            </w:tcBorders>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4740" w:type="dxa"/>
            <w:vAlign w:val="bottom"/>
          </w:tcPr>
          <w:p>
            <w:pPr>
              <w:spacing w:after="0" w:line="152" w:lineRule="exact"/>
              <w:rPr>
                <w:sz w:val="20"/>
                <w:szCs w:val="20"/>
                <w:color w:val="auto"/>
              </w:rPr>
            </w:pPr>
            <w:r>
              <w:rPr>
                <w:rFonts w:ascii="Arial" w:cs="Arial" w:eastAsia="Arial" w:hAnsi="Arial"/>
                <w:sz w:val="17"/>
                <w:szCs w:val="17"/>
                <w:color w:val="auto"/>
              </w:rPr>
              <w:t>March 21, 2011</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2.9</w:t>
            </w:r>
          </w:p>
        </w:tc>
        <w:tc>
          <w:tcPr>
            <w:tcW w:w="5300" w:type="dxa"/>
            <w:vAlign w:val="bottom"/>
            <w:gridSpan w:val="21"/>
            <w:shd w:val="clear" w:color="auto" w:fill="CCEEFF"/>
          </w:tcPr>
          <w:p>
            <w:pPr>
              <w:spacing w:after="0" w:line="195"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Asset Purchase Agreement among Tree.com, Inc., Home Loan Center,</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Exhibit 2.1 to the Registrant's Current Report on Form 8-K filed</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0000FF"/>
            </w:tcBorders>
            <w:gridSpan w:val="13"/>
            <w:shd w:val="clear" w:color="auto" w:fill="CCEEFF"/>
          </w:tcPr>
          <w:p>
            <w:pPr>
              <w:spacing w:after="0" w:line="152" w:lineRule="exact"/>
              <w:rPr>
                <w:rFonts w:ascii="Arial" w:cs="Arial" w:eastAsia="Arial" w:hAnsi="Arial"/>
                <w:sz w:val="17"/>
                <w:szCs w:val="17"/>
                <w:color w:val="0000FF"/>
                <w:w w:val="99"/>
              </w:rPr>
            </w:pPr>
            <w:hyperlink r:id="rId125">
              <w:r>
                <w:rPr>
                  <w:rFonts w:ascii="Arial" w:cs="Arial" w:eastAsia="Arial" w:hAnsi="Arial"/>
                  <w:sz w:val="17"/>
                  <w:szCs w:val="17"/>
                  <w:color w:val="0000FF"/>
                  <w:w w:val="99"/>
                </w:rPr>
                <w:t>Inc., LendingTree, LLC, HLC Escrow, Inc. and Discover Bank, dated</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7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May 16, 2011</w:t>
            </w:r>
          </w:p>
        </w:tc>
        <w:tc>
          <w:tcPr>
            <w:tcW w:w="0" w:type="dxa"/>
            <w:vAlign w:val="bottom"/>
          </w:tcPr>
          <w:p>
            <w:pPr>
              <w:spacing w:after="0"/>
              <w:rPr>
                <w:sz w:val="1"/>
                <w:szCs w:val="1"/>
                <w:color w:val="auto"/>
              </w:rPr>
            </w:pPr>
          </w:p>
        </w:tc>
      </w:tr>
      <w:tr>
        <w:trPr>
          <w:trHeight w:val="172"/>
        </w:trPr>
        <w:tc>
          <w:tcPr>
            <w:tcW w:w="12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0000FF"/>
            </w:tcBorders>
            <w:gridSpan w:val="5"/>
            <w:shd w:val="clear" w:color="auto" w:fill="CCEEFF"/>
          </w:tcPr>
          <w:p>
            <w:pPr>
              <w:spacing w:after="0" w:line="152" w:lineRule="exact"/>
              <w:rPr>
                <w:rFonts w:ascii="Arial" w:cs="Arial" w:eastAsia="Arial" w:hAnsi="Arial"/>
                <w:sz w:val="17"/>
                <w:szCs w:val="17"/>
                <w:color w:val="0000FF"/>
              </w:rPr>
            </w:pPr>
            <w:hyperlink r:id="rId125">
              <w:r>
                <w:rPr>
                  <w:rFonts w:ascii="Arial" w:cs="Arial" w:eastAsia="Arial" w:hAnsi="Arial"/>
                  <w:sz w:val="17"/>
                  <w:szCs w:val="17"/>
                  <w:color w:val="0000FF"/>
                </w:rPr>
                <w:t>May 12, 2011**</w:t>
              </w:r>
            </w:hyperlink>
          </w:p>
        </w:tc>
        <w:tc>
          <w:tcPr>
            <w:tcW w:w="10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14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50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7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47"/>
        </w:trPr>
        <w:tc>
          <w:tcPr>
            <w:tcW w:w="120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7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92"/>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20" w:type="dxa"/>
            <w:vAlign w:val="bottom"/>
            <w:gridSpan w:val="32"/>
            <w:vMerge w:val="restart"/>
          </w:tcPr>
          <w:p>
            <w:pPr>
              <w:ind w:left="200"/>
              <w:spacing w:after="0"/>
              <w:rPr>
                <w:sz w:val="20"/>
                <w:szCs w:val="20"/>
                <w:color w:val="auto"/>
              </w:rPr>
            </w:pPr>
            <w:r>
              <w:rPr>
                <w:rFonts w:ascii="Arial" w:cs="Arial" w:eastAsia="Arial" w:hAnsi="Arial"/>
                <w:sz w:val="18"/>
                <w:szCs w:val="18"/>
                <w:b w:val="1"/>
                <w:bCs w:val="1"/>
                <w:color w:val="auto"/>
              </w:rPr>
              <w:t>Description</w:t>
            </w:r>
          </w:p>
        </w:tc>
        <w:tc>
          <w:tcPr>
            <w:tcW w:w="458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5"/>
        </w:trPr>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32"/>
            <w:vMerge w:val="continue"/>
          </w:tcPr>
          <w:p>
            <w:pPr>
              <w:spacing w:after="0"/>
              <w:rPr>
                <w:sz w:val="19"/>
                <w:szCs w:val="19"/>
                <w:color w:val="auto"/>
              </w:rPr>
            </w:pPr>
          </w:p>
        </w:tc>
        <w:tc>
          <w:tcPr>
            <w:tcW w:w="4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00" w:type="dxa"/>
            <w:vAlign w:val="bottom"/>
          </w:tcPr>
          <w:p>
            <w:pPr>
              <w:jc w:val="right"/>
              <w:ind w:right="92"/>
              <w:spacing w:after="0" w:line="179" w:lineRule="exact"/>
              <w:rPr>
                <w:sz w:val="20"/>
                <w:szCs w:val="20"/>
                <w:color w:val="auto"/>
              </w:rPr>
            </w:pPr>
            <w:r>
              <w:rPr>
                <w:rFonts w:ascii="Arial" w:cs="Arial" w:eastAsia="Arial" w:hAnsi="Arial"/>
                <w:sz w:val="18"/>
                <w:szCs w:val="18"/>
                <w:color w:val="auto"/>
              </w:rPr>
              <w:t>2.10</w:t>
            </w:r>
          </w:p>
        </w:tc>
        <w:tc>
          <w:tcPr>
            <w:tcW w:w="5460" w:type="dxa"/>
            <w:vAlign w:val="bottom"/>
            <w:gridSpan w:val="35"/>
          </w:tcPr>
          <w:p>
            <w:pPr>
              <w:spacing w:after="0" w:line="179"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Asset Purchase Agreement among LendingTree, LLC, RealEstate.com,</w:t>
              </w:r>
            </w:hyperlink>
          </w:p>
        </w:tc>
        <w:tc>
          <w:tcPr>
            <w:tcW w:w="4580" w:type="dxa"/>
            <w:vAlign w:val="bottom"/>
          </w:tcPr>
          <w:p>
            <w:pPr>
              <w:spacing w:after="0" w:line="179" w:lineRule="exact"/>
              <w:rPr>
                <w:sz w:val="20"/>
                <w:szCs w:val="20"/>
                <w:color w:val="auto"/>
              </w:rPr>
            </w:pPr>
            <w:r>
              <w:rPr>
                <w:rFonts w:ascii="Arial" w:cs="Arial" w:eastAsia="Arial" w:hAnsi="Arial"/>
                <w:sz w:val="18"/>
                <w:szCs w:val="18"/>
                <w:color w:val="auto"/>
                <w:w w:val="91"/>
              </w:rPr>
              <w:t>Exhibit 2.1 to the Registrant's Current Report on Form 8-K filed</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4"/>
              </w:rPr>
            </w:pPr>
            <w:hyperlink r:id="rId128">
              <w:r>
                <w:rPr>
                  <w:rFonts w:ascii="Arial" w:cs="Arial" w:eastAsia="Arial" w:hAnsi="Arial"/>
                  <w:sz w:val="17"/>
                  <w:szCs w:val="17"/>
                  <w:color w:val="0000FF"/>
                  <w:w w:val="94"/>
                </w:rPr>
                <w:t>Inc. and Market Leader, Inc., dated September 15, 2011**</w:t>
              </w:r>
            </w:hyperlink>
          </w:p>
        </w:tc>
        <w:tc>
          <w:tcPr>
            <w:tcW w:w="122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Pr>
          <w:p>
            <w:pPr>
              <w:spacing w:after="0" w:line="152" w:lineRule="exact"/>
              <w:rPr>
                <w:sz w:val="20"/>
                <w:szCs w:val="20"/>
                <w:color w:val="auto"/>
              </w:rPr>
            </w:pPr>
            <w:r>
              <w:rPr>
                <w:rFonts w:ascii="Arial" w:cs="Arial" w:eastAsia="Arial" w:hAnsi="Arial"/>
                <w:sz w:val="17"/>
                <w:szCs w:val="17"/>
                <w:color w:val="auto"/>
              </w:rPr>
              <w:t>September 21, 2011</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2.11</w:t>
            </w:r>
          </w:p>
        </w:tc>
        <w:tc>
          <w:tcPr>
            <w:tcW w:w="5460" w:type="dxa"/>
            <w:vAlign w:val="bottom"/>
            <w:gridSpan w:val="35"/>
            <w:shd w:val="clear" w:color="auto" w:fill="CCEEFF"/>
          </w:tcPr>
          <w:p>
            <w:pPr>
              <w:spacing w:after="0" w:line="195" w:lineRule="exact"/>
              <w:rPr>
                <w:rFonts w:ascii="Arial" w:cs="Arial" w:eastAsia="Arial" w:hAnsi="Arial"/>
                <w:sz w:val="18"/>
                <w:szCs w:val="18"/>
                <w:color w:val="0000FF"/>
                <w:w w:val="96"/>
              </w:rPr>
            </w:pPr>
            <w:hyperlink r:id="rId129">
              <w:r>
                <w:rPr>
                  <w:rFonts w:ascii="Arial" w:cs="Arial" w:eastAsia="Arial" w:hAnsi="Arial"/>
                  <w:sz w:val="18"/>
                  <w:szCs w:val="18"/>
                  <w:color w:val="0000FF"/>
                  <w:w w:val="96"/>
                </w:rPr>
                <w:t>Amendment to Asset Purchase Agreement among Home Loan Center,</w:t>
              </w:r>
            </w:hyperlink>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Exhibit 2.1 to the Registrant's Current Report on Form 8-K filed</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140" w:type="dxa"/>
            <w:vAlign w:val="bottom"/>
            <w:tcBorders>
              <w:top w:val="single" w:sz="8" w:color="0000FF"/>
              <w:bottom w:val="single" w:sz="8" w:color="0000FF"/>
            </w:tcBorders>
            <w:gridSpan w:val="19"/>
            <w:shd w:val="clear" w:color="auto" w:fill="CCEEFF"/>
          </w:tcPr>
          <w:p>
            <w:pPr>
              <w:spacing w:after="0" w:line="152" w:lineRule="exact"/>
              <w:rPr>
                <w:rFonts w:ascii="Arial" w:cs="Arial" w:eastAsia="Arial" w:hAnsi="Arial"/>
                <w:sz w:val="17"/>
                <w:szCs w:val="17"/>
                <w:color w:val="0000FF"/>
              </w:rPr>
            </w:pPr>
            <w:hyperlink r:id="rId129">
              <w:r>
                <w:rPr>
                  <w:rFonts w:ascii="Arial" w:cs="Arial" w:eastAsia="Arial" w:hAnsi="Arial"/>
                  <w:sz w:val="17"/>
                  <w:szCs w:val="17"/>
                  <w:color w:val="0000FF"/>
                </w:rPr>
                <w:t>Inc., HLC Escrow, Inc., LendingTree, LLC, Tree.com, Inc., Discover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580" w:type="dxa"/>
            <w:vAlign w:val="bottom"/>
            <w:tcBorders>
              <w:top w:val="single" w:sz="8" w:color="CCEEFF"/>
              <w:bottom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February 8, 2012</w:t>
            </w: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spacing w:after="0"/>
              <w:rPr>
                <w:sz w:val="13"/>
                <w:szCs w:val="13"/>
                <w:color w:val="auto"/>
              </w:rPr>
            </w:pPr>
          </w:p>
        </w:tc>
        <w:tc>
          <w:tcPr>
            <w:tcW w:w="5200" w:type="dxa"/>
            <w:vAlign w:val="bottom"/>
            <w:gridSpan w:val="22"/>
            <w:shd w:val="clear" w:color="auto" w:fill="CCEEFF"/>
          </w:tcPr>
          <w:p>
            <w:pPr>
              <w:spacing w:after="0" w:line="152" w:lineRule="exact"/>
              <w:rPr>
                <w:rFonts w:ascii="Arial" w:cs="Arial" w:eastAsia="Arial" w:hAnsi="Arial"/>
                <w:sz w:val="17"/>
                <w:szCs w:val="17"/>
                <w:color w:val="0000FF"/>
              </w:rPr>
            </w:pPr>
            <w:hyperlink r:id="rId129">
              <w:r>
                <w:rPr>
                  <w:rFonts w:ascii="Arial" w:cs="Arial" w:eastAsia="Arial" w:hAnsi="Arial"/>
                  <w:sz w:val="17"/>
                  <w:szCs w:val="17"/>
                  <w:color w:val="0000FF"/>
                </w:rPr>
                <w:t>Bank and Discover Financial Services, dated February 7, 2012**</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140" w:type="dxa"/>
            <w:vAlign w:val="bottom"/>
            <w:tcBorders>
              <w:righ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2.12</w:t>
            </w:r>
          </w:p>
        </w:tc>
        <w:tc>
          <w:tcPr>
            <w:tcW w:w="5460" w:type="dxa"/>
            <w:vAlign w:val="bottom"/>
            <w:gridSpan w:val="35"/>
          </w:tcPr>
          <w:p>
            <w:pPr>
              <w:spacing w:after="0" w:line="186"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Membership Interest Purchase Agreement, dated as of November 16,</w:t>
              </w:r>
            </w:hyperlink>
          </w:p>
        </w:tc>
        <w:tc>
          <w:tcPr>
            <w:tcW w:w="4580" w:type="dxa"/>
            <w:vAlign w:val="bottom"/>
          </w:tcPr>
          <w:p>
            <w:pPr>
              <w:spacing w:after="0" w:line="186" w:lineRule="exact"/>
              <w:rPr>
                <w:sz w:val="20"/>
                <w:szCs w:val="20"/>
                <w:color w:val="auto"/>
              </w:rPr>
            </w:pPr>
            <w:r>
              <w:rPr>
                <w:rFonts w:ascii="Arial" w:cs="Arial" w:eastAsia="Arial" w:hAnsi="Arial"/>
                <w:sz w:val="18"/>
                <w:szCs w:val="18"/>
                <w:color w:val="auto"/>
                <w:w w:val="91"/>
              </w:rPr>
              <w:t>Exhibit 2.1 to the Registrant's Current Report on Form 8-K filed</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180" w:type="dxa"/>
            <w:vAlign w:val="bottom"/>
            <w:tcBorders>
              <w:top w:val="single" w:sz="8" w:color="0000FF"/>
            </w:tcBorders>
            <w:gridSpan w:val="21"/>
          </w:tcPr>
          <w:p>
            <w:pPr>
              <w:spacing w:after="0" w:line="152" w:lineRule="exact"/>
              <w:rPr>
                <w:rFonts w:ascii="Arial" w:cs="Arial" w:eastAsia="Arial" w:hAnsi="Arial"/>
                <w:sz w:val="17"/>
                <w:szCs w:val="17"/>
                <w:color w:val="0000FF"/>
                <w:w w:val="98"/>
              </w:rPr>
            </w:pPr>
            <w:hyperlink r:id="rId130">
              <w:r>
                <w:rPr>
                  <w:rFonts w:ascii="Arial" w:cs="Arial" w:eastAsia="Arial" w:hAnsi="Arial"/>
                  <w:sz w:val="17"/>
                  <w:szCs w:val="17"/>
                  <w:color w:val="0000FF"/>
                  <w:w w:val="98"/>
                </w:rPr>
                <w:t>2016, by and among LendingTree, LLC, Iron Horse Holdings, LLC, all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Pr>
          <w:p>
            <w:pPr>
              <w:spacing w:after="0" w:line="152" w:lineRule="exact"/>
              <w:rPr>
                <w:sz w:val="20"/>
                <w:szCs w:val="20"/>
                <w:color w:val="auto"/>
              </w:rPr>
            </w:pPr>
            <w:r>
              <w:rPr>
                <w:rFonts w:ascii="Arial" w:cs="Arial" w:eastAsia="Arial" w:hAnsi="Arial"/>
                <w:sz w:val="17"/>
                <w:szCs w:val="17"/>
                <w:color w:val="auto"/>
              </w:rPr>
              <w:t>November 22, 2016</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20"/>
          </w:tcPr>
          <w:p>
            <w:pPr>
              <w:spacing w:after="0" w:line="152" w:lineRule="exact"/>
              <w:rPr>
                <w:rFonts w:ascii="Arial" w:cs="Arial" w:eastAsia="Arial" w:hAnsi="Arial"/>
                <w:sz w:val="17"/>
                <w:szCs w:val="17"/>
                <w:color w:val="0000FF"/>
                <w:w w:val="95"/>
              </w:rPr>
            </w:pPr>
            <w:hyperlink r:id="rId130">
              <w:r>
                <w:rPr>
                  <w:rFonts w:ascii="Arial" w:cs="Arial" w:eastAsia="Arial" w:hAnsi="Arial"/>
                  <w:sz w:val="17"/>
                  <w:szCs w:val="17"/>
                  <w:color w:val="0000FF"/>
                  <w:w w:val="95"/>
                </w:rPr>
                <w:t>of the members of Iron Horse Holdings, LLC and Christopher J. Mettler.</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80" w:type="dxa"/>
            <w:vAlign w:val="bottom"/>
            <w:tcBorders>
              <w:bottom w:val="single" w:sz="8" w:color="0000FF"/>
            </w:tcBorders>
          </w:tcPr>
          <w:p>
            <w:pPr>
              <w:spacing w:after="0" w:line="152" w:lineRule="exact"/>
              <w:rPr>
                <w:rFonts w:ascii="Arial" w:cs="Arial" w:eastAsia="Arial" w:hAnsi="Arial"/>
                <w:sz w:val="17"/>
                <w:szCs w:val="17"/>
                <w:color w:val="0000FF"/>
              </w:rPr>
            </w:pPr>
            <w:hyperlink r:id="rId130">
              <w:r>
                <w:rPr>
                  <w:rFonts w:ascii="Arial" w:cs="Arial" w:eastAsia="Arial" w:hAnsi="Arial"/>
                  <w:sz w:val="17"/>
                  <w:szCs w:val="17"/>
                  <w:color w:val="0000FF"/>
                </w:rPr>
                <w:t>**</w:t>
              </w:r>
            </w:hyperlink>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2.13</w:t>
            </w:r>
          </w:p>
        </w:tc>
        <w:tc>
          <w:tcPr>
            <w:tcW w:w="5460" w:type="dxa"/>
            <w:vAlign w:val="bottom"/>
            <w:gridSpan w:val="35"/>
            <w:shd w:val="clear" w:color="auto" w:fill="CCEEFF"/>
          </w:tcPr>
          <w:p>
            <w:pPr>
              <w:spacing w:after="0" w:line="195"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Assignment and Assumption Agreement, dated November 2, 2017, by</w:t>
              </w:r>
            </w:hyperlink>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Exhibit 99.7(D) to the Registrant's Current Report on Form SC</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28"/>
            <w:shd w:val="clear" w:color="auto" w:fill="CCEEFF"/>
          </w:tcPr>
          <w:p>
            <w:pPr>
              <w:spacing w:after="0" w:line="152" w:lineRule="exact"/>
              <w:rPr>
                <w:rFonts w:ascii="Arial" w:cs="Arial" w:eastAsia="Arial" w:hAnsi="Arial"/>
                <w:sz w:val="17"/>
                <w:szCs w:val="17"/>
                <w:color w:val="0000FF"/>
              </w:rPr>
            </w:pPr>
            <w:hyperlink r:id="rId131">
              <w:r>
                <w:rPr>
                  <w:rFonts w:ascii="Arial" w:cs="Arial" w:eastAsia="Arial" w:hAnsi="Arial"/>
                  <w:sz w:val="17"/>
                  <w:szCs w:val="17"/>
                  <w:color w:val="0000FF"/>
                </w:rPr>
                <w:t>and  among  General  Communication,  Inc.,  Liberty  Interactive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8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13D/A filed November 3, 2017</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60" w:type="dxa"/>
            <w:vAlign w:val="bottom"/>
            <w:tcBorders>
              <w:top w:val="single" w:sz="8" w:color="0000FF"/>
              <w:bottom w:val="single" w:sz="8" w:color="0000FF"/>
            </w:tcBorders>
            <w:gridSpan w:val="25"/>
            <w:shd w:val="clear" w:color="auto" w:fill="CCEEFF"/>
          </w:tcPr>
          <w:p>
            <w:pPr>
              <w:spacing w:after="0" w:line="152" w:lineRule="exact"/>
              <w:rPr>
                <w:rFonts w:ascii="Arial" w:cs="Arial" w:eastAsia="Arial" w:hAnsi="Arial"/>
                <w:sz w:val="17"/>
                <w:szCs w:val="17"/>
                <w:color w:val="0000FF"/>
              </w:rPr>
            </w:pPr>
            <w:hyperlink r:id="rId131">
              <w:r>
                <w:rPr>
                  <w:rFonts w:ascii="Arial" w:cs="Arial" w:eastAsia="Arial" w:hAnsi="Arial"/>
                  <w:sz w:val="17"/>
                  <w:szCs w:val="17"/>
                  <w:color w:val="0000FF"/>
                </w:rPr>
                <w:t>Corporation, Liberty USA Holdings, LLC, Ventures Holdco, LLC, and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5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spacing w:after="0"/>
              <w:rPr>
                <w:sz w:val="13"/>
                <w:szCs w:val="13"/>
                <w:color w:val="auto"/>
              </w:rPr>
            </w:pPr>
          </w:p>
        </w:tc>
        <w:tc>
          <w:tcPr>
            <w:tcW w:w="5300" w:type="dxa"/>
            <w:vAlign w:val="bottom"/>
            <w:gridSpan w:val="27"/>
            <w:shd w:val="clear" w:color="auto" w:fill="CCEEFF"/>
          </w:tcPr>
          <w:p>
            <w:pPr>
              <w:spacing w:after="0" w:line="152" w:lineRule="exact"/>
              <w:rPr>
                <w:rFonts w:ascii="Arial" w:cs="Arial" w:eastAsia="Arial" w:hAnsi="Arial"/>
                <w:sz w:val="17"/>
                <w:szCs w:val="17"/>
                <w:color w:val="0000FF"/>
              </w:rPr>
            </w:pPr>
            <w:hyperlink r:id="rId131">
              <w:r>
                <w:rPr>
                  <w:rFonts w:ascii="Arial" w:cs="Arial" w:eastAsia="Arial" w:hAnsi="Arial"/>
                  <w:sz w:val="17"/>
                  <w:szCs w:val="17"/>
                  <w:color w:val="0000FF"/>
                </w:rPr>
                <w:t>LendingTree, Inc.</w:t>
              </w:r>
            </w:hyperlink>
          </w:p>
        </w:tc>
        <w:tc>
          <w:tcPr>
            <w:tcW w:w="6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140" w:type="dxa"/>
            <w:vAlign w:val="bottom"/>
            <w:tcBorders>
              <w:right w:val="single" w:sz="8" w:color="CCEEFF"/>
            </w:tcBorders>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2.14</w:t>
            </w:r>
          </w:p>
        </w:tc>
        <w:tc>
          <w:tcPr>
            <w:tcW w:w="5460" w:type="dxa"/>
            <w:vAlign w:val="bottom"/>
            <w:gridSpan w:val="35"/>
          </w:tcPr>
          <w:p>
            <w:pPr>
              <w:spacing w:after="0" w:line="186" w:lineRule="exact"/>
              <w:rPr>
                <w:rFonts w:ascii="Arial" w:cs="Arial" w:eastAsia="Arial" w:hAnsi="Arial"/>
                <w:sz w:val="18"/>
                <w:szCs w:val="18"/>
                <w:color w:val="0000FF"/>
                <w:w w:val="98"/>
              </w:rPr>
            </w:pPr>
            <w:hyperlink r:id="rId132">
              <w:r>
                <w:rPr>
                  <w:rFonts w:ascii="Arial" w:cs="Arial" w:eastAsia="Arial" w:hAnsi="Arial"/>
                  <w:sz w:val="18"/>
                  <w:szCs w:val="18"/>
                  <w:color w:val="0000FF"/>
                  <w:w w:val="98"/>
                </w:rPr>
                <w:t>Unit Purchase Agreement dated as of October 4, 2018 by and among</w:t>
              </w:r>
            </w:hyperlink>
          </w:p>
        </w:tc>
        <w:tc>
          <w:tcPr>
            <w:tcW w:w="4580" w:type="dxa"/>
            <w:vAlign w:val="bottom"/>
          </w:tcPr>
          <w:p>
            <w:pPr>
              <w:spacing w:after="0" w:line="186" w:lineRule="exact"/>
              <w:rPr>
                <w:sz w:val="20"/>
                <w:szCs w:val="20"/>
                <w:color w:val="auto"/>
              </w:rPr>
            </w:pPr>
            <w:r>
              <w:rPr>
                <w:rFonts w:ascii="Arial" w:cs="Arial" w:eastAsia="Arial" w:hAnsi="Arial"/>
                <w:sz w:val="18"/>
                <w:szCs w:val="18"/>
                <w:color w:val="auto"/>
                <w:w w:val="87"/>
              </w:rPr>
              <w:t>Exhibit 2.1 to the Registrant’s Current Report on Form 8-K/A filed</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380" w:type="dxa"/>
            <w:vAlign w:val="bottom"/>
            <w:tcBorders>
              <w:top w:val="single" w:sz="8" w:color="0000FF"/>
            </w:tcBorders>
            <w:gridSpan w:val="31"/>
          </w:tcPr>
          <w:p>
            <w:pPr>
              <w:spacing w:after="0" w:line="152" w:lineRule="exact"/>
              <w:rPr>
                <w:rFonts w:ascii="Arial" w:cs="Arial" w:eastAsia="Arial" w:hAnsi="Arial"/>
                <w:sz w:val="17"/>
                <w:szCs w:val="17"/>
                <w:color w:val="0000FF"/>
              </w:rPr>
            </w:pPr>
            <w:hyperlink r:id="rId132">
              <w:r>
                <w:rPr>
                  <w:rFonts w:ascii="Arial" w:cs="Arial" w:eastAsia="Arial" w:hAnsi="Arial"/>
                  <w:sz w:val="17"/>
                  <w:szCs w:val="17"/>
                  <w:color w:val="0000FF"/>
                </w:rPr>
                <w:t>LendingTree, LLC, QuoteWizard.com, LLC, all of the members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Pr>
          <w:p>
            <w:pPr>
              <w:spacing w:after="0" w:line="152" w:lineRule="exact"/>
              <w:rPr>
                <w:sz w:val="20"/>
                <w:szCs w:val="20"/>
                <w:color w:val="auto"/>
              </w:rPr>
            </w:pPr>
            <w:r>
              <w:rPr>
                <w:rFonts w:ascii="Arial" w:cs="Arial" w:eastAsia="Arial" w:hAnsi="Arial"/>
                <w:sz w:val="17"/>
                <w:szCs w:val="17"/>
                <w:color w:val="auto"/>
              </w:rPr>
              <w:t>October 12, 2018</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28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132">
              <w:r>
                <w:rPr>
                  <w:rFonts w:ascii="Arial" w:cs="Arial" w:eastAsia="Arial" w:hAnsi="Arial"/>
                  <w:sz w:val="17"/>
                  <w:szCs w:val="17"/>
                  <w:color w:val="0000FF"/>
                </w:rPr>
                <w:t>QuoteWizard.com,  LLC,  and  Scott  Peyree  as  the  Securityholders</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3"/>
              </w:rPr>
            </w:pPr>
            <w:hyperlink r:id="rId132">
              <w:r>
                <w:rPr>
                  <w:rFonts w:ascii="Arial" w:cs="Arial" w:eastAsia="Arial" w:hAnsi="Arial"/>
                  <w:sz w:val="17"/>
                  <w:szCs w:val="17"/>
                  <w:color w:val="0000FF"/>
                  <w:w w:val="93"/>
                </w:rPr>
                <w:t>Representative. **</w:t>
              </w:r>
            </w:hyperlink>
          </w:p>
        </w:tc>
        <w:tc>
          <w:tcPr>
            <w:tcW w:w="386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2.15</w:t>
            </w:r>
          </w:p>
        </w:tc>
        <w:tc>
          <w:tcPr>
            <w:tcW w:w="5460" w:type="dxa"/>
            <w:vAlign w:val="bottom"/>
            <w:gridSpan w:val="35"/>
            <w:shd w:val="clear" w:color="auto" w:fill="CCEEFF"/>
          </w:tcPr>
          <w:p>
            <w:pPr>
              <w:spacing w:after="0" w:line="195" w:lineRule="exact"/>
              <w:rPr>
                <w:rFonts w:ascii="Arial" w:cs="Arial" w:eastAsia="Arial" w:hAnsi="Arial"/>
                <w:sz w:val="18"/>
                <w:szCs w:val="18"/>
                <w:color w:val="0000FF"/>
              </w:rPr>
            </w:pPr>
            <w:hyperlink r:id="rId133">
              <w:r>
                <w:rPr>
                  <w:rFonts w:ascii="Arial" w:cs="Arial" w:eastAsia="Arial" w:hAnsi="Arial"/>
                  <w:sz w:val="18"/>
                  <w:szCs w:val="18"/>
                  <w:color w:val="0000FF"/>
                </w:rPr>
                <w:t>Stock Purchase Agreement dated as of December 20, 2018 by and</w:t>
              </w:r>
            </w:hyperlink>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Exhibit 2.1 to the Registrant’s Current Report on Form 8-K filed</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23"/>
            <w:shd w:val="clear" w:color="auto" w:fill="CCEEFF"/>
          </w:tcPr>
          <w:p>
            <w:pPr>
              <w:spacing w:after="0" w:line="152" w:lineRule="exact"/>
              <w:rPr>
                <w:rFonts w:ascii="Arial" w:cs="Arial" w:eastAsia="Arial" w:hAnsi="Arial"/>
                <w:sz w:val="17"/>
                <w:szCs w:val="17"/>
                <w:color w:val="0000FF"/>
                <w:w w:val="97"/>
              </w:rPr>
            </w:pPr>
            <w:hyperlink r:id="rId133">
              <w:r>
                <w:rPr>
                  <w:rFonts w:ascii="Arial" w:cs="Arial" w:eastAsia="Arial" w:hAnsi="Arial"/>
                  <w:sz w:val="17"/>
                  <w:szCs w:val="17"/>
                  <w:color w:val="0000FF"/>
                  <w:w w:val="97"/>
                </w:rPr>
                <w:t>among LendingTree, LLC, Value Holding Inc., all of the shareholders of</w:t>
              </w:r>
            </w:hyperlink>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8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December 27, 2018</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22"/>
            <w:shd w:val="clear" w:color="auto" w:fill="CCEEFF"/>
          </w:tcPr>
          <w:p>
            <w:pPr>
              <w:spacing w:after="0" w:line="152" w:lineRule="exact"/>
              <w:rPr>
                <w:rFonts w:ascii="Arial" w:cs="Arial" w:eastAsia="Arial" w:hAnsi="Arial"/>
                <w:sz w:val="17"/>
                <w:szCs w:val="17"/>
                <w:color w:val="0000FF"/>
                <w:w w:val="97"/>
              </w:rPr>
            </w:pPr>
            <w:hyperlink r:id="rId133">
              <w:r>
                <w:rPr>
                  <w:rFonts w:ascii="Arial" w:cs="Arial" w:eastAsia="Arial" w:hAnsi="Arial"/>
                  <w:sz w:val="17"/>
                  <w:szCs w:val="17"/>
                  <w:color w:val="0000FF"/>
                  <w:w w:val="97"/>
                </w:rPr>
                <w:t>Value Holding Inc., and Jonathan Wu as the Sellers’ Representative. **</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140" w:type="dxa"/>
            <w:vAlign w:val="bottom"/>
            <w:tcBorders>
              <w:righ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3.1</w:t>
            </w:r>
          </w:p>
        </w:tc>
        <w:tc>
          <w:tcPr>
            <w:tcW w:w="5460" w:type="dxa"/>
            <w:vAlign w:val="bottom"/>
            <w:gridSpan w:val="35"/>
          </w:tcPr>
          <w:p>
            <w:pPr>
              <w:spacing w:after="0" w:line="186" w:lineRule="exact"/>
              <w:rPr>
                <w:rFonts w:ascii="Arial" w:cs="Arial" w:eastAsia="Arial" w:hAnsi="Arial"/>
                <w:sz w:val="18"/>
                <w:szCs w:val="18"/>
                <w:color w:val="0000FF"/>
                <w:w w:val="95"/>
              </w:rPr>
            </w:pPr>
            <w:hyperlink r:id="rId134">
              <w:r>
                <w:rPr>
                  <w:rFonts w:ascii="Arial" w:cs="Arial" w:eastAsia="Arial" w:hAnsi="Arial"/>
                  <w:sz w:val="18"/>
                  <w:szCs w:val="18"/>
                  <w:color w:val="0000FF"/>
                  <w:w w:val="95"/>
                </w:rPr>
                <w:t>Amended and Restated Certificate of Incorporation of LendingTree, Inc.</w:t>
              </w:r>
            </w:hyperlink>
          </w:p>
        </w:tc>
        <w:tc>
          <w:tcPr>
            <w:tcW w:w="4580" w:type="dxa"/>
            <w:vAlign w:val="bottom"/>
          </w:tcPr>
          <w:p>
            <w:pPr>
              <w:spacing w:after="0" w:line="186" w:lineRule="exact"/>
              <w:rPr>
                <w:sz w:val="20"/>
                <w:szCs w:val="20"/>
                <w:color w:val="auto"/>
              </w:rPr>
            </w:pPr>
            <w:r>
              <w:rPr>
                <w:rFonts w:ascii="Arial" w:cs="Arial" w:eastAsia="Arial" w:hAnsi="Arial"/>
                <w:sz w:val="18"/>
                <w:szCs w:val="18"/>
                <w:color w:val="auto"/>
                <w:w w:val="90"/>
              </w:rPr>
              <w:t>Exhibit 3.1 to the Registrant's Current Report on Form 8-K (No.</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14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tcPr>
          <w:p>
            <w:pPr>
              <w:spacing w:after="0" w:line="192" w:lineRule="exact"/>
              <w:rPr>
                <w:sz w:val="20"/>
                <w:szCs w:val="20"/>
                <w:color w:val="auto"/>
              </w:rPr>
            </w:pPr>
            <w:r>
              <w:rPr>
                <w:rFonts w:ascii="Arial" w:cs="Arial" w:eastAsia="Arial" w:hAnsi="Arial"/>
                <w:sz w:val="18"/>
                <w:szCs w:val="18"/>
                <w:color w:val="auto"/>
              </w:rPr>
              <w:t>001-34063) filed August 25, 2008</w:t>
            </w: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3.2</w:t>
            </w:r>
          </w:p>
        </w:tc>
        <w:tc>
          <w:tcPr>
            <w:tcW w:w="5460" w:type="dxa"/>
            <w:vAlign w:val="bottom"/>
            <w:gridSpan w:val="35"/>
            <w:shd w:val="clear" w:color="auto" w:fill="CCEEFF"/>
          </w:tcPr>
          <w:p>
            <w:pPr>
              <w:spacing w:after="0" w:line="186" w:lineRule="exact"/>
              <w:rPr>
                <w:rFonts w:ascii="Arial" w:cs="Arial" w:eastAsia="Arial" w:hAnsi="Arial"/>
                <w:sz w:val="18"/>
                <w:szCs w:val="18"/>
                <w:color w:val="0000FF"/>
              </w:rPr>
            </w:pPr>
            <w:hyperlink r:id="rId135">
              <w:r>
                <w:rPr>
                  <w:rFonts w:ascii="Arial" w:cs="Arial" w:eastAsia="Arial" w:hAnsi="Arial"/>
                  <w:sz w:val="18"/>
                  <w:szCs w:val="18"/>
                  <w:color w:val="0000FF"/>
                </w:rPr>
                <w:t>Fourth Amended and Restated By-laws of LendingTree, Inc.</w:t>
              </w:r>
            </w:hyperlink>
          </w:p>
        </w:tc>
        <w:tc>
          <w:tcPr>
            <w:tcW w:w="458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1"/>
              </w:rPr>
              <w:t>Exhibit 3.1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140" w:type="dxa"/>
            <w:vAlign w:val="bottom"/>
            <w:tcBorders>
              <w:top w:val="single" w:sz="8" w:color="0000FF"/>
              <w:right w:val="single" w:sz="8" w:color="CCEEFF"/>
            </w:tcBorders>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7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5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4.1</w:t>
            </w:r>
          </w:p>
        </w:tc>
        <w:tc>
          <w:tcPr>
            <w:tcW w:w="5460" w:type="dxa"/>
            <w:vAlign w:val="bottom"/>
            <w:gridSpan w:val="35"/>
          </w:tcPr>
          <w:p>
            <w:pPr>
              <w:spacing w:after="0" w:line="186" w:lineRule="exact"/>
              <w:rPr>
                <w:rFonts w:ascii="Arial" w:cs="Arial" w:eastAsia="Arial" w:hAnsi="Arial"/>
                <w:sz w:val="18"/>
                <w:szCs w:val="18"/>
                <w:color w:val="0000FF"/>
                <w:w w:val="96"/>
              </w:rPr>
            </w:pPr>
            <w:hyperlink r:id="rId136">
              <w:r>
                <w:rPr>
                  <w:rFonts w:ascii="Arial" w:cs="Arial" w:eastAsia="Arial" w:hAnsi="Arial"/>
                  <w:sz w:val="18"/>
                  <w:szCs w:val="18"/>
                  <w:color w:val="0000FF"/>
                  <w:w w:val="96"/>
                </w:rPr>
                <w:t>Amended  and  Restated  Restricted  Share  Grant  and  Shareholders'</w:t>
              </w:r>
            </w:hyperlink>
          </w:p>
        </w:tc>
        <w:tc>
          <w:tcPr>
            <w:tcW w:w="4580" w:type="dxa"/>
            <w:vAlign w:val="bottom"/>
          </w:tcPr>
          <w:p>
            <w:pPr>
              <w:spacing w:after="0" w:line="186" w:lineRule="exact"/>
              <w:rPr>
                <w:sz w:val="20"/>
                <w:szCs w:val="20"/>
                <w:color w:val="auto"/>
              </w:rPr>
            </w:pPr>
            <w:r>
              <w:rPr>
                <w:rFonts w:ascii="Arial" w:cs="Arial" w:eastAsia="Arial" w:hAnsi="Arial"/>
                <w:sz w:val="18"/>
                <w:szCs w:val="18"/>
                <w:color w:val="auto"/>
                <w:w w:val="86"/>
              </w:rPr>
              <w:t>Exhibit 10.8 to the Registrant's Registration Statement on Form S-</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42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136">
              <w:r>
                <w:rPr>
                  <w:rFonts w:ascii="Arial" w:cs="Arial" w:eastAsia="Arial" w:hAnsi="Arial"/>
                  <w:sz w:val="17"/>
                  <w:szCs w:val="17"/>
                  <w:color w:val="0000FF"/>
                </w:rPr>
                <w:t>Agreement,  among  Forest  Merger  Corp.,  LendingTree,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Pr>
          <w:p>
            <w:pPr>
              <w:spacing w:after="0" w:line="152" w:lineRule="exact"/>
              <w:rPr>
                <w:sz w:val="20"/>
                <w:szCs w:val="20"/>
                <w:color w:val="auto"/>
              </w:rPr>
            </w:pPr>
            <w:r>
              <w:rPr>
                <w:rFonts w:ascii="Arial" w:cs="Arial" w:eastAsia="Arial" w:hAnsi="Arial"/>
                <w:sz w:val="17"/>
                <w:szCs w:val="17"/>
                <w:color w:val="auto"/>
              </w:rPr>
              <w:t>1 (No. 333-152700), filed August 1, 2008</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15"/>
          </w:tcPr>
          <w:p>
            <w:pPr>
              <w:spacing w:after="0" w:line="152" w:lineRule="exact"/>
              <w:rPr>
                <w:rFonts w:ascii="Arial" w:cs="Arial" w:eastAsia="Arial" w:hAnsi="Arial"/>
                <w:sz w:val="17"/>
                <w:szCs w:val="17"/>
                <w:color w:val="0000FF"/>
                <w:w w:val="93"/>
              </w:rPr>
            </w:pPr>
            <w:hyperlink r:id="rId136">
              <w:r>
                <w:rPr>
                  <w:rFonts w:ascii="Arial" w:cs="Arial" w:eastAsia="Arial" w:hAnsi="Arial"/>
                  <w:sz w:val="17"/>
                  <w:szCs w:val="17"/>
                  <w:color w:val="0000FF"/>
                  <w:w w:val="93"/>
                </w:rPr>
                <w:t>InterActiveCorp and the Grantees named therein, dated July 7, 2003*</w:t>
              </w:r>
            </w:hyperlink>
          </w:p>
        </w:tc>
        <w:tc>
          <w:tcPr>
            <w:tcW w:w="320" w:type="dxa"/>
            <w:vAlign w:val="bottom"/>
            <w:tcBorders>
              <w:top w:val="single" w:sz="8" w:color="0000FF"/>
            </w:tcBorders>
            <w:gridSpan w:val="9"/>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4.2</w:t>
            </w:r>
          </w:p>
        </w:tc>
        <w:tc>
          <w:tcPr>
            <w:tcW w:w="5460" w:type="dxa"/>
            <w:vAlign w:val="bottom"/>
            <w:gridSpan w:val="35"/>
            <w:shd w:val="clear" w:color="auto" w:fill="CCEEFF"/>
          </w:tcPr>
          <w:p>
            <w:pPr>
              <w:spacing w:after="0" w:line="195" w:lineRule="exact"/>
              <w:rPr>
                <w:rFonts w:ascii="Arial" w:cs="Arial" w:eastAsia="Arial" w:hAnsi="Arial"/>
                <w:sz w:val="18"/>
                <w:szCs w:val="18"/>
                <w:color w:val="0000FF"/>
              </w:rPr>
            </w:pPr>
            <w:hyperlink r:id="rId137">
              <w:r>
                <w:rPr>
                  <w:rFonts w:ascii="Arial" w:cs="Arial" w:eastAsia="Arial" w:hAnsi="Arial"/>
                  <w:sz w:val="18"/>
                  <w:szCs w:val="18"/>
                  <w:color w:val="0000FF"/>
                </w:rPr>
                <w:t>Registration Rights Agreement among Tree.com, Inc., Liberty Media</w:t>
              </w:r>
            </w:hyperlink>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9"/>
              </w:rPr>
              <w:t>Exhibit 10.5 to the Registrant's Current Report on Form 8-K (No.</w:t>
            </w:r>
          </w:p>
        </w:tc>
        <w:tc>
          <w:tcPr>
            <w:tcW w:w="0" w:type="dxa"/>
            <w:vAlign w:val="bottom"/>
          </w:tcPr>
          <w:p>
            <w:pPr>
              <w:spacing w:after="0"/>
              <w:rPr>
                <w:sz w:val="1"/>
                <w:szCs w:val="1"/>
                <w:color w:val="auto"/>
              </w:rPr>
            </w:pPr>
          </w:p>
        </w:tc>
      </w:tr>
      <w:tr>
        <w:trPr>
          <w:trHeight w:val="172"/>
        </w:trPr>
        <w:tc>
          <w:tcPr>
            <w:tcW w:w="1200" w:type="dxa"/>
            <w:vAlign w:val="bottom"/>
            <w:tcBorders>
              <w:top w:val="single" w:sz="8" w:color="CCEEFF"/>
            </w:tcBorders>
            <w:shd w:val="clear" w:color="auto" w:fill="CCEEFF"/>
          </w:tcPr>
          <w:p>
            <w:pPr>
              <w:spacing w:after="0"/>
              <w:rPr>
                <w:sz w:val="14"/>
                <w:szCs w:val="14"/>
                <w:color w:val="auto"/>
              </w:rPr>
            </w:pPr>
          </w:p>
        </w:tc>
        <w:tc>
          <w:tcPr>
            <w:tcW w:w="5440" w:type="dxa"/>
            <w:vAlign w:val="bottom"/>
            <w:tcBorders>
              <w:top w:val="single" w:sz="8" w:color="0000FF"/>
            </w:tcBorders>
            <w:gridSpan w:val="34"/>
            <w:shd w:val="clear" w:color="auto" w:fill="CCEEFF"/>
          </w:tcPr>
          <w:p>
            <w:pPr>
              <w:spacing w:after="0" w:line="152" w:lineRule="exact"/>
              <w:rPr>
                <w:rFonts w:ascii="Arial" w:cs="Arial" w:eastAsia="Arial" w:hAnsi="Arial"/>
                <w:sz w:val="17"/>
                <w:szCs w:val="17"/>
                <w:color w:val="0000FF"/>
              </w:rPr>
            </w:pPr>
            <w:hyperlink r:id="rId137">
              <w:r>
                <w:rPr>
                  <w:rFonts w:ascii="Arial" w:cs="Arial" w:eastAsia="Arial" w:hAnsi="Arial"/>
                  <w:sz w:val="17"/>
                  <w:szCs w:val="17"/>
                  <w:color w:val="0000FF"/>
                </w:rPr>
                <w:t>Corporation and Liberty USA Holdings, LLC, dated August 20, 2008.</w:t>
              </w:r>
            </w:hyperlink>
          </w:p>
        </w:tc>
        <w:tc>
          <w:tcPr>
            <w:tcW w:w="20" w:type="dxa"/>
            <w:vAlign w:val="bottom"/>
            <w:tcBorders>
              <w:top w:val="single" w:sz="8" w:color="CCEEFF"/>
            </w:tcBorders>
            <w:shd w:val="clear" w:color="auto" w:fill="CCEEFF"/>
          </w:tcPr>
          <w:p>
            <w:pPr>
              <w:spacing w:after="0"/>
              <w:rPr>
                <w:sz w:val="14"/>
                <w:szCs w:val="14"/>
                <w:color w:val="auto"/>
              </w:rPr>
            </w:pPr>
          </w:p>
        </w:tc>
        <w:tc>
          <w:tcPr>
            <w:tcW w:w="458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001-34063) filed August 25, 2008</w:t>
            </w:r>
          </w:p>
        </w:tc>
        <w:tc>
          <w:tcPr>
            <w:tcW w:w="0" w:type="dxa"/>
            <w:vAlign w:val="bottom"/>
          </w:tcPr>
          <w:p>
            <w:pPr>
              <w:spacing w:after="0"/>
              <w:rPr>
                <w:sz w:val="1"/>
                <w:szCs w:val="1"/>
                <w:color w:val="auto"/>
              </w:rPr>
            </w:pPr>
          </w:p>
        </w:tc>
      </w:tr>
      <w:tr>
        <w:trPr>
          <w:trHeight w:val="185"/>
        </w:trPr>
        <w:tc>
          <w:tcPr>
            <w:tcW w:w="1200" w:type="dxa"/>
            <w:vAlign w:val="bottom"/>
            <w:tcBorders>
              <w:top w:val="single" w:sz="8" w:color="CCEEFF"/>
            </w:tcBorders>
          </w:tcPr>
          <w:p>
            <w:pPr>
              <w:jc w:val="right"/>
              <w:ind w:right="92"/>
              <w:spacing w:after="0" w:line="186" w:lineRule="exact"/>
              <w:rPr>
                <w:sz w:val="20"/>
                <w:szCs w:val="20"/>
                <w:color w:val="auto"/>
              </w:rPr>
            </w:pPr>
            <w:r>
              <w:rPr>
                <w:rFonts w:ascii="Arial" w:cs="Arial" w:eastAsia="Arial" w:hAnsi="Arial"/>
                <w:sz w:val="18"/>
                <w:szCs w:val="18"/>
                <w:color w:val="auto"/>
              </w:rPr>
              <w:t>4.3</w:t>
            </w:r>
          </w:p>
        </w:tc>
        <w:tc>
          <w:tcPr>
            <w:tcW w:w="4960" w:type="dxa"/>
            <w:vAlign w:val="bottom"/>
            <w:tcBorders>
              <w:top w:val="single" w:sz="8" w:color="0000FF"/>
            </w:tcBorders>
            <w:gridSpan w:val="16"/>
          </w:tcPr>
          <w:p>
            <w:pPr>
              <w:spacing w:after="0" w:line="186" w:lineRule="exact"/>
              <w:rPr>
                <w:rFonts w:ascii="Arial" w:cs="Arial" w:eastAsia="Arial" w:hAnsi="Arial"/>
                <w:sz w:val="18"/>
                <w:szCs w:val="18"/>
                <w:color w:val="0000FF"/>
              </w:rPr>
            </w:pPr>
            <w:hyperlink r:id="rId138">
              <w:r>
                <w:rPr>
                  <w:rFonts w:ascii="Arial" w:cs="Arial" w:eastAsia="Arial" w:hAnsi="Arial"/>
                  <w:sz w:val="18"/>
                  <w:szCs w:val="18"/>
                  <w:color w:val="0000FF"/>
                </w:rPr>
                <w:t>Indenture for .0625% Convertible Senior Notes due 2022</w:t>
              </w:r>
            </w:hyperlink>
          </w:p>
        </w:tc>
        <w:tc>
          <w:tcPr>
            <w:tcW w:w="500" w:type="dxa"/>
            <w:vAlign w:val="bottom"/>
            <w:tcBorders>
              <w:top w:val="single" w:sz="8" w:color="CCEEFF"/>
            </w:tcBorders>
            <w:gridSpan w:val="19"/>
          </w:tcPr>
          <w:p>
            <w:pPr>
              <w:spacing w:after="0"/>
              <w:rPr>
                <w:sz w:val="16"/>
                <w:szCs w:val="16"/>
                <w:color w:val="auto"/>
              </w:rPr>
            </w:pPr>
          </w:p>
        </w:tc>
        <w:tc>
          <w:tcPr>
            <w:tcW w:w="4580" w:type="dxa"/>
            <w:vAlign w:val="bottom"/>
            <w:tcBorders>
              <w:top w:val="single" w:sz="8" w:color="CCEEFF"/>
            </w:tcBorders>
          </w:tcPr>
          <w:p>
            <w:pPr>
              <w:spacing w:after="0" w:line="186" w:lineRule="exact"/>
              <w:rPr>
                <w:sz w:val="20"/>
                <w:szCs w:val="20"/>
                <w:color w:val="auto"/>
              </w:rPr>
            </w:pPr>
            <w:r>
              <w:rPr>
                <w:rFonts w:ascii="Arial" w:cs="Arial" w:eastAsia="Arial" w:hAnsi="Arial"/>
                <w:sz w:val="18"/>
                <w:szCs w:val="18"/>
                <w:color w:val="auto"/>
                <w:w w:val="91"/>
              </w:rPr>
              <w:t>Exhibit 4.1 to the Registrant's Current Report on Form 8-K filed</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Pr>
          <w:p>
            <w:pPr>
              <w:spacing w:after="0" w:line="203" w:lineRule="exact"/>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55"/>
        </w:trPr>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4.4</w:t>
            </w:r>
          </w:p>
        </w:tc>
        <w:tc>
          <w:tcPr>
            <w:tcW w:w="5460" w:type="dxa"/>
            <w:vAlign w:val="bottom"/>
            <w:gridSpan w:val="35"/>
            <w:shd w:val="clear" w:color="auto" w:fill="CCEEFF"/>
          </w:tcPr>
          <w:p>
            <w:pPr>
              <w:spacing w:after="0" w:line="186"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Purchase Agreement for .0625% Convertible Senior Notes due 2022</w:t>
              </w:r>
            </w:hyperlink>
          </w:p>
        </w:tc>
        <w:tc>
          <w:tcPr>
            <w:tcW w:w="458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89"/>
              </w:rPr>
              <w:t>Exhibit 99.1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140" w:type="dxa"/>
            <w:vAlign w:val="bottom"/>
            <w:tcBorders>
              <w:top w:val="single" w:sz="8" w:color="0000FF"/>
              <w:right w:val="single" w:sz="8" w:color="CCEEFF"/>
            </w:tcBorders>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7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5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4.5</w:t>
            </w:r>
          </w:p>
        </w:tc>
        <w:tc>
          <w:tcPr>
            <w:tcW w:w="5460" w:type="dxa"/>
            <w:vAlign w:val="bottom"/>
            <w:gridSpan w:val="35"/>
          </w:tcPr>
          <w:p>
            <w:pPr>
              <w:spacing w:after="0" w:line="186" w:lineRule="exact"/>
              <w:rPr>
                <w:rFonts w:ascii="Arial" w:cs="Arial" w:eastAsia="Arial" w:hAnsi="Arial"/>
                <w:sz w:val="18"/>
                <w:szCs w:val="18"/>
                <w:color w:val="0000FF"/>
              </w:rPr>
            </w:pPr>
            <w:hyperlink r:id="rId140">
              <w:r>
                <w:rPr>
                  <w:rFonts w:ascii="Arial" w:cs="Arial" w:eastAsia="Arial" w:hAnsi="Arial"/>
                  <w:sz w:val="18"/>
                  <w:szCs w:val="18"/>
                  <w:color w:val="0000FF"/>
                </w:rPr>
                <w:t>Base Issuer Warrant Transaction</w:t>
              </w:r>
            </w:hyperlink>
          </w:p>
        </w:tc>
        <w:tc>
          <w:tcPr>
            <w:tcW w:w="4580" w:type="dxa"/>
            <w:vAlign w:val="bottom"/>
          </w:tcPr>
          <w:p>
            <w:pPr>
              <w:spacing w:after="0" w:line="186" w:lineRule="exact"/>
              <w:rPr>
                <w:sz w:val="20"/>
                <w:szCs w:val="20"/>
                <w:color w:val="auto"/>
              </w:rPr>
            </w:pPr>
            <w:r>
              <w:rPr>
                <w:rFonts w:ascii="Arial" w:cs="Arial" w:eastAsia="Arial" w:hAnsi="Arial"/>
                <w:sz w:val="18"/>
                <w:szCs w:val="18"/>
                <w:color w:val="auto"/>
                <w:w w:val="89"/>
              </w:rPr>
              <w:t>Exhibit 99.4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14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tcPr>
          <w:p>
            <w:pPr>
              <w:spacing w:after="0" w:line="192" w:lineRule="exact"/>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85"/>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4.6</w:t>
            </w:r>
          </w:p>
        </w:tc>
        <w:tc>
          <w:tcPr>
            <w:tcW w:w="5460" w:type="dxa"/>
            <w:vAlign w:val="bottom"/>
            <w:gridSpan w:val="35"/>
            <w:shd w:val="clear" w:color="auto" w:fill="CCEEFF"/>
          </w:tcPr>
          <w:p>
            <w:pPr>
              <w:spacing w:after="0" w:line="186" w:lineRule="exact"/>
              <w:rPr>
                <w:rFonts w:ascii="Arial" w:cs="Arial" w:eastAsia="Arial" w:hAnsi="Arial"/>
                <w:sz w:val="18"/>
                <w:szCs w:val="18"/>
                <w:color w:val="0000FF"/>
              </w:rPr>
            </w:pPr>
            <w:hyperlink r:id="rId141">
              <w:r>
                <w:rPr>
                  <w:rFonts w:ascii="Arial" w:cs="Arial" w:eastAsia="Arial" w:hAnsi="Arial"/>
                  <w:sz w:val="18"/>
                  <w:szCs w:val="18"/>
                  <w:color w:val="0000FF"/>
                </w:rPr>
                <w:t>Additional Issuer Warrant Transaction</w:t>
              </w:r>
            </w:hyperlink>
          </w:p>
        </w:tc>
        <w:tc>
          <w:tcPr>
            <w:tcW w:w="458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89"/>
              </w:rPr>
              <w:t>Exhibit 99.5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140" w:type="dxa"/>
            <w:vAlign w:val="bottom"/>
            <w:tcBorders>
              <w:top w:val="single" w:sz="8" w:color="0000FF"/>
              <w:right w:val="single" w:sz="8" w:color="CCEEFF"/>
            </w:tcBorders>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5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4.7</w:t>
            </w:r>
          </w:p>
        </w:tc>
        <w:tc>
          <w:tcPr>
            <w:tcW w:w="5460" w:type="dxa"/>
            <w:vAlign w:val="bottom"/>
            <w:gridSpan w:val="35"/>
          </w:tcPr>
          <w:p>
            <w:pPr>
              <w:spacing w:after="0" w:line="186" w:lineRule="exact"/>
              <w:rPr>
                <w:rFonts w:ascii="Arial" w:cs="Arial" w:eastAsia="Arial" w:hAnsi="Arial"/>
                <w:sz w:val="18"/>
                <w:szCs w:val="18"/>
                <w:color w:val="0000FF"/>
                <w:w w:val="94"/>
              </w:rPr>
            </w:pPr>
            <w:hyperlink r:id="rId142">
              <w:r>
                <w:rPr>
                  <w:rFonts w:ascii="Arial" w:cs="Arial" w:eastAsia="Arial" w:hAnsi="Arial"/>
                  <w:sz w:val="18"/>
                  <w:szCs w:val="18"/>
                  <w:color w:val="0000FF"/>
                  <w:w w:val="94"/>
                </w:rPr>
                <w:t>Description of the Registrant's Securities Registered Pursuant to Section</w:t>
              </w:r>
            </w:hyperlink>
          </w:p>
        </w:tc>
        <w:tc>
          <w:tcPr>
            <w:tcW w:w="4580" w:type="dxa"/>
            <w:vAlign w:val="bottom"/>
          </w:tcPr>
          <w:p>
            <w:pPr>
              <w:spacing w:after="0" w:line="186" w:lineRule="exact"/>
              <w:rPr>
                <w:sz w:val="20"/>
                <w:szCs w:val="20"/>
                <w:color w:val="auto"/>
              </w:rPr>
            </w:pPr>
            <w:r>
              <w:rPr>
                <w:rFonts w:ascii="Arial" w:cs="Arial" w:eastAsia="Arial" w:hAnsi="Arial"/>
                <w:sz w:val="18"/>
                <w:szCs w:val="18"/>
                <w:color w:val="auto"/>
                <w:w w:val="89"/>
              </w:rPr>
              <w:t>Exhibit 4.7 to the Registrant's Annual Report on Form 10-K filed</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4"/>
              </w:rPr>
            </w:pPr>
            <w:hyperlink r:id="rId142">
              <w:r>
                <w:rPr>
                  <w:rFonts w:ascii="Arial" w:cs="Arial" w:eastAsia="Arial" w:hAnsi="Arial"/>
                  <w:sz w:val="17"/>
                  <w:szCs w:val="17"/>
                  <w:color w:val="0000FF"/>
                  <w:w w:val="94"/>
                </w:rPr>
                <w:t>12 of the Securities Exchange Act of 1934</w:t>
              </w:r>
            </w:hyperlink>
          </w:p>
        </w:tc>
        <w:tc>
          <w:tcPr>
            <w:tcW w:w="236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580" w:type="dxa"/>
            <w:vAlign w:val="bottom"/>
          </w:tcPr>
          <w:p>
            <w:pPr>
              <w:spacing w:after="0" w:line="152" w:lineRule="exact"/>
              <w:rPr>
                <w:sz w:val="20"/>
                <w:szCs w:val="20"/>
                <w:color w:val="auto"/>
              </w:rPr>
            </w:pPr>
            <w:r>
              <w:rPr>
                <w:rFonts w:ascii="Arial" w:cs="Arial" w:eastAsia="Arial" w:hAnsi="Arial"/>
                <w:sz w:val="17"/>
                <w:szCs w:val="17"/>
                <w:color w:val="auto"/>
              </w:rPr>
              <w:t>February 27, 2020</w:t>
            </w:r>
          </w:p>
        </w:tc>
        <w:tc>
          <w:tcPr>
            <w:tcW w:w="0" w:type="dxa"/>
            <w:vAlign w:val="bottom"/>
          </w:tcPr>
          <w:p>
            <w:pPr>
              <w:spacing w:after="0"/>
              <w:rPr>
                <w:sz w:val="1"/>
                <w:szCs w:val="1"/>
                <w:color w:val="auto"/>
              </w:rPr>
            </w:pPr>
          </w:p>
        </w:tc>
      </w:tr>
      <w:tr>
        <w:trPr>
          <w:trHeight w:val="195"/>
        </w:trPr>
        <w:tc>
          <w:tcPr>
            <w:tcW w:w="1200" w:type="dxa"/>
            <w:vAlign w:val="bottom"/>
            <w:tcBorders>
              <w:bottom w:val="single" w:sz="8" w:color="CCEEFF"/>
            </w:tcBorders>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4.8</w:t>
            </w:r>
          </w:p>
        </w:tc>
        <w:tc>
          <w:tcPr>
            <w:tcW w:w="5460" w:type="dxa"/>
            <w:vAlign w:val="bottom"/>
            <w:tcBorders>
              <w:bottom w:val="single" w:sz="8" w:color="0000FF"/>
            </w:tcBorders>
            <w:gridSpan w:val="35"/>
            <w:shd w:val="clear" w:color="auto" w:fill="CCEEFF"/>
          </w:tcPr>
          <w:p>
            <w:pPr>
              <w:spacing w:after="0" w:line="195"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Indenture, dated as of July 24, 2020, between LendingTree, Inc. and</w:t>
              </w:r>
            </w:hyperlink>
          </w:p>
        </w:tc>
        <w:tc>
          <w:tcPr>
            <w:tcW w:w="45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Exhibit 4.1 to the Registrant’s Current Report on Form 8-K filed</w:t>
            </w:r>
          </w:p>
        </w:tc>
        <w:tc>
          <w:tcPr>
            <w:tcW w:w="0" w:type="dxa"/>
            <w:vAlign w:val="bottom"/>
          </w:tcPr>
          <w:p>
            <w:pPr>
              <w:spacing w:after="0"/>
              <w:rPr>
                <w:sz w:val="1"/>
                <w:szCs w:val="1"/>
                <w:color w:val="auto"/>
              </w:rPr>
            </w:pPr>
          </w:p>
        </w:tc>
      </w:tr>
      <w:tr>
        <w:trPr>
          <w:trHeight w:val="172"/>
        </w:trPr>
        <w:tc>
          <w:tcPr>
            <w:tcW w:w="1200" w:type="dxa"/>
            <w:vAlign w:val="bottom"/>
            <w:tcBorders>
              <w:bottom w:val="single" w:sz="8" w:color="CCEEFF"/>
            </w:tcBorders>
            <w:shd w:val="clear" w:color="auto" w:fill="CCEEFF"/>
          </w:tcPr>
          <w:p>
            <w:pPr>
              <w:spacing w:after="0"/>
              <w:rPr>
                <w:sz w:val="14"/>
                <w:szCs w:val="14"/>
                <w:color w:val="auto"/>
              </w:rPr>
            </w:pPr>
          </w:p>
        </w:tc>
        <w:tc>
          <w:tcPr>
            <w:tcW w:w="2840" w:type="dxa"/>
            <w:vAlign w:val="bottom"/>
            <w:tcBorders>
              <w:bottom w:val="single" w:sz="8" w:color="0000FF"/>
            </w:tcBorders>
            <w:gridSpan w:val="6"/>
            <w:shd w:val="clear" w:color="auto" w:fill="CCEEFF"/>
          </w:tcPr>
          <w:p>
            <w:pPr>
              <w:spacing w:after="0" w:line="152" w:lineRule="exact"/>
              <w:rPr>
                <w:rFonts w:ascii="Arial" w:cs="Arial" w:eastAsia="Arial" w:hAnsi="Arial"/>
                <w:sz w:val="17"/>
                <w:szCs w:val="17"/>
                <w:color w:val="0000FF"/>
                <w:w w:val="96"/>
              </w:rPr>
            </w:pPr>
            <w:hyperlink r:id="rId143">
              <w:r>
                <w:rPr>
                  <w:rFonts w:ascii="Arial" w:cs="Arial" w:eastAsia="Arial" w:hAnsi="Arial"/>
                  <w:sz w:val="17"/>
                  <w:szCs w:val="17"/>
                  <w:color w:val="0000FF"/>
                  <w:w w:val="96"/>
                </w:rPr>
                <w:t>Wilmington Trust, National Association</w:t>
              </w:r>
            </w:hyperlink>
          </w:p>
        </w:tc>
        <w:tc>
          <w:tcPr>
            <w:tcW w:w="2620" w:type="dxa"/>
            <w:vAlign w:val="bottom"/>
            <w:tcBorders>
              <w:bottom w:val="single" w:sz="8" w:color="CCEEFF"/>
            </w:tcBorders>
            <w:gridSpan w:val="29"/>
            <w:shd w:val="clear" w:color="auto" w:fill="CCEEFF"/>
          </w:tcPr>
          <w:p>
            <w:pPr>
              <w:spacing w:after="0"/>
              <w:rPr>
                <w:sz w:val="14"/>
                <w:szCs w:val="14"/>
                <w:color w:val="auto"/>
              </w:rPr>
            </w:pPr>
          </w:p>
        </w:tc>
        <w:tc>
          <w:tcPr>
            <w:tcW w:w="458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on July 24, 2020</w:t>
            </w: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10.1</w:t>
            </w:r>
          </w:p>
        </w:tc>
        <w:tc>
          <w:tcPr>
            <w:tcW w:w="5460" w:type="dxa"/>
            <w:vAlign w:val="bottom"/>
            <w:tcBorders>
              <w:bottom w:val="single" w:sz="8" w:color="0000FF"/>
            </w:tcBorders>
            <w:gridSpan w:val="35"/>
          </w:tcPr>
          <w:p>
            <w:pPr>
              <w:spacing w:after="0" w:line="186" w:lineRule="exact"/>
              <w:rPr>
                <w:rFonts w:ascii="Arial" w:cs="Arial" w:eastAsia="Arial" w:hAnsi="Arial"/>
                <w:sz w:val="18"/>
                <w:szCs w:val="18"/>
                <w:color w:val="0000FF"/>
                <w:w w:val="99"/>
              </w:rPr>
            </w:pPr>
            <w:hyperlink r:id="rId144">
              <w:r>
                <w:rPr>
                  <w:rFonts w:ascii="Arial" w:cs="Arial" w:eastAsia="Arial" w:hAnsi="Arial"/>
                  <w:sz w:val="18"/>
                  <w:szCs w:val="18"/>
                  <w:color w:val="0000FF"/>
                  <w:w w:val="99"/>
                </w:rPr>
                <w:t>Employment Agreement between Douglas Lebda and the Company,</w:t>
              </w:r>
            </w:hyperlink>
          </w:p>
        </w:tc>
        <w:tc>
          <w:tcPr>
            <w:tcW w:w="4580" w:type="dxa"/>
            <w:vAlign w:val="bottom"/>
          </w:tcPr>
          <w:p>
            <w:pPr>
              <w:spacing w:after="0" w:line="186" w:lineRule="exact"/>
              <w:rPr>
                <w:sz w:val="20"/>
                <w:szCs w:val="20"/>
                <w:color w:val="auto"/>
              </w:rPr>
            </w:pPr>
            <w:r>
              <w:rPr>
                <w:rFonts w:ascii="Arial" w:cs="Arial" w:eastAsia="Arial" w:hAnsi="Arial"/>
                <w:sz w:val="18"/>
                <w:szCs w:val="18"/>
                <w:color w:val="auto"/>
                <w:w w:val="91"/>
              </w:rPr>
              <w:t>Exhibit 10.3 to the Registrant's Quarterly Report on Form 10-Q</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940" w:type="dxa"/>
            <w:vAlign w:val="bottom"/>
            <w:tcBorders>
              <w:bottom w:val="single" w:sz="8" w:color="0000FF"/>
            </w:tcBorders>
            <w:gridSpan w:val="3"/>
          </w:tcPr>
          <w:p>
            <w:pPr>
              <w:spacing w:after="0" w:line="152" w:lineRule="exact"/>
              <w:rPr>
                <w:rFonts w:ascii="Arial" w:cs="Arial" w:eastAsia="Arial" w:hAnsi="Arial"/>
                <w:sz w:val="17"/>
                <w:szCs w:val="17"/>
                <w:color w:val="0000FF"/>
                <w:w w:val="92"/>
              </w:rPr>
            </w:pPr>
            <w:hyperlink r:id="rId144">
              <w:r>
                <w:rPr>
                  <w:rFonts w:ascii="Arial" w:cs="Arial" w:eastAsia="Arial" w:hAnsi="Arial"/>
                  <w:sz w:val="17"/>
                  <w:szCs w:val="17"/>
                  <w:color w:val="0000FF"/>
                  <w:w w:val="92"/>
                </w:rPr>
                <w:t>dated September 20, 2017*</w:t>
              </w:r>
            </w:hyperlink>
          </w:p>
        </w:tc>
        <w:tc>
          <w:tcPr>
            <w:tcW w:w="3520" w:type="dxa"/>
            <w:vAlign w:val="bottom"/>
            <w:gridSpan w:val="32"/>
          </w:tcPr>
          <w:p>
            <w:pPr>
              <w:spacing w:after="0"/>
              <w:rPr>
                <w:sz w:val="14"/>
                <w:szCs w:val="14"/>
                <w:color w:val="auto"/>
              </w:rPr>
            </w:pPr>
          </w:p>
        </w:tc>
        <w:tc>
          <w:tcPr>
            <w:tcW w:w="4580" w:type="dxa"/>
            <w:vAlign w:val="bottom"/>
          </w:tcPr>
          <w:p>
            <w:pPr>
              <w:spacing w:after="0" w:line="152" w:lineRule="exact"/>
              <w:rPr>
                <w:sz w:val="20"/>
                <w:szCs w:val="20"/>
                <w:color w:val="auto"/>
              </w:rPr>
            </w:pPr>
            <w:r>
              <w:rPr>
                <w:rFonts w:ascii="Arial" w:cs="Arial" w:eastAsia="Arial" w:hAnsi="Arial"/>
                <w:sz w:val="17"/>
                <w:szCs w:val="17"/>
                <w:color w:val="auto"/>
              </w:rPr>
              <w:t>filed October 26, 2017</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10.2</w:t>
            </w:r>
          </w:p>
        </w:tc>
        <w:tc>
          <w:tcPr>
            <w:tcW w:w="5460" w:type="dxa"/>
            <w:vAlign w:val="bottom"/>
            <w:gridSpan w:val="35"/>
            <w:shd w:val="clear" w:color="auto" w:fill="CCEEFF"/>
          </w:tcPr>
          <w:p>
            <w:pPr>
              <w:spacing w:after="0" w:line="195" w:lineRule="exact"/>
              <w:rPr>
                <w:rFonts w:ascii="Arial" w:cs="Arial" w:eastAsia="Arial" w:hAnsi="Arial"/>
                <w:sz w:val="18"/>
                <w:szCs w:val="18"/>
                <w:color w:val="0000FF"/>
                <w:w w:val="99"/>
              </w:rPr>
            </w:pPr>
            <w:hyperlink r:id="rId145">
              <w:r>
                <w:rPr>
                  <w:rFonts w:ascii="Arial" w:cs="Arial" w:eastAsia="Arial" w:hAnsi="Arial"/>
                  <w:sz w:val="18"/>
                  <w:szCs w:val="18"/>
                  <w:color w:val="0000FF"/>
                  <w:w w:val="99"/>
                </w:rPr>
                <w:t>Employment Agreement between Douglas Lebda, the Company and</w:t>
              </w:r>
            </w:hyperlink>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Exhibit 10.2 to Registrant's Annual Report on Form 10-K filed</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400" w:type="dxa"/>
            <w:vAlign w:val="bottom"/>
            <w:tcBorders>
              <w:top w:val="single" w:sz="8" w:color="0000FF"/>
            </w:tcBorders>
            <w:gridSpan w:val="32"/>
            <w:shd w:val="clear" w:color="auto" w:fill="CCEEFF"/>
          </w:tcPr>
          <w:p>
            <w:pPr>
              <w:spacing w:after="0" w:line="152" w:lineRule="exact"/>
              <w:rPr>
                <w:rFonts w:ascii="Arial" w:cs="Arial" w:eastAsia="Arial" w:hAnsi="Arial"/>
                <w:sz w:val="17"/>
                <w:szCs w:val="17"/>
                <w:color w:val="0000FF"/>
              </w:rPr>
            </w:pPr>
            <w:hyperlink r:id="rId145">
              <w:r>
                <w:rPr>
                  <w:rFonts w:ascii="Arial" w:cs="Arial" w:eastAsia="Arial" w:hAnsi="Arial"/>
                  <w:sz w:val="17"/>
                  <w:szCs w:val="17"/>
                  <w:color w:val="0000FF"/>
                </w:rPr>
                <w:t>LendingTree, LLC, dated November 30, 2020*</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58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March 1, 2021</w:t>
            </w: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140" w:type="dxa"/>
            <w:vAlign w:val="bottom"/>
            <w:tcBorders>
              <w:righ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10.3</w:t>
            </w:r>
          </w:p>
        </w:tc>
        <w:tc>
          <w:tcPr>
            <w:tcW w:w="5460" w:type="dxa"/>
            <w:vAlign w:val="bottom"/>
            <w:gridSpan w:val="35"/>
          </w:tcPr>
          <w:p>
            <w:pPr>
              <w:spacing w:after="0" w:line="186"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Fifth Amended and Restated 2008 Stock and Annual Incentive Plan*</w:t>
              </w:r>
            </w:hyperlink>
          </w:p>
        </w:tc>
        <w:tc>
          <w:tcPr>
            <w:tcW w:w="4580" w:type="dxa"/>
            <w:vAlign w:val="bottom"/>
          </w:tcPr>
          <w:p>
            <w:pPr>
              <w:spacing w:after="0" w:line="186" w:lineRule="exact"/>
              <w:rPr>
                <w:sz w:val="20"/>
                <w:szCs w:val="20"/>
                <w:color w:val="auto"/>
              </w:rPr>
            </w:pPr>
            <w:r>
              <w:rPr>
                <w:rFonts w:ascii="Arial" w:cs="Arial" w:eastAsia="Arial" w:hAnsi="Arial"/>
                <w:sz w:val="18"/>
                <w:szCs w:val="18"/>
                <w:color w:val="auto"/>
                <w:w w:val="90"/>
              </w:rPr>
              <w:t>Exhibit  4.3(A)  to  the  Registrant's  Registration  Statement  on</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600" w:type="dxa"/>
            <w:vAlign w:val="bottom"/>
            <w:tcBorders>
              <w:top w:val="single" w:sz="8" w:color="0000FF"/>
            </w:tcBorders>
            <w:gridSpan w:val="12"/>
            <w:vMerge w:val="restart"/>
          </w:tcPr>
          <w:p>
            <w:pPr>
              <w:ind w:left="4300"/>
              <w:spacing w:after="0"/>
              <w:rPr>
                <w:sz w:val="20"/>
                <w:szCs w:val="20"/>
                <w:color w:val="auto"/>
              </w:rPr>
            </w:pPr>
            <w:r>
              <w:rPr>
                <w:rFonts w:ascii="Arial" w:cs="Arial" w:eastAsia="Arial" w:hAnsi="Arial"/>
                <w:sz w:val="18"/>
                <w:szCs w:val="18"/>
                <w:color w:val="auto"/>
                <w:w w:val="93"/>
              </w:rPr>
              <w:t>100</w:t>
            </w: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Pr>
          <w:p>
            <w:pPr>
              <w:spacing w:after="0" w:line="203" w:lineRule="exact"/>
              <w:rPr>
                <w:sz w:val="20"/>
                <w:szCs w:val="20"/>
                <w:color w:val="auto"/>
              </w:rPr>
            </w:pPr>
            <w:r>
              <w:rPr>
                <w:rFonts w:ascii="Arial" w:cs="Arial" w:eastAsia="Arial" w:hAnsi="Arial"/>
                <w:sz w:val="18"/>
                <w:szCs w:val="18"/>
                <w:color w:val="auto"/>
              </w:rPr>
              <w:t>Form S-8 (No. 333-218747), filed June 14, 2017</w:t>
            </w:r>
          </w:p>
        </w:tc>
        <w:tc>
          <w:tcPr>
            <w:tcW w:w="0" w:type="dxa"/>
            <w:vAlign w:val="bottom"/>
          </w:tcPr>
          <w:p>
            <w:pPr>
              <w:spacing w:after="0"/>
              <w:rPr>
                <w:sz w:val="1"/>
                <w:szCs w:val="1"/>
                <w:color w:val="auto"/>
              </w:rPr>
            </w:pPr>
          </w:p>
        </w:tc>
      </w:tr>
      <w:tr>
        <w:trPr>
          <w:trHeight w:val="836"/>
        </w:trPr>
        <w:tc>
          <w:tcPr>
            <w:tcW w:w="1200" w:type="dxa"/>
            <w:vAlign w:val="bottom"/>
          </w:tcPr>
          <w:p>
            <w:pPr>
              <w:spacing w:after="0"/>
              <w:rPr>
                <w:sz w:val="24"/>
                <w:szCs w:val="24"/>
                <w:color w:val="auto"/>
              </w:rPr>
            </w:pPr>
          </w:p>
        </w:tc>
        <w:tc>
          <w:tcPr>
            <w:tcW w:w="4600" w:type="dxa"/>
            <w:vAlign w:val="bottom"/>
            <w:gridSpan w:val="12"/>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92"/>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40" w:type="dxa"/>
            <w:vAlign w:val="bottom"/>
            <w:gridSpan w:val="20"/>
            <w:vMerge w:val="restart"/>
          </w:tcPr>
          <w:p>
            <w:pPr>
              <w:ind w:left="180"/>
              <w:spacing w:after="0"/>
              <w:rPr>
                <w:sz w:val="20"/>
                <w:szCs w:val="20"/>
                <w:color w:val="auto"/>
              </w:rPr>
            </w:pPr>
            <w:r>
              <w:rPr>
                <w:rFonts w:ascii="Arial" w:cs="Arial" w:eastAsia="Arial" w:hAnsi="Arial"/>
                <w:sz w:val="18"/>
                <w:szCs w:val="18"/>
                <w:b w:val="1"/>
                <w:bCs w:val="1"/>
                <w:color w:val="auto"/>
              </w:rPr>
              <w:t>Description</w:t>
            </w:r>
          </w:p>
        </w:tc>
        <w:tc>
          <w:tcPr>
            <w:tcW w:w="474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5"/>
        </w:trPr>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0"/>
            <w:vMerge w:val="continue"/>
          </w:tcPr>
          <w:p>
            <w:pPr>
              <w:spacing w:after="0"/>
              <w:rPr>
                <w:sz w:val="19"/>
                <w:szCs w:val="19"/>
                <w:color w:val="auto"/>
              </w:rPr>
            </w:pPr>
          </w:p>
        </w:tc>
        <w:tc>
          <w:tcPr>
            <w:tcW w:w="4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00" w:type="dxa"/>
            <w:vAlign w:val="bottom"/>
            <w:tcBorders>
              <w:bottom w:val="single" w:sz="8" w:color="CCEEFF"/>
            </w:tcBorders>
            <w:shd w:val="clear" w:color="auto" w:fill="CCEEFF"/>
          </w:tcPr>
          <w:p>
            <w:pPr>
              <w:jc w:val="right"/>
              <w:ind w:right="92"/>
              <w:spacing w:after="0" w:line="179" w:lineRule="exact"/>
              <w:rPr>
                <w:sz w:val="20"/>
                <w:szCs w:val="20"/>
                <w:color w:val="auto"/>
              </w:rPr>
            </w:pPr>
            <w:r>
              <w:rPr>
                <w:rFonts w:ascii="Arial" w:cs="Arial" w:eastAsia="Arial" w:hAnsi="Arial"/>
                <w:sz w:val="18"/>
                <w:szCs w:val="18"/>
                <w:color w:val="auto"/>
              </w:rPr>
              <w:t>10.4</w:t>
            </w:r>
          </w:p>
        </w:tc>
        <w:tc>
          <w:tcPr>
            <w:tcW w:w="5300" w:type="dxa"/>
            <w:vAlign w:val="bottom"/>
            <w:tcBorders>
              <w:bottom w:val="single" w:sz="8" w:color="0000FF"/>
            </w:tcBorders>
            <w:gridSpan w:val="24"/>
            <w:shd w:val="clear" w:color="auto" w:fill="CCEEFF"/>
          </w:tcPr>
          <w:p>
            <w:pPr>
              <w:spacing w:after="0" w:line="179" w:lineRule="exact"/>
              <w:rPr>
                <w:rFonts w:ascii="Arial" w:cs="Arial" w:eastAsia="Arial" w:hAnsi="Arial"/>
                <w:sz w:val="18"/>
                <w:szCs w:val="18"/>
                <w:color w:val="0000FF"/>
                <w:w w:val="95"/>
              </w:rPr>
            </w:pPr>
            <w:hyperlink r:id="rId149">
              <w:r>
                <w:rPr>
                  <w:rFonts w:ascii="Arial" w:cs="Arial" w:eastAsia="Arial" w:hAnsi="Arial"/>
                  <w:sz w:val="18"/>
                  <w:szCs w:val="18"/>
                  <w:color w:val="0000FF"/>
                  <w:w w:val="95"/>
                </w:rPr>
                <w:t>Form of Notice of Stock Option Award Granted Under the 2008 Stock</w:t>
              </w:r>
            </w:hyperlink>
          </w:p>
        </w:tc>
        <w:tc>
          <w:tcPr>
            <w:tcW w:w="474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w w:val="92"/>
              </w:rPr>
              <w:t>Exhibit 10.6 to the Registrant's Current Report on Form 8-K (No.</w:t>
            </w: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spacing w:after="0"/>
              <w:rPr>
                <w:sz w:val="13"/>
                <w:szCs w:val="13"/>
                <w:color w:val="auto"/>
              </w:rPr>
            </w:pPr>
          </w:p>
        </w:tc>
        <w:tc>
          <w:tcPr>
            <w:tcW w:w="5300" w:type="dxa"/>
            <w:vAlign w:val="bottom"/>
            <w:gridSpan w:val="24"/>
            <w:shd w:val="clear" w:color="auto" w:fill="CCEEFF"/>
          </w:tcPr>
          <w:p>
            <w:pPr>
              <w:spacing w:after="0" w:line="152" w:lineRule="exact"/>
              <w:rPr>
                <w:rFonts w:ascii="Arial" w:cs="Arial" w:eastAsia="Arial" w:hAnsi="Arial"/>
                <w:sz w:val="17"/>
                <w:szCs w:val="17"/>
                <w:color w:val="0000FF"/>
              </w:rPr>
            </w:pPr>
            <w:hyperlink r:id="rId149">
              <w:r>
                <w:rPr>
                  <w:rFonts w:ascii="Arial" w:cs="Arial" w:eastAsia="Arial" w:hAnsi="Arial"/>
                  <w:sz w:val="17"/>
                  <w:szCs w:val="17"/>
                  <w:color w:val="0000FF"/>
                </w:rPr>
                <w:t>and Annual Incentive Plan*</w:t>
              </w:r>
            </w:hyperlink>
          </w:p>
        </w:tc>
        <w:tc>
          <w:tcPr>
            <w:tcW w:w="4740" w:type="dxa"/>
            <w:vAlign w:val="bottom"/>
            <w:shd w:val="clear" w:color="auto" w:fill="CCEEFF"/>
          </w:tcPr>
          <w:p>
            <w:pPr>
              <w:spacing w:after="0" w:line="152" w:lineRule="exact"/>
              <w:rPr>
                <w:sz w:val="20"/>
                <w:szCs w:val="20"/>
                <w:color w:val="auto"/>
              </w:rPr>
            </w:pPr>
            <w:r>
              <w:rPr>
                <w:rFonts w:ascii="Arial" w:cs="Arial" w:eastAsia="Arial" w:hAnsi="Arial"/>
                <w:sz w:val="17"/>
                <w:szCs w:val="17"/>
                <w:color w:val="auto"/>
              </w:rPr>
              <w:t>001-34063) filed March 27, 2009</w:t>
            </w: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10.5</w:t>
            </w:r>
          </w:p>
        </w:tc>
        <w:tc>
          <w:tcPr>
            <w:tcW w:w="5300" w:type="dxa"/>
            <w:vAlign w:val="bottom"/>
            <w:gridSpan w:val="24"/>
          </w:tcPr>
          <w:p>
            <w:pPr>
              <w:spacing w:after="0" w:line="186" w:lineRule="exact"/>
              <w:rPr>
                <w:rFonts w:ascii="Arial" w:cs="Arial" w:eastAsia="Arial" w:hAnsi="Arial"/>
                <w:sz w:val="18"/>
                <w:szCs w:val="18"/>
                <w:color w:val="0000FF"/>
              </w:rPr>
            </w:pPr>
            <w:hyperlink r:id="rId150">
              <w:r>
                <w:rPr>
                  <w:rFonts w:ascii="Arial" w:cs="Arial" w:eastAsia="Arial" w:hAnsi="Arial"/>
                  <w:sz w:val="18"/>
                  <w:szCs w:val="18"/>
                  <w:color w:val="0000FF"/>
                </w:rPr>
                <w:t>Form of Notice of Restricted Stock Unit Award*</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4"/>
              </w:rPr>
              <w:t>Exhibit 10.3 to the Registrant's Quarterly Report on Form 10-Q</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tcPr>
          <w:p>
            <w:pPr>
              <w:spacing w:after="0" w:line="192" w:lineRule="exact"/>
              <w:rPr>
                <w:sz w:val="20"/>
                <w:szCs w:val="20"/>
                <w:color w:val="auto"/>
              </w:rPr>
            </w:pPr>
            <w:r>
              <w:rPr>
                <w:rFonts w:ascii="Arial" w:cs="Arial" w:eastAsia="Arial" w:hAnsi="Arial"/>
                <w:sz w:val="18"/>
                <w:szCs w:val="18"/>
                <w:color w:val="auto"/>
              </w:rPr>
              <w:t>filed May 7, 2014</w:t>
            </w: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10.6</w:t>
            </w:r>
          </w:p>
        </w:tc>
        <w:tc>
          <w:tcPr>
            <w:tcW w:w="5300" w:type="dxa"/>
            <w:vAlign w:val="bottom"/>
            <w:gridSpan w:val="24"/>
            <w:shd w:val="clear" w:color="auto" w:fill="CCEEFF"/>
          </w:tcPr>
          <w:p>
            <w:pPr>
              <w:spacing w:after="0" w:line="186" w:lineRule="exact"/>
              <w:rPr>
                <w:rFonts w:ascii="Arial" w:cs="Arial" w:eastAsia="Arial" w:hAnsi="Arial"/>
                <w:sz w:val="18"/>
                <w:szCs w:val="18"/>
                <w:color w:val="0000FF"/>
              </w:rPr>
            </w:pPr>
            <w:hyperlink r:id="rId151">
              <w:r>
                <w:rPr>
                  <w:rFonts w:ascii="Arial" w:cs="Arial" w:eastAsia="Arial" w:hAnsi="Arial"/>
                  <w:sz w:val="18"/>
                  <w:szCs w:val="18"/>
                  <w:color w:val="0000FF"/>
                </w:rPr>
                <w:t>Form of Notice of Restricted Stock Award*</w:t>
              </w:r>
            </w:hyperlink>
          </w:p>
        </w:tc>
        <w:tc>
          <w:tcPr>
            <w:tcW w:w="474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4"/>
              </w:rPr>
              <w:t>Exhibit 10.4 to the Registrant's Quarterly Report on Form 10-Q</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left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7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filed May 7, 2014</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10.7</w:t>
            </w:r>
          </w:p>
        </w:tc>
        <w:tc>
          <w:tcPr>
            <w:tcW w:w="5300" w:type="dxa"/>
            <w:vAlign w:val="bottom"/>
            <w:tcBorders>
              <w:bottom w:val="single" w:sz="8" w:color="0000FF"/>
            </w:tcBorders>
            <w:gridSpan w:val="24"/>
          </w:tcPr>
          <w:p>
            <w:pPr>
              <w:spacing w:after="0" w:line="186" w:lineRule="exact"/>
              <w:rPr>
                <w:rFonts w:ascii="Arial" w:cs="Arial" w:eastAsia="Arial" w:hAnsi="Arial"/>
                <w:sz w:val="18"/>
                <w:szCs w:val="18"/>
                <w:color w:val="0000FF"/>
                <w:w w:val="95"/>
              </w:rPr>
            </w:pPr>
            <w:hyperlink r:id="rId152">
              <w:r>
                <w:rPr>
                  <w:rFonts w:ascii="Arial" w:cs="Arial" w:eastAsia="Arial" w:hAnsi="Arial"/>
                  <w:sz w:val="18"/>
                  <w:szCs w:val="18"/>
                  <w:color w:val="0000FF"/>
                  <w:w w:val="95"/>
                </w:rPr>
                <w:t>Form of Notice of Stock Option Award Granted Under the 2008 Stock</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4"/>
              </w:rPr>
              <w:t>Exhibit 10.5 to the Registrant's Quarterly Report on Form 10-Q</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300" w:type="dxa"/>
            <w:vAlign w:val="bottom"/>
            <w:gridSpan w:val="24"/>
          </w:tcPr>
          <w:p>
            <w:pPr>
              <w:spacing w:after="0" w:line="152" w:lineRule="exact"/>
              <w:rPr>
                <w:rFonts w:ascii="Arial" w:cs="Arial" w:eastAsia="Arial" w:hAnsi="Arial"/>
                <w:sz w:val="17"/>
                <w:szCs w:val="17"/>
                <w:color w:val="0000FF"/>
              </w:rPr>
            </w:pPr>
            <w:hyperlink r:id="rId152">
              <w:r>
                <w:rPr>
                  <w:rFonts w:ascii="Arial" w:cs="Arial" w:eastAsia="Arial" w:hAnsi="Arial"/>
                  <w:sz w:val="17"/>
                  <w:szCs w:val="17"/>
                  <w:color w:val="0000FF"/>
                </w:rPr>
                <w:t>and Annual Incentive Plan*</w:t>
              </w:r>
            </w:hyperlink>
          </w:p>
        </w:tc>
        <w:tc>
          <w:tcPr>
            <w:tcW w:w="4740" w:type="dxa"/>
            <w:vAlign w:val="bottom"/>
          </w:tcPr>
          <w:p>
            <w:pPr>
              <w:spacing w:after="0" w:line="152" w:lineRule="exact"/>
              <w:rPr>
                <w:sz w:val="20"/>
                <w:szCs w:val="20"/>
                <w:color w:val="auto"/>
              </w:rPr>
            </w:pPr>
            <w:r>
              <w:rPr>
                <w:rFonts w:ascii="Arial" w:cs="Arial" w:eastAsia="Arial" w:hAnsi="Arial"/>
                <w:sz w:val="17"/>
                <w:szCs w:val="17"/>
                <w:color w:val="auto"/>
              </w:rPr>
              <w:t>filed May 7, 2014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10.8</w:t>
            </w:r>
          </w:p>
        </w:tc>
        <w:tc>
          <w:tcPr>
            <w:tcW w:w="5300" w:type="dxa"/>
            <w:vAlign w:val="bottom"/>
            <w:gridSpan w:val="24"/>
            <w:shd w:val="clear" w:color="auto" w:fill="CCEEFF"/>
          </w:tcPr>
          <w:p>
            <w:pPr>
              <w:spacing w:after="0" w:line="195" w:lineRule="exact"/>
              <w:rPr>
                <w:rFonts w:ascii="Arial" w:cs="Arial" w:eastAsia="Arial" w:hAnsi="Arial"/>
                <w:sz w:val="18"/>
                <w:szCs w:val="18"/>
                <w:color w:val="0000FF"/>
              </w:rPr>
            </w:pPr>
            <w:hyperlink r:id="rId153">
              <w:r>
                <w:rPr>
                  <w:rFonts w:ascii="Arial" w:cs="Arial" w:eastAsia="Arial" w:hAnsi="Arial"/>
                  <w:sz w:val="18"/>
                  <w:szCs w:val="18"/>
                  <w:color w:val="0000FF"/>
                </w:rPr>
                <w:t>LendingTree, Inc. 2017 Inducement Grant Plan*</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Exhibit  4.4(A)  to  the  Registrant's  Registration  Statement  on</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left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7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Form S-8 (No. 333-218747), filed June 14, 2017</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10.9</w:t>
            </w:r>
          </w:p>
        </w:tc>
        <w:tc>
          <w:tcPr>
            <w:tcW w:w="5300" w:type="dxa"/>
            <w:vAlign w:val="bottom"/>
            <w:gridSpan w:val="24"/>
          </w:tcPr>
          <w:p>
            <w:pPr>
              <w:spacing w:after="0" w:line="186"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Notice of Restricted Stock Unit Award Granted Under the LendingTree,</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3"/>
              </w:rPr>
              <w:t>Exhibit  4.4(B)  to  the  Registrant's  Registration  Statement  on</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1"/>
              </w:rPr>
            </w:pPr>
            <w:hyperlink r:id="rId154">
              <w:r>
                <w:rPr>
                  <w:rFonts w:ascii="Arial" w:cs="Arial" w:eastAsia="Arial" w:hAnsi="Arial"/>
                  <w:sz w:val="17"/>
                  <w:szCs w:val="17"/>
                  <w:color w:val="0000FF"/>
                  <w:w w:val="91"/>
                </w:rPr>
                <w:t>Inc. 2017 Inducement Plan*</w:t>
              </w:r>
            </w:hyperlink>
          </w:p>
        </w:tc>
        <w:tc>
          <w:tcPr>
            <w:tcW w:w="324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Pr>
          <w:p>
            <w:pPr>
              <w:spacing w:after="0" w:line="152" w:lineRule="exact"/>
              <w:rPr>
                <w:sz w:val="20"/>
                <w:szCs w:val="20"/>
                <w:color w:val="auto"/>
              </w:rPr>
            </w:pPr>
            <w:r>
              <w:rPr>
                <w:rFonts w:ascii="Arial" w:cs="Arial" w:eastAsia="Arial" w:hAnsi="Arial"/>
                <w:sz w:val="17"/>
                <w:szCs w:val="17"/>
                <w:color w:val="auto"/>
              </w:rPr>
              <w:t>Form S-8 (No. 333-218747), filed June 14, 2017</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10.10</w:t>
            </w:r>
          </w:p>
        </w:tc>
        <w:tc>
          <w:tcPr>
            <w:tcW w:w="5300" w:type="dxa"/>
            <w:vAlign w:val="bottom"/>
            <w:gridSpan w:val="24"/>
            <w:shd w:val="clear" w:color="auto" w:fill="CCEEFF"/>
          </w:tcPr>
          <w:p>
            <w:pPr>
              <w:spacing w:after="0" w:line="195" w:lineRule="exact"/>
              <w:rPr>
                <w:rFonts w:ascii="Arial" w:cs="Arial" w:eastAsia="Arial" w:hAnsi="Arial"/>
                <w:sz w:val="18"/>
                <w:szCs w:val="18"/>
                <w:color w:val="0000FF"/>
              </w:rPr>
            </w:pPr>
            <w:hyperlink r:id="rId155">
              <w:r>
                <w:rPr>
                  <w:rFonts w:ascii="Arial" w:cs="Arial" w:eastAsia="Arial" w:hAnsi="Arial"/>
                  <w:sz w:val="18"/>
                  <w:szCs w:val="18"/>
                  <w:color w:val="0000FF"/>
                </w:rPr>
                <w:t>Restricted Stock Award Agreement*</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Exhibit  4.4(C)  to  the  Registrant's  Registration  Statement  on</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left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7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Form S-8 (No. 333-218747), filed June 14, 2017</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10.11</w:t>
            </w:r>
          </w:p>
        </w:tc>
        <w:tc>
          <w:tcPr>
            <w:tcW w:w="5300" w:type="dxa"/>
            <w:vAlign w:val="bottom"/>
            <w:gridSpan w:val="24"/>
          </w:tcPr>
          <w:p>
            <w:pPr>
              <w:spacing w:after="0" w:line="186" w:lineRule="exact"/>
              <w:rPr>
                <w:rFonts w:ascii="Arial" w:cs="Arial" w:eastAsia="Arial" w:hAnsi="Arial"/>
                <w:sz w:val="18"/>
                <w:szCs w:val="18"/>
                <w:color w:val="0000FF"/>
              </w:rPr>
            </w:pPr>
            <w:hyperlink r:id="rId156">
              <w:r>
                <w:rPr>
                  <w:rFonts w:ascii="Arial" w:cs="Arial" w:eastAsia="Arial" w:hAnsi="Arial"/>
                  <w:sz w:val="18"/>
                  <w:szCs w:val="18"/>
                  <w:color w:val="0000FF"/>
                </w:rPr>
                <w:t>2011 Deferred Compensation Plan for Non-Employee Directors*</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4"/>
              </w:rPr>
              <w:t>Exhibit 10.2 to the Registrant's Quarterly Report on Form 10-Q</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tcPr>
          <w:p>
            <w:pPr>
              <w:spacing w:after="0" w:line="192" w:lineRule="exact"/>
              <w:rPr>
                <w:sz w:val="20"/>
                <w:szCs w:val="20"/>
                <w:color w:val="auto"/>
              </w:rPr>
            </w:pPr>
            <w:r>
              <w:rPr>
                <w:rFonts w:ascii="Arial" w:cs="Arial" w:eastAsia="Arial" w:hAnsi="Arial"/>
                <w:sz w:val="18"/>
                <w:szCs w:val="18"/>
                <w:color w:val="auto"/>
              </w:rPr>
              <w:t>filed April 30, 2015</w:t>
            </w: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10.12</w:t>
            </w:r>
          </w:p>
        </w:tc>
        <w:tc>
          <w:tcPr>
            <w:tcW w:w="5300" w:type="dxa"/>
            <w:vAlign w:val="bottom"/>
            <w:gridSpan w:val="24"/>
            <w:shd w:val="clear" w:color="auto" w:fill="CCEEFF"/>
          </w:tcPr>
          <w:p>
            <w:pPr>
              <w:spacing w:after="0" w:line="186" w:lineRule="exact"/>
              <w:rPr>
                <w:rFonts w:ascii="Arial" w:cs="Arial" w:eastAsia="Arial" w:hAnsi="Arial"/>
                <w:sz w:val="18"/>
                <w:szCs w:val="18"/>
                <w:color w:val="0000FF"/>
              </w:rPr>
            </w:pPr>
            <w:hyperlink r:id="rId157">
              <w:r>
                <w:rPr>
                  <w:rFonts w:ascii="Arial" w:cs="Arial" w:eastAsia="Arial" w:hAnsi="Arial"/>
                  <w:sz w:val="18"/>
                  <w:szCs w:val="18"/>
                  <w:color w:val="0000FF"/>
                </w:rPr>
                <w:t>Deferred Compensation Plan for Non-Employee Directors*</w:t>
              </w:r>
            </w:hyperlink>
          </w:p>
        </w:tc>
        <w:tc>
          <w:tcPr>
            <w:tcW w:w="474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4"/>
              </w:rPr>
              <w:t>Exhibit  10.15  to  the  Registrant's  Registration  Statement  on</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left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7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Form S-1 (No. 333-152700), filed August 1, 2008</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10.13</w:t>
            </w:r>
          </w:p>
        </w:tc>
        <w:tc>
          <w:tcPr>
            <w:tcW w:w="5300" w:type="dxa"/>
            <w:vAlign w:val="bottom"/>
            <w:gridSpan w:val="24"/>
          </w:tcPr>
          <w:p>
            <w:pPr>
              <w:spacing w:after="0" w:line="186"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Standard Terms and Conditions to Restricted Stock Award Letters of</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2"/>
              </w:rPr>
              <w:t>Exhibit 10.2 to the Registrant's Current Report on Form 8-K filed</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28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158">
              <w:r>
                <w:rPr>
                  <w:rFonts w:ascii="Arial" w:cs="Arial" w:eastAsia="Arial" w:hAnsi="Arial"/>
                  <w:sz w:val="17"/>
                  <w:szCs w:val="17"/>
                  <w:color w:val="0000FF"/>
                </w:rPr>
                <w:t>Tree.com BU Holding Company, Inc.*</w:t>
              </w:r>
            </w:hyperlink>
          </w:p>
        </w:tc>
        <w:tc>
          <w:tcPr>
            <w:tcW w:w="20" w:type="dxa"/>
            <w:vAlign w:val="bottom"/>
          </w:tcPr>
          <w:p>
            <w:pPr>
              <w:spacing w:after="0"/>
              <w:rPr>
                <w:sz w:val="13"/>
                <w:szCs w:val="13"/>
                <w:color w:val="auto"/>
              </w:rPr>
            </w:pPr>
          </w:p>
        </w:tc>
        <w:tc>
          <w:tcPr>
            <w:tcW w:w="4740" w:type="dxa"/>
            <w:vAlign w:val="bottom"/>
          </w:tcPr>
          <w:p>
            <w:pPr>
              <w:spacing w:after="0" w:line="152" w:lineRule="exact"/>
              <w:rPr>
                <w:sz w:val="20"/>
                <w:szCs w:val="20"/>
                <w:color w:val="auto"/>
              </w:rPr>
            </w:pPr>
            <w:r>
              <w:rPr>
                <w:rFonts w:ascii="Arial" w:cs="Arial" w:eastAsia="Arial" w:hAnsi="Arial"/>
                <w:sz w:val="17"/>
                <w:szCs w:val="17"/>
                <w:color w:val="auto"/>
              </w:rPr>
              <w:t>February 3, 2011</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10.14</w:t>
            </w:r>
          </w:p>
        </w:tc>
        <w:tc>
          <w:tcPr>
            <w:tcW w:w="5300" w:type="dxa"/>
            <w:vAlign w:val="bottom"/>
            <w:gridSpan w:val="24"/>
            <w:shd w:val="clear" w:color="auto" w:fill="CCEEFF"/>
          </w:tcPr>
          <w:p>
            <w:pPr>
              <w:spacing w:after="0" w:line="195" w:lineRule="exact"/>
              <w:rPr>
                <w:rFonts w:ascii="Arial" w:cs="Arial" w:eastAsia="Arial" w:hAnsi="Arial"/>
                <w:sz w:val="18"/>
                <w:szCs w:val="18"/>
                <w:color w:val="0000FF"/>
              </w:rPr>
            </w:pPr>
            <w:hyperlink r:id="rId159">
              <w:r>
                <w:rPr>
                  <w:rFonts w:ascii="Arial" w:cs="Arial" w:eastAsia="Arial" w:hAnsi="Arial"/>
                  <w:sz w:val="18"/>
                  <w:szCs w:val="18"/>
                  <w:color w:val="0000FF"/>
                </w:rPr>
                <w:t>Form of Notice of Restricted Stock Unit Award*</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Exhibit 10.86(b) to the Registrant's Post-Effective Amendment to</w:t>
            </w:r>
          </w:p>
        </w:tc>
        <w:tc>
          <w:tcPr>
            <w:tcW w:w="0" w:type="dxa"/>
            <w:vAlign w:val="bottom"/>
          </w:tcPr>
          <w:p>
            <w:pPr>
              <w:spacing w:after="0"/>
              <w:rPr>
                <w:sz w:val="1"/>
                <w:szCs w:val="1"/>
                <w:color w:val="auto"/>
              </w:rPr>
            </w:pPr>
          </w:p>
        </w:tc>
      </w:tr>
      <w:tr>
        <w:trPr>
          <w:trHeight w:val="140"/>
        </w:trPr>
        <w:tc>
          <w:tcPr>
            <w:tcW w:w="1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74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shd w:val="clear" w:color="auto" w:fill="CCEEFF"/>
          </w:tcPr>
          <w:p>
            <w:pPr>
              <w:spacing w:after="0"/>
              <w:rPr>
                <w:sz w:val="12"/>
                <w:szCs w:val="12"/>
                <w:color w:val="auto"/>
              </w:rPr>
            </w:pPr>
          </w:p>
        </w:tc>
        <w:tc>
          <w:tcPr>
            <w:tcW w:w="420" w:type="dxa"/>
            <w:vAlign w:val="bottom"/>
            <w:tcBorders>
              <w:top w:val="single" w:sz="8" w:color="0000FF"/>
              <w:left w:val="single" w:sz="8" w:color="CCEE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right w:val="single" w:sz="8" w:color="CCEE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74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5"/>
                <w:szCs w:val="15"/>
                <w:color w:val="auto"/>
              </w:rPr>
              <w:t>its Registration Statement on Form S-1 (No. 333-152700), filed</w:t>
            </w:r>
          </w:p>
        </w:tc>
        <w:tc>
          <w:tcPr>
            <w:tcW w:w="0" w:type="dxa"/>
            <w:vAlign w:val="bottom"/>
          </w:tcPr>
          <w:p>
            <w:pPr>
              <w:spacing w:after="0"/>
              <w:rPr>
                <w:sz w:val="1"/>
                <w:szCs w:val="1"/>
                <w:color w:val="auto"/>
              </w:rPr>
            </w:pPr>
          </w:p>
        </w:tc>
      </w:tr>
      <w:tr>
        <w:trPr>
          <w:trHeight w:val="224"/>
        </w:trPr>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July 13, 2012</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10.15</w:t>
            </w:r>
          </w:p>
        </w:tc>
        <w:tc>
          <w:tcPr>
            <w:tcW w:w="5300" w:type="dxa"/>
            <w:vAlign w:val="bottom"/>
            <w:gridSpan w:val="24"/>
          </w:tcPr>
          <w:p>
            <w:pPr>
              <w:spacing w:after="0" w:line="186" w:lineRule="exact"/>
              <w:rPr>
                <w:rFonts w:ascii="Arial" w:cs="Arial" w:eastAsia="Arial" w:hAnsi="Arial"/>
                <w:sz w:val="18"/>
                <w:szCs w:val="18"/>
                <w:color w:val="0000FF"/>
              </w:rPr>
            </w:pPr>
            <w:hyperlink r:id="rId160">
              <w:r>
                <w:rPr>
                  <w:rFonts w:ascii="Arial" w:cs="Arial" w:eastAsia="Arial" w:hAnsi="Arial"/>
                  <w:sz w:val="18"/>
                  <w:szCs w:val="18"/>
                  <w:color w:val="0000FF"/>
                </w:rPr>
                <w:t>Form of Restricted Stock Award*</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2"/>
              </w:rPr>
              <w:t>Exhibit 10.86(c) to the Registrant's Post-Effective Amendment to</w:t>
            </w: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Pr>
          <w:p>
            <w:pPr>
              <w:spacing w:after="0" w:line="140" w:lineRule="exact"/>
              <w:rPr>
                <w:sz w:val="20"/>
                <w:szCs w:val="20"/>
                <w:color w:val="auto"/>
              </w:rPr>
            </w:pPr>
            <w:r>
              <w:rPr>
                <w:rFonts w:ascii="Arial" w:cs="Arial" w:eastAsia="Arial" w:hAnsi="Arial"/>
                <w:sz w:val="15"/>
                <w:szCs w:val="15"/>
                <w:color w:val="auto"/>
              </w:rPr>
              <w:t>its Registration Statement on Form S-1 (No. 333-152700), filed</w:t>
            </w: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July 13, 2012</w:t>
            </w: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10.16</w:t>
            </w:r>
          </w:p>
        </w:tc>
        <w:tc>
          <w:tcPr>
            <w:tcW w:w="5300" w:type="dxa"/>
            <w:vAlign w:val="bottom"/>
            <w:gridSpan w:val="24"/>
            <w:shd w:val="clear" w:color="auto" w:fill="CCEEFF"/>
          </w:tcPr>
          <w:p>
            <w:pPr>
              <w:spacing w:after="0" w:line="186" w:lineRule="exact"/>
              <w:rPr>
                <w:rFonts w:ascii="Arial" w:cs="Arial" w:eastAsia="Arial" w:hAnsi="Arial"/>
                <w:sz w:val="18"/>
                <w:szCs w:val="18"/>
                <w:color w:val="0000FF"/>
                <w:w w:val="98"/>
              </w:rPr>
            </w:pPr>
            <w:hyperlink r:id="rId161">
              <w:r>
                <w:rPr>
                  <w:rFonts w:ascii="Arial" w:cs="Arial" w:eastAsia="Arial" w:hAnsi="Arial"/>
                  <w:sz w:val="18"/>
                  <w:szCs w:val="18"/>
                  <w:color w:val="0000FF"/>
                  <w:w w:val="98"/>
                </w:rPr>
                <w:t>Form of Notice of Stock Option Award Granted Under the Amended</w:t>
              </w:r>
            </w:hyperlink>
          </w:p>
        </w:tc>
        <w:tc>
          <w:tcPr>
            <w:tcW w:w="474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1"/>
              </w:rPr>
              <w:t>Exhibit 10.86(d) to the Registrant's Post-Effective Amendment to</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17"/>
            <w:shd w:val="clear" w:color="auto" w:fill="CCEEFF"/>
          </w:tcPr>
          <w:p>
            <w:pPr>
              <w:spacing w:after="0" w:line="152" w:lineRule="exact"/>
              <w:rPr>
                <w:rFonts w:ascii="Arial" w:cs="Arial" w:eastAsia="Arial" w:hAnsi="Arial"/>
                <w:sz w:val="17"/>
                <w:szCs w:val="17"/>
                <w:color w:val="0000FF"/>
              </w:rPr>
            </w:pPr>
            <w:hyperlink r:id="rId161">
              <w:r>
                <w:rPr>
                  <w:rFonts w:ascii="Arial" w:cs="Arial" w:eastAsia="Arial" w:hAnsi="Arial"/>
                  <w:sz w:val="17"/>
                  <w:szCs w:val="17"/>
                  <w:color w:val="0000FF"/>
                </w:rPr>
                <w:t>and Restated 2008 Stock and Annual Incentive 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7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w w:val="99"/>
              </w:rPr>
              <w:t>its Registration Statement on Form S-1 (No. 333-152700), filed</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left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7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July 13, 2012</w:t>
            </w: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10.17</w:t>
            </w:r>
          </w:p>
        </w:tc>
        <w:tc>
          <w:tcPr>
            <w:tcW w:w="5300" w:type="dxa"/>
            <w:vAlign w:val="bottom"/>
            <w:gridSpan w:val="24"/>
          </w:tcPr>
          <w:p>
            <w:pPr>
              <w:spacing w:after="0" w:line="186" w:lineRule="exact"/>
              <w:rPr>
                <w:rFonts w:ascii="Arial" w:cs="Arial" w:eastAsia="Arial" w:hAnsi="Arial"/>
                <w:sz w:val="18"/>
                <w:szCs w:val="18"/>
                <w:color w:val="0000FF"/>
              </w:rPr>
            </w:pPr>
            <w:hyperlink r:id="rId162">
              <w:r>
                <w:rPr>
                  <w:rFonts w:ascii="Arial" w:cs="Arial" w:eastAsia="Arial" w:hAnsi="Arial"/>
                  <w:sz w:val="18"/>
                  <w:szCs w:val="18"/>
                  <w:color w:val="0000FF"/>
                </w:rPr>
                <w:t>Form of Notice of Stock Option Award Granted Under the Second</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2"/>
              </w:rPr>
              <w:t>Exhibit 10.13 to the Registrant's Quarterly Report on Form 10-Q</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4"/>
          </w:tcPr>
          <w:p>
            <w:pPr>
              <w:spacing w:after="0" w:line="152" w:lineRule="exact"/>
              <w:rPr>
                <w:rFonts w:ascii="Arial" w:cs="Arial" w:eastAsia="Arial" w:hAnsi="Arial"/>
                <w:sz w:val="17"/>
                <w:szCs w:val="17"/>
                <w:color w:val="0000FF"/>
                <w:w w:val="93"/>
              </w:rPr>
            </w:pPr>
            <w:hyperlink r:id="rId162">
              <w:r>
                <w:rPr>
                  <w:rFonts w:ascii="Arial" w:cs="Arial" w:eastAsia="Arial" w:hAnsi="Arial"/>
                  <w:sz w:val="17"/>
                  <w:szCs w:val="17"/>
                  <w:color w:val="0000FF"/>
                  <w:w w:val="93"/>
                </w:rPr>
                <w:t>Amended and Restated 2008 Stock and Annual Incentive Plan*</w:t>
              </w:r>
            </w:hyperlink>
          </w:p>
        </w:tc>
        <w:tc>
          <w:tcPr>
            <w:tcW w:w="76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4740" w:type="dxa"/>
            <w:vAlign w:val="bottom"/>
          </w:tcPr>
          <w:p>
            <w:pPr>
              <w:spacing w:after="0" w:line="152" w:lineRule="exact"/>
              <w:rPr>
                <w:sz w:val="20"/>
                <w:szCs w:val="20"/>
                <w:color w:val="auto"/>
              </w:rPr>
            </w:pPr>
            <w:r>
              <w:rPr>
                <w:rFonts w:ascii="Arial" w:cs="Arial" w:eastAsia="Arial" w:hAnsi="Arial"/>
                <w:sz w:val="17"/>
                <w:szCs w:val="17"/>
                <w:color w:val="auto"/>
              </w:rPr>
              <w:t>(No. 001-34063) filed May 12, 2010</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10.18</w:t>
            </w:r>
          </w:p>
        </w:tc>
        <w:tc>
          <w:tcPr>
            <w:tcW w:w="5300" w:type="dxa"/>
            <w:vAlign w:val="bottom"/>
            <w:gridSpan w:val="24"/>
            <w:shd w:val="clear" w:color="auto" w:fill="CCEEFF"/>
          </w:tcPr>
          <w:p>
            <w:pPr>
              <w:spacing w:after="0" w:line="195" w:lineRule="exact"/>
              <w:rPr>
                <w:rFonts w:ascii="Arial" w:cs="Arial" w:eastAsia="Arial" w:hAnsi="Arial"/>
                <w:sz w:val="18"/>
                <w:szCs w:val="18"/>
                <w:color w:val="0000FF"/>
              </w:rPr>
            </w:pPr>
            <w:hyperlink r:id="rId163">
              <w:r>
                <w:rPr>
                  <w:rFonts w:ascii="Arial" w:cs="Arial" w:eastAsia="Arial" w:hAnsi="Arial"/>
                  <w:sz w:val="18"/>
                  <w:szCs w:val="18"/>
                  <w:color w:val="0000FF"/>
                </w:rPr>
                <w:t>Base Convertible Bond Hedge Transaction</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Exhibit 99.2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left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7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10.19</w:t>
            </w:r>
          </w:p>
        </w:tc>
        <w:tc>
          <w:tcPr>
            <w:tcW w:w="5300" w:type="dxa"/>
            <w:vAlign w:val="bottom"/>
            <w:gridSpan w:val="24"/>
          </w:tcPr>
          <w:p>
            <w:pPr>
              <w:spacing w:after="0" w:line="186" w:lineRule="exact"/>
              <w:rPr>
                <w:rFonts w:ascii="Arial" w:cs="Arial" w:eastAsia="Arial" w:hAnsi="Arial"/>
                <w:sz w:val="18"/>
                <w:szCs w:val="18"/>
                <w:color w:val="0000FF"/>
              </w:rPr>
            </w:pPr>
            <w:hyperlink r:id="rId164">
              <w:r>
                <w:rPr>
                  <w:rFonts w:ascii="Arial" w:cs="Arial" w:eastAsia="Arial" w:hAnsi="Arial"/>
                  <w:sz w:val="18"/>
                  <w:szCs w:val="18"/>
                  <w:color w:val="0000FF"/>
                </w:rPr>
                <w:t>Additional Convertible Bond Hedge Transaction</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2"/>
              </w:rPr>
              <w:t>Exhibit 99.3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tcPr>
          <w:p>
            <w:pPr>
              <w:spacing w:after="0" w:line="192" w:lineRule="exact"/>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85"/>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10.20</w:t>
            </w:r>
          </w:p>
        </w:tc>
        <w:tc>
          <w:tcPr>
            <w:tcW w:w="5300" w:type="dxa"/>
            <w:vAlign w:val="bottom"/>
            <w:gridSpan w:val="24"/>
            <w:shd w:val="clear" w:color="auto" w:fill="CCEEFF"/>
          </w:tcPr>
          <w:p>
            <w:pPr>
              <w:spacing w:after="0" w:line="186" w:lineRule="exact"/>
              <w:rPr>
                <w:rFonts w:ascii="Arial" w:cs="Arial" w:eastAsia="Arial" w:hAnsi="Arial"/>
                <w:sz w:val="18"/>
                <w:szCs w:val="18"/>
                <w:color w:val="0000FF"/>
              </w:rPr>
            </w:pPr>
            <w:hyperlink r:id="rId165">
              <w:r>
                <w:rPr>
                  <w:rFonts w:ascii="Arial" w:cs="Arial" w:eastAsia="Arial" w:hAnsi="Arial"/>
                  <w:sz w:val="18"/>
                  <w:szCs w:val="18"/>
                  <w:color w:val="0000FF"/>
                </w:rPr>
                <w:t>Credit Agreement, dated as of September 15, 2021</w:t>
              </w:r>
            </w:hyperlink>
          </w:p>
        </w:tc>
        <w:tc>
          <w:tcPr>
            <w:tcW w:w="474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2"/>
              </w:rPr>
              <w:t>Exhibit 99.1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left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7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September 16, 2021</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10.21</w:t>
            </w:r>
          </w:p>
        </w:tc>
        <w:tc>
          <w:tcPr>
            <w:tcW w:w="5300" w:type="dxa"/>
            <w:vAlign w:val="bottom"/>
            <w:tcBorders>
              <w:bottom w:val="single" w:sz="8" w:color="0000FF"/>
            </w:tcBorders>
            <w:gridSpan w:val="24"/>
          </w:tcPr>
          <w:p>
            <w:pPr>
              <w:spacing w:after="0" w:line="18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Agreement of Purchase and Sale, by and among LendingTree, LLC and</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6"/>
              </w:rPr>
              <w:t>Exhibit 10.31 to the Registrant's Annual Report on Form 10-K</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300" w:type="dxa"/>
            <w:vAlign w:val="bottom"/>
            <w:gridSpan w:val="24"/>
          </w:tcPr>
          <w:p>
            <w:pPr>
              <w:spacing w:after="0" w:line="152" w:lineRule="exact"/>
              <w:rPr>
                <w:rFonts w:ascii="Arial" w:cs="Arial" w:eastAsia="Arial" w:hAnsi="Arial"/>
                <w:sz w:val="17"/>
                <w:szCs w:val="17"/>
                <w:color w:val="0000FF"/>
                <w:w w:val="98"/>
              </w:rPr>
            </w:pPr>
            <w:hyperlink r:id="rId166">
              <w:r>
                <w:rPr>
                  <w:rFonts w:ascii="Arial" w:cs="Arial" w:eastAsia="Arial" w:hAnsi="Arial"/>
                  <w:sz w:val="17"/>
                  <w:szCs w:val="17"/>
                  <w:color w:val="0000FF"/>
                  <w:w w:val="98"/>
                </w:rPr>
                <w:t>an affiliate of Greenstreet Real Estate Partners, L.P., dated October 17,</w:t>
              </w:r>
            </w:hyperlink>
          </w:p>
        </w:tc>
        <w:tc>
          <w:tcPr>
            <w:tcW w:w="4740" w:type="dxa"/>
            <w:vAlign w:val="bottom"/>
          </w:tcPr>
          <w:p>
            <w:pPr>
              <w:spacing w:after="0" w:line="152" w:lineRule="exact"/>
              <w:rPr>
                <w:sz w:val="20"/>
                <w:szCs w:val="20"/>
                <w:color w:val="auto"/>
              </w:rPr>
            </w:pPr>
            <w:r>
              <w:rPr>
                <w:rFonts w:ascii="Arial" w:cs="Arial" w:eastAsia="Arial" w:hAnsi="Arial"/>
                <w:sz w:val="17"/>
                <w:szCs w:val="17"/>
                <w:color w:val="auto"/>
              </w:rPr>
              <w:t>filed February 28, 2017</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9"/>
              </w:rPr>
            </w:pPr>
            <w:hyperlink r:id="rId166">
              <w:r>
                <w:rPr>
                  <w:rFonts w:ascii="Arial" w:cs="Arial" w:eastAsia="Arial" w:hAnsi="Arial"/>
                  <w:sz w:val="17"/>
                  <w:szCs w:val="17"/>
                  <w:color w:val="0000FF"/>
                  <w:w w:val="89"/>
                </w:rPr>
                <w:t>2016</w:t>
              </w:r>
            </w:hyperlink>
          </w:p>
        </w:tc>
        <w:tc>
          <w:tcPr>
            <w:tcW w:w="7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10.22</w:t>
            </w:r>
          </w:p>
        </w:tc>
        <w:tc>
          <w:tcPr>
            <w:tcW w:w="5300" w:type="dxa"/>
            <w:vAlign w:val="bottom"/>
            <w:gridSpan w:val="24"/>
            <w:shd w:val="clear" w:color="auto" w:fill="CCEEFF"/>
          </w:tcPr>
          <w:p>
            <w:pPr>
              <w:spacing w:after="0" w:line="195" w:lineRule="exact"/>
              <w:rPr>
                <w:rFonts w:ascii="Arial" w:cs="Arial" w:eastAsia="Arial" w:hAnsi="Arial"/>
                <w:sz w:val="18"/>
                <w:szCs w:val="18"/>
                <w:color w:val="0000FF"/>
                <w:w w:val="96"/>
              </w:rPr>
            </w:pPr>
            <w:hyperlink r:id="rId167">
              <w:r>
                <w:rPr>
                  <w:rFonts w:ascii="Arial" w:cs="Arial" w:eastAsia="Arial" w:hAnsi="Arial"/>
                  <w:sz w:val="18"/>
                  <w:szCs w:val="18"/>
                  <w:color w:val="0000FF"/>
                  <w:w w:val="96"/>
                </w:rPr>
                <w:t>First Amendment to Purchase and Sale, by and among LendingTree,</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Exhibit 10.32 to the Registrant's Annual Report on Form 10-K</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18"/>
            <w:shd w:val="clear" w:color="auto" w:fill="CCEEFF"/>
          </w:tcPr>
          <w:p>
            <w:pPr>
              <w:spacing w:after="0" w:line="152" w:lineRule="exact"/>
              <w:rPr>
                <w:rFonts w:ascii="Arial" w:cs="Arial" w:eastAsia="Arial" w:hAnsi="Arial"/>
                <w:sz w:val="17"/>
                <w:szCs w:val="17"/>
                <w:color w:val="0000FF"/>
              </w:rPr>
            </w:pPr>
            <w:hyperlink r:id="rId167">
              <w:r>
                <w:rPr>
                  <w:rFonts w:ascii="Arial" w:cs="Arial" w:eastAsia="Arial" w:hAnsi="Arial"/>
                  <w:sz w:val="17"/>
                  <w:szCs w:val="17"/>
                  <w:color w:val="0000FF"/>
                </w:rPr>
                <w:t>LLC and an affiliate of Greenstreet Real Estate Partners, L.P., dated</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7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filed February 28, 2017</w:t>
            </w:r>
          </w:p>
        </w:tc>
        <w:tc>
          <w:tcPr>
            <w:tcW w:w="0" w:type="dxa"/>
            <w:vAlign w:val="bottom"/>
          </w:tcPr>
          <w:p>
            <w:pPr>
              <w:spacing w:after="0"/>
              <w:rPr>
                <w:sz w:val="1"/>
                <w:szCs w:val="1"/>
                <w:color w:val="auto"/>
              </w:rPr>
            </w:pPr>
          </w:p>
        </w:tc>
      </w:tr>
      <w:tr>
        <w:trPr>
          <w:trHeight w:val="172"/>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420" w:type="dxa"/>
            <w:vAlign w:val="bottom"/>
            <w:tcBorders>
              <w:top w:val="single" w:sz="8" w:color="0000FF"/>
              <w:bottom w:val="single" w:sz="8" w:color="0000FF"/>
            </w:tcBorders>
            <w:gridSpan w:val="3"/>
            <w:shd w:val="clear" w:color="auto" w:fill="CCEEFF"/>
          </w:tcPr>
          <w:p>
            <w:pPr>
              <w:spacing w:after="0" w:line="152" w:lineRule="exact"/>
              <w:rPr>
                <w:rFonts w:ascii="Arial" w:cs="Arial" w:eastAsia="Arial" w:hAnsi="Arial"/>
                <w:sz w:val="17"/>
                <w:szCs w:val="17"/>
                <w:color w:val="0000FF"/>
                <w:w w:val="93"/>
              </w:rPr>
            </w:pPr>
            <w:hyperlink r:id="rId167">
              <w:r>
                <w:rPr>
                  <w:rFonts w:ascii="Arial" w:cs="Arial" w:eastAsia="Arial" w:hAnsi="Arial"/>
                  <w:sz w:val="17"/>
                  <w:szCs w:val="17"/>
                  <w:color w:val="0000FF"/>
                  <w:w w:val="93"/>
                </w:rPr>
                <w:t>November 28, 2016</w:t>
              </w:r>
            </w:hyperlink>
          </w:p>
        </w:tc>
        <w:tc>
          <w:tcPr>
            <w:tcW w:w="378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7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10.23</w:t>
            </w:r>
          </w:p>
        </w:tc>
        <w:tc>
          <w:tcPr>
            <w:tcW w:w="5300" w:type="dxa"/>
            <w:vAlign w:val="bottom"/>
            <w:gridSpan w:val="24"/>
          </w:tcPr>
          <w:p>
            <w:pPr>
              <w:spacing w:after="0" w:line="186" w:lineRule="exact"/>
              <w:rPr>
                <w:rFonts w:ascii="Arial" w:cs="Arial" w:eastAsia="Arial" w:hAnsi="Arial"/>
                <w:sz w:val="18"/>
                <w:szCs w:val="18"/>
                <w:color w:val="0000FF"/>
                <w:w w:val="93"/>
              </w:rPr>
            </w:pPr>
            <w:hyperlink r:id="rId168">
              <w:r>
                <w:rPr>
                  <w:rFonts w:ascii="Arial" w:cs="Arial" w:eastAsia="Arial" w:hAnsi="Arial"/>
                  <w:sz w:val="18"/>
                  <w:szCs w:val="18"/>
                  <w:color w:val="0000FF"/>
                  <w:w w:val="93"/>
                </w:rPr>
                <w:t>Employment Agreement dated December 21, 2017, among John David</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4"/>
              </w:rPr>
              <w:t>Exhibit 10.1 to the Registrant’s Quarterly Report on Form 10-Q</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382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w w:val="96"/>
              </w:rPr>
            </w:pPr>
            <w:hyperlink r:id="rId168">
              <w:r>
                <w:rPr>
                  <w:rFonts w:ascii="Arial" w:cs="Arial" w:eastAsia="Arial" w:hAnsi="Arial"/>
                  <w:sz w:val="17"/>
                  <w:szCs w:val="17"/>
                  <w:color w:val="0000FF"/>
                  <w:w w:val="96"/>
                </w:rPr>
                <w:t>Moriarty, LendingTree, Inc., and LendingTree, LLC.*</w:t>
              </w:r>
            </w:hyperlink>
          </w:p>
        </w:tc>
        <w:tc>
          <w:tcPr>
            <w:tcW w:w="14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740" w:type="dxa"/>
            <w:vAlign w:val="bottom"/>
          </w:tcPr>
          <w:p>
            <w:pPr>
              <w:spacing w:after="0" w:line="152" w:lineRule="exact"/>
              <w:rPr>
                <w:sz w:val="20"/>
                <w:szCs w:val="20"/>
                <w:color w:val="auto"/>
              </w:rPr>
            </w:pPr>
            <w:r>
              <w:rPr>
                <w:rFonts w:ascii="Arial" w:cs="Arial" w:eastAsia="Arial" w:hAnsi="Arial"/>
                <w:sz w:val="17"/>
                <w:szCs w:val="17"/>
                <w:color w:val="auto"/>
              </w:rPr>
              <w:t>filed April 27, 2018</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10.24</w:t>
            </w:r>
          </w:p>
        </w:tc>
        <w:tc>
          <w:tcPr>
            <w:tcW w:w="5300" w:type="dxa"/>
            <w:vAlign w:val="bottom"/>
            <w:gridSpan w:val="24"/>
            <w:shd w:val="clear" w:color="auto" w:fill="CCEEFF"/>
          </w:tcPr>
          <w:p>
            <w:pPr>
              <w:spacing w:after="0" w:line="195" w:lineRule="exact"/>
              <w:rPr>
                <w:rFonts w:ascii="Arial" w:cs="Arial" w:eastAsia="Arial" w:hAnsi="Arial"/>
                <w:sz w:val="18"/>
                <w:szCs w:val="18"/>
                <w:color w:val="0000FF"/>
                <w:w w:val="94"/>
              </w:rPr>
            </w:pPr>
            <w:hyperlink r:id="rId169">
              <w:r>
                <w:rPr>
                  <w:rFonts w:ascii="Arial" w:cs="Arial" w:eastAsia="Arial" w:hAnsi="Arial"/>
                  <w:sz w:val="18"/>
                  <w:szCs w:val="18"/>
                  <w:color w:val="0000FF"/>
                  <w:w w:val="94"/>
                </w:rPr>
                <w:t>Employment Agreement, dated January 2, 2018, among Neil Salvage,</w:t>
              </w:r>
            </w:hyperlink>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Exhibit 10.2 to the Registrant’s Quarterly Report on Form 10-Q</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240" w:type="dxa"/>
            <w:vAlign w:val="bottom"/>
            <w:tcBorders>
              <w:top w:val="single" w:sz="8" w:color="0000FF"/>
            </w:tcBorders>
            <w:gridSpan w:val="21"/>
            <w:shd w:val="clear" w:color="auto" w:fill="CCEEFF"/>
          </w:tcPr>
          <w:p>
            <w:pPr>
              <w:spacing w:after="0" w:line="152" w:lineRule="exact"/>
              <w:rPr>
                <w:rFonts w:ascii="Arial" w:cs="Arial" w:eastAsia="Arial" w:hAnsi="Arial"/>
                <w:sz w:val="17"/>
                <w:szCs w:val="17"/>
                <w:color w:val="0000FF"/>
              </w:rPr>
            </w:pPr>
            <w:hyperlink r:id="rId169">
              <w:r>
                <w:rPr>
                  <w:rFonts w:ascii="Arial" w:cs="Arial" w:eastAsia="Arial" w:hAnsi="Arial"/>
                  <w:sz w:val="17"/>
                  <w:szCs w:val="17"/>
                  <w:color w:val="0000FF"/>
                </w:rPr>
                <w:t>LendingTree, Inc., and LendingTree, LLC*</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7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filed April 27, 2018</w:t>
            </w: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2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10.25</w:t>
            </w:r>
          </w:p>
        </w:tc>
        <w:tc>
          <w:tcPr>
            <w:tcW w:w="5300" w:type="dxa"/>
            <w:vAlign w:val="bottom"/>
            <w:gridSpan w:val="24"/>
          </w:tcPr>
          <w:p>
            <w:pPr>
              <w:spacing w:after="0" w:line="18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Sixth Amended and Restated LendingTree, Inc. 2008 Stock and Annual</w:t>
              </w:r>
            </w:hyperlink>
          </w:p>
        </w:tc>
        <w:tc>
          <w:tcPr>
            <w:tcW w:w="4740" w:type="dxa"/>
            <w:vAlign w:val="bottom"/>
          </w:tcPr>
          <w:p>
            <w:pPr>
              <w:spacing w:after="0" w:line="186" w:lineRule="exact"/>
              <w:rPr>
                <w:sz w:val="20"/>
                <w:szCs w:val="20"/>
                <w:color w:val="auto"/>
              </w:rPr>
            </w:pPr>
            <w:r>
              <w:rPr>
                <w:rFonts w:ascii="Arial" w:cs="Arial" w:eastAsia="Arial" w:hAnsi="Arial"/>
                <w:sz w:val="18"/>
                <w:szCs w:val="18"/>
                <w:color w:val="auto"/>
                <w:w w:val="93"/>
              </w:rPr>
              <w:t>Exhibit  4.3(A)  to  the  Registrant's  Registration  Statement  on</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14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170">
              <w:r>
                <w:rPr>
                  <w:rFonts w:ascii="Arial" w:cs="Arial" w:eastAsia="Arial" w:hAnsi="Arial"/>
                  <w:sz w:val="17"/>
                  <w:szCs w:val="17"/>
                  <w:color w:val="0000FF"/>
                </w:rPr>
                <w:t>Incentive Plan*</w:t>
              </w:r>
            </w:hyperlink>
          </w:p>
        </w:tc>
        <w:tc>
          <w:tcPr>
            <w:tcW w:w="160" w:type="dxa"/>
            <w:vAlign w:val="bottom"/>
            <w:gridSpan w:val="8"/>
          </w:tcPr>
          <w:p>
            <w:pPr>
              <w:spacing w:after="0"/>
              <w:rPr>
                <w:sz w:val="13"/>
                <w:szCs w:val="13"/>
                <w:color w:val="auto"/>
              </w:rPr>
            </w:pPr>
          </w:p>
        </w:tc>
        <w:tc>
          <w:tcPr>
            <w:tcW w:w="4740" w:type="dxa"/>
            <w:vAlign w:val="bottom"/>
          </w:tcPr>
          <w:p>
            <w:pPr>
              <w:spacing w:after="0" w:line="152" w:lineRule="exact"/>
              <w:rPr>
                <w:sz w:val="20"/>
                <w:szCs w:val="20"/>
                <w:color w:val="auto"/>
              </w:rPr>
            </w:pPr>
            <w:r>
              <w:rPr>
                <w:rFonts w:ascii="Arial" w:cs="Arial" w:eastAsia="Arial" w:hAnsi="Arial"/>
                <w:sz w:val="17"/>
                <w:szCs w:val="17"/>
                <w:color w:val="auto"/>
              </w:rPr>
              <w:t>Form S-8 (No. 333-233035), filed August 6, 2019</w:t>
            </w:r>
          </w:p>
        </w:tc>
        <w:tc>
          <w:tcPr>
            <w:tcW w:w="0" w:type="dxa"/>
            <w:vAlign w:val="bottom"/>
          </w:tcPr>
          <w:p>
            <w:pPr>
              <w:spacing w:after="0"/>
              <w:rPr>
                <w:sz w:val="1"/>
                <w:szCs w:val="1"/>
                <w:color w:val="auto"/>
              </w:rPr>
            </w:pPr>
          </w:p>
        </w:tc>
      </w:tr>
      <w:tr>
        <w:trPr>
          <w:trHeight w:val="867"/>
        </w:trPr>
        <w:tc>
          <w:tcPr>
            <w:tcW w:w="1200" w:type="dxa"/>
            <w:vAlign w:val="bottom"/>
          </w:tcPr>
          <w:p>
            <w:pPr>
              <w:spacing w:after="0"/>
              <w:rPr>
                <w:sz w:val="24"/>
                <w:szCs w:val="24"/>
                <w:color w:val="auto"/>
              </w:rPr>
            </w:pPr>
          </w:p>
        </w:tc>
        <w:tc>
          <w:tcPr>
            <w:tcW w:w="1100" w:type="dxa"/>
            <w:vAlign w:val="bottom"/>
            <w:tcBorders>
              <w:top w:val="single" w:sz="8" w:color="0000FF"/>
            </w:tcBorders>
            <w:gridSpan w:val="2"/>
          </w:tcPr>
          <w:p>
            <w:pPr>
              <w:spacing w:after="0"/>
              <w:rPr>
                <w:sz w:val="24"/>
                <w:szCs w:val="24"/>
                <w:color w:val="auto"/>
              </w:rPr>
            </w:pPr>
          </w:p>
        </w:tc>
        <w:tc>
          <w:tcPr>
            <w:tcW w:w="3500" w:type="dxa"/>
            <w:vAlign w:val="bottom"/>
            <w:gridSpan w:val="13"/>
          </w:tcPr>
          <w:p>
            <w:pPr>
              <w:jc w:val="right"/>
              <w:ind w:right="4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92"/>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gridSpan w:val="25"/>
            <w:vMerge w:val="restart"/>
          </w:tcPr>
          <w:p>
            <w:pPr>
              <w:ind w:left="460"/>
              <w:spacing w:after="0"/>
              <w:rPr>
                <w:sz w:val="20"/>
                <w:szCs w:val="20"/>
                <w:color w:val="auto"/>
              </w:rPr>
            </w:pPr>
            <w:r>
              <w:rPr>
                <w:rFonts w:ascii="Arial" w:cs="Arial" w:eastAsia="Arial" w:hAnsi="Arial"/>
                <w:sz w:val="18"/>
                <w:szCs w:val="18"/>
                <w:b w:val="1"/>
                <w:bCs w:val="1"/>
                <w:color w:val="auto"/>
              </w:rPr>
              <w:t>Description</w:t>
            </w:r>
          </w:p>
        </w:tc>
        <w:tc>
          <w:tcPr>
            <w:tcW w:w="462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5"/>
        </w:trPr>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25"/>
            <w:vMerge w:val="continue"/>
          </w:tcPr>
          <w:p>
            <w:pPr>
              <w:spacing w:after="0"/>
              <w:rPr>
                <w:sz w:val="19"/>
                <w:szCs w:val="19"/>
                <w:color w:val="auto"/>
              </w:rPr>
            </w:pPr>
          </w:p>
        </w:tc>
        <w:tc>
          <w:tcPr>
            <w:tcW w:w="4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00" w:type="dxa"/>
            <w:vAlign w:val="bottom"/>
            <w:shd w:val="clear" w:color="auto" w:fill="CCEEFF"/>
          </w:tcPr>
          <w:p>
            <w:pPr>
              <w:jc w:val="right"/>
              <w:ind w:right="92"/>
              <w:spacing w:after="0" w:line="179" w:lineRule="exact"/>
              <w:rPr>
                <w:sz w:val="20"/>
                <w:szCs w:val="20"/>
                <w:color w:val="auto"/>
              </w:rPr>
            </w:pPr>
            <w:r>
              <w:rPr>
                <w:rFonts w:ascii="Arial" w:cs="Arial" w:eastAsia="Arial" w:hAnsi="Arial"/>
                <w:sz w:val="18"/>
                <w:szCs w:val="18"/>
                <w:color w:val="auto"/>
              </w:rPr>
              <w:t>10.26</w:t>
            </w:r>
          </w:p>
        </w:tc>
        <w:tc>
          <w:tcPr>
            <w:tcW w:w="5420" w:type="dxa"/>
            <w:vAlign w:val="bottom"/>
            <w:gridSpan w:val="31"/>
            <w:shd w:val="clear" w:color="auto" w:fill="CCEEFF"/>
          </w:tcPr>
          <w:p>
            <w:pPr>
              <w:spacing w:after="0" w:line="179" w:lineRule="exact"/>
              <w:rPr>
                <w:rFonts w:ascii="Arial" w:cs="Arial" w:eastAsia="Arial" w:hAnsi="Arial"/>
                <w:sz w:val="18"/>
                <w:szCs w:val="18"/>
                <w:color w:val="0000FF"/>
                <w:w w:val="95"/>
              </w:rPr>
            </w:pPr>
            <w:hyperlink r:id="rId173">
              <w:r>
                <w:rPr>
                  <w:rFonts w:ascii="Arial" w:cs="Arial" w:eastAsia="Arial" w:hAnsi="Arial"/>
                  <w:sz w:val="18"/>
                  <w:szCs w:val="18"/>
                  <w:color w:val="0000FF"/>
                  <w:w w:val="95"/>
                </w:rPr>
                <w:t>Form of Notice of Stock Option Award Granted Under the LendingTree,</w:t>
              </w:r>
            </w:hyperlink>
          </w:p>
        </w:tc>
        <w:tc>
          <w:tcPr>
            <w:tcW w:w="462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w w:val="92"/>
              </w:rPr>
              <w:t>Exhibit 10.1 to the Registrant’s Quarterly Report on Form 10-Q</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19"/>
            <w:shd w:val="clear" w:color="auto" w:fill="CCEEFF"/>
          </w:tcPr>
          <w:p>
            <w:pPr>
              <w:spacing w:after="0" w:line="152" w:lineRule="exact"/>
              <w:rPr>
                <w:rFonts w:ascii="Arial" w:cs="Arial" w:eastAsia="Arial" w:hAnsi="Arial"/>
                <w:sz w:val="17"/>
                <w:szCs w:val="17"/>
                <w:color w:val="0000FF"/>
              </w:rPr>
            </w:pPr>
            <w:hyperlink r:id="rId173">
              <w:r>
                <w:rPr>
                  <w:rFonts w:ascii="Arial" w:cs="Arial" w:eastAsia="Arial" w:hAnsi="Arial"/>
                  <w:sz w:val="17"/>
                  <w:szCs w:val="17"/>
                  <w:color w:val="0000FF"/>
                </w:rPr>
                <w:t>Inc. 2008 Stock and Annual Incentive 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filed August 4, 2020</w:t>
            </w: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10.27</w:t>
            </w:r>
          </w:p>
        </w:tc>
        <w:tc>
          <w:tcPr>
            <w:tcW w:w="5420" w:type="dxa"/>
            <w:vAlign w:val="bottom"/>
            <w:gridSpan w:val="31"/>
          </w:tcPr>
          <w:p>
            <w:pPr>
              <w:spacing w:after="0" w:line="186" w:lineRule="exact"/>
              <w:rPr>
                <w:rFonts w:ascii="Arial" w:cs="Arial" w:eastAsia="Arial" w:hAnsi="Arial"/>
                <w:sz w:val="18"/>
                <w:szCs w:val="18"/>
                <w:color w:val="0000FF"/>
              </w:rPr>
            </w:pPr>
            <w:hyperlink r:id="rId174">
              <w:r>
                <w:rPr>
                  <w:rFonts w:ascii="Arial" w:cs="Arial" w:eastAsia="Arial" w:hAnsi="Arial"/>
                  <w:sz w:val="18"/>
                  <w:szCs w:val="18"/>
                  <w:color w:val="0000FF"/>
                </w:rPr>
                <w:t>Form of Notice of Restricted Stock Unit Award Granted Under the</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w w:val="92"/>
              </w:rPr>
              <w:t>Exhibit 10.2 to the Registrant’s Quarterly Report on Form 10-Q</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20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74">
              <w:r>
                <w:rPr>
                  <w:rFonts w:ascii="Arial" w:cs="Arial" w:eastAsia="Arial" w:hAnsi="Arial"/>
                  <w:sz w:val="17"/>
                  <w:szCs w:val="17"/>
                  <w:color w:val="0000FF"/>
                </w:rPr>
                <w:t>LendingTree, Inc. 2008 Stock and Annual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Pr>
          <w:p>
            <w:pPr>
              <w:spacing w:after="0" w:line="152" w:lineRule="exact"/>
              <w:rPr>
                <w:sz w:val="20"/>
                <w:szCs w:val="20"/>
                <w:color w:val="auto"/>
              </w:rPr>
            </w:pPr>
            <w:r>
              <w:rPr>
                <w:rFonts w:ascii="Arial" w:cs="Arial" w:eastAsia="Arial" w:hAnsi="Arial"/>
                <w:sz w:val="17"/>
                <w:szCs w:val="17"/>
                <w:color w:val="auto"/>
              </w:rPr>
              <w:t>filed August 4, 2020</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10.28</w:t>
            </w:r>
          </w:p>
        </w:tc>
        <w:tc>
          <w:tcPr>
            <w:tcW w:w="5420" w:type="dxa"/>
            <w:vAlign w:val="bottom"/>
            <w:gridSpan w:val="31"/>
            <w:shd w:val="clear" w:color="auto" w:fill="CCEEFF"/>
          </w:tcPr>
          <w:p>
            <w:pPr>
              <w:spacing w:after="0" w:line="195" w:lineRule="exact"/>
              <w:rPr>
                <w:rFonts w:ascii="Arial" w:cs="Arial" w:eastAsia="Arial" w:hAnsi="Arial"/>
                <w:sz w:val="18"/>
                <w:szCs w:val="18"/>
                <w:color w:val="0000FF"/>
              </w:rPr>
            </w:pPr>
            <w:hyperlink r:id="rId175">
              <w:r>
                <w:rPr>
                  <w:rFonts w:ascii="Arial" w:cs="Arial" w:eastAsia="Arial" w:hAnsi="Arial"/>
                  <w:sz w:val="18"/>
                  <w:szCs w:val="18"/>
                  <w:color w:val="0000FF"/>
                </w:rPr>
                <w:t>Form of Notice of Stock Option Award Granted to Non- Employee</w:t>
              </w:r>
            </w:hyperlink>
          </w:p>
        </w:tc>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Exhibit 10.3 to the Registrant’s Quarterly Report on Form 10-Q</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320" w:type="dxa"/>
            <w:vAlign w:val="bottom"/>
            <w:tcBorders>
              <w:top w:val="single" w:sz="8" w:color="0000FF"/>
              <w:bottom w:val="single" w:sz="8" w:color="0000FF"/>
            </w:tcBorders>
            <w:gridSpan w:val="26"/>
            <w:shd w:val="clear" w:color="auto" w:fill="CCEEFF"/>
          </w:tcPr>
          <w:p>
            <w:pPr>
              <w:spacing w:after="0" w:line="152" w:lineRule="exact"/>
              <w:rPr>
                <w:rFonts w:ascii="Arial" w:cs="Arial" w:eastAsia="Arial" w:hAnsi="Arial"/>
                <w:sz w:val="17"/>
                <w:szCs w:val="17"/>
                <w:color w:val="0000FF"/>
                <w:w w:val="98"/>
              </w:rPr>
            </w:pPr>
            <w:hyperlink r:id="rId175">
              <w:r>
                <w:rPr>
                  <w:rFonts w:ascii="Arial" w:cs="Arial" w:eastAsia="Arial" w:hAnsi="Arial"/>
                  <w:sz w:val="17"/>
                  <w:szCs w:val="17"/>
                  <w:color w:val="0000FF"/>
                  <w:w w:val="98"/>
                </w:rPr>
                <w:t>Directors Under the LendingTree, Inc. 2008 Stock and Annual Incentive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620" w:type="dxa"/>
            <w:vAlign w:val="bottom"/>
            <w:tcBorders>
              <w:top w:val="single" w:sz="8" w:color="CCEEFF"/>
              <w:bottom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filed August 4, 2020</w:t>
            </w: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spacing w:after="0"/>
              <w:rPr>
                <w:sz w:val="13"/>
                <w:szCs w:val="13"/>
                <w:color w:val="auto"/>
              </w:rPr>
            </w:pPr>
          </w:p>
        </w:tc>
        <w:tc>
          <w:tcPr>
            <w:tcW w:w="5420" w:type="dxa"/>
            <w:vAlign w:val="bottom"/>
            <w:gridSpan w:val="31"/>
            <w:shd w:val="clear" w:color="auto" w:fill="CCEEFF"/>
          </w:tcPr>
          <w:p>
            <w:pPr>
              <w:spacing w:after="0" w:line="152" w:lineRule="exact"/>
              <w:rPr>
                <w:rFonts w:ascii="Arial" w:cs="Arial" w:eastAsia="Arial" w:hAnsi="Arial"/>
                <w:sz w:val="17"/>
                <w:szCs w:val="17"/>
                <w:color w:val="0000FF"/>
              </w:rPr>
            </w:pPr>
            <w:hyperlink r:id="rId175">
              <w:r>
                <w:rPr>
                  <w:rFonts w:ascii="Arial" w:cs="Arial" w:eastAsia="Arial" w:hAnsi="Arial"/>
                  <w:sz w:val="17"/>
                  <w:szCs w:val="17"/>
                  <w:color w:val="0000FF"/>
                </w:rPr>
                <w:t>Plan*</w:t>
              </w:r>
            </w:hyperlink>
          </w:p>
        </w:tc>
        <w:tc>
          <w:tcPr>
            <w:tcW w:w="4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10.29</w:t>
            </w:r>
          </w:p>
        </w:tc>
        <w:tc>
          <w:tcPr>
            <w:tcW w:w="5420" w:type="dxa"/>
            <w:vAlign w:val="bottom"/>
            <w:gridSpan w:val="31"/>
          </w:tcPr>
          <w:p>
            <w:pPr>
              <w:spacing w:after="0" w:line="186" w:lineRule="exact"/>
              <w:rPr>
                <w:rFonts w:ascii="Arial" w:cs="Arial" w:eastAsia="Arial" w:hAnsi="Arial"/>
                <w:sz w:val="18"/>
                <w:szCs w:val="18"/>
                <w:color w:val="0000FF"/>
              </w:rPr>
            </w:pPr>
            <w:hyperlink r:id="rId176">
              <w:r>
                <w:rPr>
                  <w:rFonts w:ascii="Arial" w:cs="Arial" w:eastAsia="Arial" w:hAnsi="Arial"/>
                  <w:sz w:val="18"/>
                  <w:szCs w:val="18"/>
                  <w:color w:val="0000FF"/>
                </w:rPr>
                <w:t>Form of Notice of Restricted Stock Unit Award Granted to Non-</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w w:val="92"/>
              </w:rPr>
              <w:t>Exhibit 10.4 to the Registrant’s Quarterly Report on Form 10-Q</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22"/>
          </w:tcPr>
          <w:p>
            <w:pPr>
              <w:spacing w:after="0" w:line="152" w:lineRule="exact"/>
              <w:rPr>
                <w:rFonts w:ascii="Arial" w:cs="Arial" w:eastAsia="Arial" w:hAnsi="Arial"/>
                <w:sz w:val="17"/>
                <w:szCs w:val="17"/>
                <w:color w:val="0000FF"/>
              </w:rPr>
            </w:pPr>
            <w:hyperlink r:id="rId176">
              <w:r>
                <w:rPr>
                  <w:rFonts w:ascii="Arial" w:cs="Arial" w:eastAsia="Arial" w:hAnsi="Arial"/>
                  <w:sz w:val="17"/>
                  <w:szCs w:val="17"/>
                  <w:color w:val="0000FF"/>
                </w:rPr>
                <w:t>Employee Directors Under the LendingTree, Inc. 2008 Stock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Pr>
          <w:p>
            <w:pPr>
              <w:spacing w:after="0" w:line="152" w:lineRule="exact"/>
              <w:rPr>
                <w:sz w:val="20"/>
                <w:szCs w:val="20"/>
                <w:color w:val="auto"/>
              </w:rPr>
            </w:pPr>
            <w:r>
              <w:rPr>
                <w:rFonts w:ascii="Arial" w:cs="Arial" w:eastAsia="Arial" w:hAnsi="Arial"/>
                <w:sz w:val="17"/>
                <w:szCs w:val="17"/>
                <w:color w:val="auto"/>
              </w:rPr>
              <w:t>filed August 4, 2020</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80" w:type="dxa"/>
            <w:vAlign w:val="bottom"/>
            <w:tcBorders>
              <w:bottom w:val="single" w:sz="8" w:color="0000FF"/>
            </w:tcBorders>
            <w:gridSpan w:val="6"/>
          </w:tcPr>
          <w:p>
            <w:pPr>
              <w:spacing w:after="0" w:line="152" w:lineRule="exact"/>
              <w:rPr>
                <w:rFonts w:ascii="Arial" w:cs="Arial" w:eastAsia="Arial" w:hAnsi="Arial"/>
                <w:sz w:val="17"/>
                <w:szCs w:val="17"/>
                <w:color w:val="0000FF"/>
                <w:w w:val="97"/>
              </w:rPr>
            </w:pPr>
            <w:hyperlink r:id="rId176">
              <w:r>
                <w:rPr>
                  <w:rFonts w:ascii="Arial" w:cs="Arial" w:eastAsia="Arial" w:hAnsi="Arial"/>
                  <w:sz w:val="17"/>
                  <w:szCs w:val="17"/>
                  <w:color w:val="0000FF"/>
                  <w:w w:val="97"/>
                </w:rPr>
                <w:t>Annual Incentive Plan*</w:t>
              </w:r>
            </w:hyperlink>
          </w:p>
        </w:tc>
        <w:tc>
          <w:tcPr>
            <w:tcW w:w="368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10.30</w:t>
            </w:r>
          </w:p>
        </w:tc>
        <w:tc>
          <w:tcPr>
            <w:tcW w:w="5420" w:type="dxa"/>
            <w:vAlign w:val="bottom"/>
            <w:gridSpan w:val="31"/>
            <w:shd w:val="clear" w:color="auto" w:fill="CCEEFF"/>
          </w:tcPr>
          <w:p>
            <w:pPr>
              <w:spacing w:after="0" w:line="195" w:lineRule="exact"/>
              <w:rPr>
                <w:rFonts w:ascii="Arial" w:cs="Arial" w:eastAsia="Arial" w:hAnsi="Arial"/>
                <w:sz w:val="18"/>
                <w:szCs w:val="18"/>
                <w:color w:val="0000FF"/>
              </w:rPr>
            </w:pPr>
            <w:hyperlink r:id="rId177">
              <w:r>
                <w:rPr>
                  <w:rFonts w:ascii="Arial" w:cs="Arial" w:eastAsia="Arial" w:hAnsi="Arial"/>
                  <w:sz w:val="18"/>
                  <w:szCs w:val="18"/>
                  <w:color w:val="0000FF"/>
                </w:rPr>
                <w:t>Form of Base Convertible Note Hedge Confirmation</w:t>
              </w:r>
            </w:hyperlink>
          </w:p>
        </w:tc>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9"/>
              </w:rPr>
              <w:t>Exhibit 99.2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6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right w:val="single" w:sz="8" w:color="CCEEFF"/>
            </w:tcBorders>
            <w:shd w:val="clear" w:color="auto" w:fill="CCEEFF"/>
          </w:tcPr>
          <w:p>
            <w:pPr>
              <w:spacing w:after="0"/>
              <w:rPr>
                <w:sz w:val="16"/>
                <w:szCs w:val="16"/>
                <w:color w:val="auto"/>
              </w:rPr>
            </w:pPr>
          </w:p>
        </w:tc>
        <w:tc>
          <w:tcPr>
            <w:tcW w:w="4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10.31</w:t>
            </w:r>
          </w:p>
        </w:tc>
        <w:tc>
          <w:tcPr>
            <w:tcW w:w="5420" w:type="dxa"/>
            <w:vAlign w:val="bottom"/>
            <w:gridSpan w:val="31"/>
          </w:tcPr>
          <w:p>
            <w:pPr>
              <w:spacing w:after="0" w:line="186" w:lineRule="exact"/>
              <w:rPr>
                <w:rFonts w:ascii="Arial" w:cs="Arial" w:eastAsia="Arial" w:hAnsi="Arial"/>
                <w:sz w:val="18"/>
                <w:szCs w:val="18"/>
                <w:color w:val="0000FF"/>
              </w:rPr>
            </w:pPr>
            <w:hyperlink r:id="rId178">
              <w:r>
                <w:rPr>
                  <w:rFonts w:ascii="Arial" w:cs="Arial" w:eastAsia="Arial" w:hAnsi="Arial"/>
                  <w:sz w:val="18"/>
                  <w:szCs w:val="18"/>
                  <w:color w:val="0000FF"/>
                </w:rPr>
                <w:t>Form of Additional Convertible Note Hedge Confirmation</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w w:val="89"/>
              </w:rPr>
              <w:t>Exhibit 99.3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tcPr>
          <w:p>
            <w:pPr>
              <w:spacing w:after="0" w:line="192" w:lineRule="exact"/>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185"/>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10.32</w:t>
            </w:r>
          </w:p>
        </w:tc>
        <w:tc>
          <w:tcPr>
            <w:tcW w:w="5420" w:type="dxa"/>
            <w:vAlign w:val="bottom"/>
            <w:gridSpan w:val="31"/>
            <w:shd w:val="clear" w:color="auto" w:fill="CCEEFF"/>
          </w:tcPr>
          <w:p>
            <w:pPr>
              <w:spacing w:after="0" w:line="186" w:lineRule="exact"/>
              <w:rPr>
                <w:rFonts w:ascii="Arial" w:cs="Arial" w:eastAsia="Arial" w:hAnsi="Arial"/>
                <w:sz w:val="18"/>
                <w:szCs w:val="18"/>
                <w:color w:val="0000FF"/>
              </w:rPr>
            </w:pPr>
            <w:hyperlink r:id="rId179">
              <w:r>
                <w:rPr>
                  <w:rFonts w:ascii="Arial" w:cs="Arial" w:eastAsia="Arial" w:hAnsi="Arial"/>
                  <w:sz w:val="18"/>
                  <w:szCs w:val="18"/>
                  <w:color w:val="0000FF"/>
                </w:rPr>
                <w:t>Form of Base Warrant Confirmation</w:t>
              </w:r>
            </w:hyperlink>
          </w:p>
        </w:tc>
        <w:tc>
          <w:tcPr>
            <w:tcW w:w="462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89"/>
              </w:rPr>
              <w:t>Exhibit 99.4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6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10.33</w:t>
            </w:r>
          </w:p>
        </w:tc>
        <w:tc>
          <w:tcPr>
            <w:tcW w:w="5420" w:type="dxa"/>
            <w:vAlign w:val="bottom"/>
            <w:gridSpan w:val="31"/>
          </w:tcPr>
          <w:p>
            <w:pPr>
              <w:spacing w:after="0" w:line="186" w:lineRule="exact"/>
              <w:rPr>
                <w:rFonts w:ascii="Arial" w:cs="Arial" w:eastAsia="Arial" w:hAnsi="Arial"/>
                <w:sz w:val="18"/>
                <w:szCs w:val="18"/>
                <w:color w:val="0000FF"/>
              </w:rPr>
            </w:pPr>
            <w:hyperlink r:id="rId180">
              <w:r>
                <w:rPr>
                  <w:rFonts w:ascii="Arial" w:cs="Arial" w:eastAsia="Arial" w:hAnsi="Arial"/>
                  <w:sz w:val="18"/>
                  <w:szCs w:val="18"/>
                  <w:color w:val="0000FF"/>
                </w:rPr>
                <w:t>Form of Additional Warrant Confirmation</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w w:val="89"/>
              </w:rPr>
              <w:t>Exhibit 99.5 to the Registrant’s Current Report on Form 8-K 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tcPr>
          <w:p>
            <w:pPr>
              <w:spacing w:after="0" w:line="192" w:lineRule="exact"/>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10.34</w:t>
            </w:r>
          </w:p>
        </w:tc>
        <w:tc>
          <w:tcPr>
            <w:tcW w:w="5420" w:type="dxa"/>
            <w:vAlign w:val="bottom"/>
            <w:gridSpan w:val="31"/>
            <w:shd w:val="clear" w:color="auto" w:fill="CCEEFF"/>
          </w:tcPr>
          <w:p>
            <w:pPr>
              <w:spacing w:after="0" w:line="186" w:lineRule="exact"/>
              <w:rPr>
                <w:rFonts w:ascii="Arial" w:cs="Arial" w:eastAsia="Arial" w:hAnsi="Arial"/>
                <w:sz w:val="18"/>
                <w:szCs w:val="18"/>
                <w:color w:val="0000FF"/>
              </w:rPr>
            </w:pPr>
            <w:hyperlink r:id="rId181">
              <w:r>
                <w:rPr>
                  <w:rFonts w:ascii="Arial" w:cs="Arial" w:eastAsia="Arial" w:hAnsi="Arial"/>
                  <w:sz w:val="18"/>
                  <w:szCs w:val="18"/>
                  <w:color w:val="0000FF"/>
                </w:rPr>
                <w:t>LendingTree Executive Severance Pay Plan*</w:t>
              </w:r>
            </w:hyperlink>
          </w:p>
        </w:tc>
        <w:tc>
          <w:tcPr>
            <w:tcW w:w="462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4"/>
              </w:rPr>
              <w:t>Exhibit 10.41 to the Registrant's Annual Report on Form 10-K</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6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right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filed March 03, 2021</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10.35</w:t>
            </w:r>
          </w:p>
        </w:tc>
        <w:tc>
          <w:tcPr>
            <w:tcW w:w="5420" w:type="dxa"/>
            <w:vAlign w:val="bottom"/>
            <w:gridSpan w:val="31"/>
          </w:tcPr>
          <w:p>
            <w:pPr>
              <w:spacing w:after="0" w:line="186" w:lineRule="exact"/>
              <w:rPr>
                <w:rFonts w:ascii="Arial" w:cs="Arial" w:eastAsia="Arial" w:hAnsi="Arial"/>
                <w:sz w:val="18"/>
                <w:szCs w:val="18"/>
                <w:color w:val="0000FF"/>
                <w:w w:val="97"/>
              </w:rPr>
            </w:pPr>
            <w:hyperlink r:id="rId182">
              <w:r>
                <w:rPr>
                  <w:rFonts w:ascii="Arial" w:cs="Arial" w:eastAsia="Arial" w:hAnsi="Arial"/>
                  <w:sz w:val="18"/>
                  <w:szCs w:val="18"/>
                  <w:color w:val="0000FF"/>
                  <w:w w:val="97"/>
                </w:rPr>
                <w:t>Memorandum on compensation changes for Trent Ziegler, dated May</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w w:val="92"/>
              </w:rPr>
              <w:t>Exhibit 10.4 to the Registrant’s Quarterly Report on Form 10-Q</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0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3"/>
              </w:rPr>
            </w:pPr>
            <w:hyperlink r:id="rId182">
              <w:r>
                <w:rPr>
                  <w:rFonts w:ascii="Arial" w:cs="Arial" w:eastAsia="Arial" w:hAnsi="Arial"/>
                  <w:sz w:val="17"/>
                  <w:szCs w:val="17"/>
                  <w:color w:val="0000FF"/>
                  <w:w w:val="93"/>
                </w:rPr>
                <w:t>12, 2021*</w:t>
              </w:r>
            </w:hyperlink>
          </w:p>
        </w:tc>
        <w:tc>
          <w:tcPr>
            <w:tcW w:w="1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Pr>
          <w:p>
            <w:pPr>
              <w:spacing w:after="0" w:line="152" w:lineRule="exact"/>
              <w:rPr>
                <w:sz w:val="20"/>
                <w:szCs w:val="20"/>
                <w:color w:val="auto"/>
              </w:rPr>
            </w:pPr>
            <w:r>
              <w:rPr>
                <w:rFonts w:ascii="Arial" w:cs="Arial" w:eastAsia="Arial" w:hAnsi="Arial"/>
                <w:sz w:val="17"/>
                <w:szCs w:val="17"/>
                <w:color w:val="auto"/>
              </w:rPr>
              <w:t>filed August 4, 2021</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10.36</w:t>
            </w:r>
          </w:p>
        </w:tc>
        <w:tc>
          <w:tcPr>
            <w:tcW w:w="5420" w:type="dxa"/>
            <w:vAlign w:val="bottom"/>
            <w:gridSpan w:val="31"/>
            <w:shd w:val="clear" w:color="auto" w:fill="CCEEFF"/>
          </w:tcPr>
          <w:p>
            <w:pPr>
              <w:spacing w:after="0" w:line="195" w:lineRule="exact"/>
              <w:rPr>
                <w:rFonts w:ascii="Arial" w:cs="Arial" w:eastAsia="Arial" w:hAnsi="Arial"/>
                <w:sz w:val="18"/>
                <w:szCs w:val="18"/>
                <w:color w:val="0000FF"/>
                <w:w w:val="98"/>
              </w:rPr>
            </w:pPr>
            <w:hyperlink r:id="rId183">
              <w:r>
                <w:rPr>
                  <w:rFonts w:ascii="Arial" w:cs="Arial" w:eastAsia="Arial" w:hAnsi="Arial"/>
                  <w:sz w:val="18"/>
                  <w:szCs w:val="18"/>
                  <w:color w:val="0000FF"/>
                  <w:w w:val="98"/>
                </w:rPr>
                <w:t>Seventh Amended and Restated LendingTree, Inc. 2008 Stock Plan*</w:t>
              </w:r>
            </w:hyperlink>
          </w:p>
        </w:tc>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Incorporated by reference from Appendix C to the Registrant's</w:t>
            </w:r>
          </w:p>
        </w:tc>
        <w:tc>
          <w:tcPr>
            <w:tcW w:w="0" w:type="dxa"/>
            <w:vAlign w:val="bottom"/>
          </w:tcPr>
          <w:p>
            <w:pPr>
              <w:spacing w:after="0"/>
              <w:rPr>
                <w:sz w:val="1"/>
                <w:szCs w:val="1"/>
                <w:color w:val="auto"/>
              </w:rPr>
            </w:pPr>
          </w:p>
        </w:tc>
      </w:tr>
      <w:tr>
        <w:trPr>
          <w:trHeight w:val="140"/>
        </w:trPr>
        <w:tc>
          <w:tcPr>
            <w:tcW w:w="1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right w:val="single" w:sz="8" w:color="CCEE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6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right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right w:val="single" w:sz="8" w:color="CCEEFF"/>
            </w:tcBorders>
            <w:shd w:val="clear" w:color="auto" w:fill="CCEEFF"/>
          </w:tcPr>
          <w:p>
            <w:pPr>
              <w:spacing w:after="0"/>
              <w:rPr>
                <w:sz w:val="12"/>
                <w:szCs w:val="12"/>
                <w:color w:val="auto"/>
              </w:rPr>
            </w:pPr>
          </w:p>
        </w:tc>
        <w:tc>
          <w:tcPr>
            <w:tcW w:w="6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5"/>
                <w:szCs w:val="15"/>
                <w:color w:val="auto"/>
              </w:rPr>
              <w:t>Definitive Proxy Statement on Schedule 14A, filed on April 29,</w:t>
            </w:r>
          </w:p>
        </w:tc>
        <w:tc>
          <w:tcPr>
            <w:tcW w:w="0" w:type="dxa"/>
            <w:vAlign w:val="bottom"/>
          </w:tcPr>
          <w:p>
            <w:pPr>
              <w:spacing w:after="0"/>
              <w:rPr>
                <w:sz w:val="1"/>
                <w:szCs w:val="1"/>
                <w:color w:val="auto"/>
              </w:rPr>
            </w:pPr>
          </w:p>
        </w:tc>
      </w:tr>
      <w:tr>
        <w:trPr>
          <w:trHeight w:val="224"/>
        </w:trPr>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10.37</w:t>
            </w:r>
          </w:p>
        </w:tc>
        <w:tc>
          <w:tcPr>
            <w:tcW w:w="5420" w:type="dxa"/>
            <w:vAlign w:val="bottom"/>
            <w:gridSpan w:val="31"/>
          </w:tcPr>
          <w:p>
            <w:pPr>
              <w:spacing w:after="0" w:line="186" w:lineRule="exact"/>
              <w:rPr>
                <w:rFonts w:ascii="Arial" w:cs="Arial" w:eastAsia="Arial" w:hAnsi="Arial"/>
                <w:sz w:val="18"/>
                <w:szCs w:val="18"/>
                <w:color w:val="0000FF"/>
              </w:rPr>
            </w:pPr>
            <w:hyperlink r:id="rId183">
              <w:r>
                <w:rPr>
                  <w:rFonts w:ascii="Arial" w:cs="Arial" w:eastAsia="Arial" w:hAnsi="Arial"/>
                  <w:sz w:val="18"/>
                  <w:szCs w:val="18"/>
                  <w:color w:val="0000FF"/>
                </w:rPr>
                <w:t>LendingTree, Inc. Employee Stock Purchase Plan*</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w w:val="93"/>
              </w:rPr>
              <w:t>Incorporated by reference from Appendix B to the Registrant's</w:t>
            </w: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Pr>
          <w:p>
            <w:pPr>
              <w:spacing w:after="0" w:line="140" w:lineRule="exact"/>
              <w:rPr>
                <w:sz w:val="20"/>
                <w:szCs w:val="20"/>
                <w:color w:val="auto"/>
              </w:rPr>
            </w:pPr>
            <w:r>
              <w:rPr>
                <w:rFonts w:ascii="Arial" w:cs="Arial" w:eastAsia="Arial" w:hAnsi="Arial"/>
                <w:sz w:val="15"/>
                <w:szCs w:val="15"/>
                <w:color w:val="auto"/>
              </w:rPr>
              <w:t>Definitive Proxy Statement on Schedule 14A, filed on April 29,</w:t>
            </w: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jc w:val="right"/>
              <w:ind w:right="92"/>
              <w:spacing w:after="0" w:line="186" w:lineRule="exact"/>
              <w:rPr>
                <w:sz w:val="20"/>
                <w:szCs w:val="20"/>
                <w:color w:val="auto"/>
              </w:rPr>
            </w:pPr>
            <w:r>
              <w:rPr>
                <w:rFonts w:ascii="Arial" w:cs="Arial" w:eastAsia="Arial" w:hAnsi="Arial"/>
                <w:sz w:val="18"/>
                <w:szCs w:val="18"/>
                <w:color w:val="auto"/>
              </w:rPr>
              <w:t>10.38</w:t>
            </w:r>
          </w:p>
        </w:tc>
        <w:tc>
          <w:tcPr>
            <w:tcW w:w="5420" w:type="dxa"/>
            <w:vAlign w:val="bottom"/>
            <w:gridSpan w:val="31"/>
            <w:shd w:val="clear" w:color="auto" w:fill="CCEEFF"/>
          </w:tcPr>
          <w:p>
            <w:pPr>
              <w:spacing w:after="0" w:line="186" w:lineRule="exact"/>
              <w:rPr>
                <w:rFonts w:ascii="Arial" w:cs="Arial" w:eastAsia="Arial" w:hAnsi="Arial"/>
                <w:sz w:val="18"/>
                <w:szCs w:val="18"/>
                <w:color w:val="0000FF"/>
                <w:w w:val="95"/>
              </w:rPr>
            </w:pPr>
            <w:hyperlink r:id="rId184">
              <w:r>
                <w:rPr>
                  <w:rFonts w:ascii="Arial" w:cs="Arial" w:eastAsia="Arial" w:hAnsi="Arial"/>
                  <w:sz w:val="18"/>
                  <w:szCs w:val="18"/>
                  <w:color w:val="0000FF"/>
                  <w:w w:val="95"/>
                </w:rPr>
                <w:t>First Amendment to LendingTree, Inc. Employee Stock Purchase Plan*</w:t>
              </w:r>
            </w:hyperlink>
          </w:p>
        </w:tc>
        <w:tc>
          <w:tcPr>
            <w:tcW w:w="462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87"/>
              </w:rPr>
              <w:t>Exhibit 99.3 to the Registrant's Registration Statement on Form S-</w:t>
            </w:r>
          </w:p>
        </w:tc>
        <w:tc>
          <w:tcPr>
            <w:tcW w:w="0" w:type="dxa"/>
            <w:vAlign w:val="bottom"/>
          </w:tcPr>
          <w:p>
            <w:pPr>
              <w:spacing w:after="0"/>
              <w:rPr>
                <w:sz w:val="1"/>
                <w:szCs w:val="1"/>
                <w:color w:val="auto"/>
              </w:rPr>
            </w:pPr>
          </w:p>
        </w:tc>
      </w:tr>
      <w:tr>
        <w:trPr>
          <w:trHeight w:val="192"/>
        </w:trPr>
        <w:tc>
          <w:tcPr>
            <w:tcW w:w="1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6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right w:val="single" w:sz="8" w:color="CCEEFF"/>
            </w:tcBorders>
            <w:shd w:val="clear" w:color="auto" w:fill="CCEEFF"/>
          </w:tcPr>
          <w:p>
            <w:pPr>
              <w:spacing w:after="0"/>
              <w:rPr>
                <w:sz w:val="16"/>
                <w:szCs w:val="16"/>
                <w:color w:val="auto"/>
              </w:rPr>
            </w:pPr>
          </w:p>
        </w:tc>
        <w:tc>
          <w:tcPr>
            <w:tcW w:w="4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right w:val="single" w:sz="8" w:color="CCEEFF"/>
            </w:tcBorders>
            <w:shd w:val="clear" w:color="auto" w:fill="CCEEFF"/>
          </w:tcPr>
          <w:p>
            <w:pPr>
              <w:spacing w:after="0"/>
              <w:rPr>
                <w:sz w:val="16"/>
                <w:szCs w:val="16"/>
                <w:color w:val="auto"/>
              </w:rPr>
            </w:pPr>
          </w:p>
        </w:tc>
        <w:tc>
          <w:tcPr>
            <w:tcW w:w="6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8 (No. 333-258391), filed August 3, 2021</w:t>
            </w: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10.39</w:t>
            </w:r>
          </w:p>
        </w:tc>
        <w:tc>
          <w:tcPr>
            <w:tcW w:w="5420" w:type="dxa"/>
            <w:vAlign w:val="bottom"/>
            <w:gridSpan w:val="31"/>
          </w:tcPr>
          <w:p>
            <w:pPr>
              <w:spacing w:after="0" w:line="186" w:lineRule="exact"/>
              <w:rPr>
                <w:rFonts w:ascii="Arial" w:cs="Arial" w:eastAsia="Arial" w:hAnsi="Arial"/>
                <w:sz w:val="18"/>
                <w:szCs w:val="18"/>
                <w:color w:val="0000FF"/>
                <w:w w:val="93"/>
              </w:rPr>
            </w:pPr>
            <w:hyperlink w:anchor="page108">
              <w:r>
                <w:rPr>
                  <w:rFonts w:ascii="Arial" w:cs="Arial" w:eastAsia="Arial" w:hAnsi="Arial"/>
                  <w:sz w:val="18"/>
                  <w:szCs w:val="18"/>
                  <w:color w:val="0000FF"/>
                  <w:w w:val="93"/>
                </w:rPr>
                <w:t>Employment Agreement between Jill Olmstead and the Company, dated</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4"/>
              </w:rPr>
            </w:pPr>
            <w:hyperlink w:anchor="page108">
              <w:r>
                <w:rPr>
                  <w:rFonts w:ascii="Arial" w:cs="Arial" w:eastAsia="Arial" w:hAnsi="Arial"/>
                  <w:sz w:val="17"/>
                  <w:szCs w:val="17"/>
                  <w:color w:val="0000FF"/>
                  <w:w w:val="94"/>
                </w:rPr>
                <w:t>October 1, 2018*</w:t>
              </w:r>
            </w:hyperlink>
          </w:p>
        </w:tc>
        <w:tc>
          <w:tcPr>
            <w:tcW w:w="414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10.40</w:t>
            </w:r>
          </w:p>
        </w:tc>
        <w:tc>
          <w:tcPr>
            <w:tcW w:w="5420" w:type="dxa"/>
            <w:vAlign w:val="bottom"/>
            <w:gridSpan w:val="31"/>
            <w:shd w:val="clear" w:color="auto" w:fill="CCEEFF"/>
          </w:tcPr>
          <w:p>
            <w:pPr>
              <w:spacing w:after="0" w:line="195" w:lineRule="exact"/>
              <w:rPr>
                <w:rFonts w:ascii="Arial" w:cs="Arial" w:eastAsia="Arial" w:hAnsi="Arial"/>
                <w:sz w:val="18"/>
                <w:szCs w:val="18"/>
                <w:color w:val="0000FF"/>
                <w:w w:val="96"/>
              </w:rPr>
            </w:pPr>
            <w:hyperlink w:anchor="page126">
              <w:r>
                <w:rPr>
                  <w:rFonts w:ascii="Arial" w:cs="Arial" w:eastAsia="Arial" w:hAnsi="Arial"/>
                  <w:sz w:val="18"/>
                  <w:szCs w:val="18"/>
                  <w:color w:val="0000FF"/>
                  <w:w w:val="96"/>
                </w:rPr>
                <w:t>Separation Agreement between Neil Salvage and the Company, dated</w:t>
              </w:r>
            </w:hyperlink>
          </w:p>
        </w:tc>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7"/>
                <w:szCs w:val="17"/>
                <w:color w:val="0000FF"/>
                <w:w w:val="93"/>
              </w:rPr>
            </w:pPr>
            <w:hyperlink w:anchor="page126">
              <w:r>
                <w:rPr>
                  <w:rFonts w:ascii="Arial" w:cs="Arial" w:eastAsia="Arial" w:hAnsi="Arial"/>
                  <w:sz w:val="17"/>
                  <w:szCs w:val="17"/>
                  <w:color w:val="0000FF"/>
                  <w:w w:val="93"/>
                </w:rPr>
                <w:t>January 1, 2022*</w:t>
              </w:r>
            </w:hyperlink>
          </w:p>
        </w:tc>
        <w:tc>
          <w:tcPr>
            <w:tcW w:w="4080" w:type="dxa"/>
            <w:vAlign w:val="bottom"/>
            <w:tcBorders>
              <w:top w:val="single" w:sz="8" w:color="0000FF"/>
              <w:bottom w:val="single" w:sz="8" w:color="CCEEFF"/>
            </w:tcBorders>
            <w:gridSpan w:val="21"/>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21.1</w:t>
            </w:r>
          </w:p>
        </w:tc>
        <w:tc>
          <w:tcPr>
            <w:tcW w:w="5420" w:type="dxa"/>
            <w:vAlign w:val="bottom"/>
            <w:gridSpan w:val="31"/>
          </w:tcPr>
          <w:p>
            <w:pPr>
              <w:spacing w:after="0" w:line="186" w:lineRule="exact"/>
              <w:rPr>
                <w:rFonts w:ascii="Arial" w:cs="Arial" w:eastAsia="Arial" w:hAnsi="Arial"/>
                <w:sz w:val="18"/>
                <w:szCs w:val="18"/>
                <w:color w:val="0000FF"/>
              </w:rPr>
            </w:pPr>
            <w:hyperlink w:anchor="page139">
              <w:r>
                <w:rPr>
                  <w:rFonts w:ascii="Arial" w:cs="Arial" w:eastAsia="Arial" w:hAnsi="Arial"/>
                  <w:sz w:val="18"/>
                  <w:szCs w:val="18"/>
                  <w:color w:val="0000FF"/>
                </w:rPr>
                <w:t>Subsidiaries of LendingTree, Inc.</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23.1</w:t>
            </w:r>
          </w:p>
        </w:tc>
        <w:tc>
          <w:tcPr>
            <w:tcW w:w="4120" w:type="dxa"/>
            <w:vAlign w:val="bottom"/>
            <w:tcBorders>
              <w:bottom w:val="single" w:sz="8" w:color="0000FF"/>
            </w:tcBorders>
            <w:gridSpan w:val="13"/>
            <w:shd w:val="clear" w:color="auto" w:fill="CCEEFF"/>
          </w:tcPr>
          <w:p>
            <w:pPr>
              <w:spacing w:after="0" w:line="195" w:lineRule="exact"/>
              <w:rPr>
                <w:rFonts w:ascii="Arial" w:cs="Arial" w:eastAsia="Arial" w:hAnsi="Arial"/>
                <w:sz w:val="18"/>
                <w:szCs w:val="18"/>
                <w:color w:val="0000FF"/>
                <w:w w:val="89"/>
              </w:rPr>
            </w:pPr>
            <w:hyperlink w:anchor="page140">
              <w:r>
                <w:rPr>
                  <w:rFonts w:ascii="Arial" w:cs="Arial" w:eastAsia="Arial" w:hAnsi="Arial"/>
                  <w:sz w:val="18"/>
                  <w:szCs w:val="18"/>
                  <w:color w:val="0000FF"/>
                  <w:w w:val="89"/>
                </w:rPr>
                <w:t>Consent of independent registered public accounting firm.</w:t>
              </w:r>
            </w:hyperlink>
          </w:p>
        </w:tc>
        <w:tc>
          <w:tcPr>
            <w:tcW w:w="1300" w:type="dxa"/>
            <w:vAlign w:val="bottom"/>
            <w:tcBorders>
              <w:bottom w:val="single" w:sz="8" w:color="CCEEFF"/>
            </w:tcBorders>
            <w:gridSpan w:val="18"/>
            <w:shd w:val="clear" w:color="auto" w:fill="CCEEFF"/>
          </w:tcPr>
          <w:p>
            <w:pPr>
              <w:spacing w:after="0"/>
              <w:rPr>
                <w:sz w:val="18"/>
                <w:szCs w:val="18"/>
                <w:color w:val="auto"/>
              </w:rPr>
            </w:pPr>
          </w:p>
        </w:tc>
        <w:tc>
          <w:tcPr>
            <w:tcW w:w="462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6"/>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24.1</w:t>
            </w:r>
          </w:p>
        </w:tc>
        <w:tc>
          <w:tcPr>
            <w:tcW w:w="5420" w:type="dxa"/>
            <w:vAlign w:val="bottom"/>
            <w:gridSpan w:val="31"/>
          </w:tcPr>
          <w:p>
            <w:pPr>
              <w:spacing w:after="0" w:line="186" w:lineRule="exact"/>
              <w:rPr>
                <w:rFonts w:ascii="Arial" w:cs="Arial" w:eastAsia="Arial" w:hAnsi="Arial"/>
                <w:sz w:val="18"/>
                <w:szCs w:val="18"/>
                <w:color w:val="0000FF"/>
                <w:w w:val="95"/>
              </w:rPr>
            </w:pPr>
            <w:hyperlink w:anchor="page105">
              <w:r>
                <w:rPr>
                  <w:rFonts w:ascii="Arial" w:cs="Arial" w:eastAsia="Arial" w:hAnsi="Arial"/>
                  <w:sz w:val="18"/>
                  <w:szCs w:val="18"/>
                  <w:color w:val="0000FF"/>
                  <w:w w:val="95"/>
                </w:rPr>
                <w:t>Power of Attorney (included on signature page of this Annual Report on</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86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5"/>
              </w:rPr>
            </w:pPr>
            <w:hyperlink w:anchor="page105">
              <w:r>
                <w:rPr>
                  <w:rFonts w:ascii="Arial" w:cs="Arial" w:eastAsia="Arial" w:hAnsi="Arial"/>
                  <w:sz w:val="17"/>
                  <w:szCs w:val="17"/>
                  <w:color w:val="0000FF"/>
                  <w:w w:val="95"/>
                </w:rPr>
                <w:t>Form 10-K)</w:t>
              </w:r>
            </w:hyperlink>
          </w:p>
        </w:tc>
        <w:tc>
          <w:tcPr>
            <w:tcW w:w="4420" w:type="dxa"/>
            <w:vAlign w:val="bottom"/>
            <w:tcBorders>
              <w:top w:val="single" w:sz="8" w:color="0000FF"/>
            </w:tcBorders>
            <w:gridSpan w:val="21"/>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31.1</w:t>
            </w:r>
          </w:p>
        </w:tc>
        <w:tc>
          <w:tcPr>
            <w:tcW w:w="5420" w:type="dxa"/>
            <w:vAlign w:val="bottom"/>
            <w:gridSpan w:val="31"/>
            <w:shd w:val="clear" w:color="auto" w:fill="CCEEFF"/>
          </w:tcPr>
          <w:p>
            <w:pPr>
              <w:spacing w:after="0" w:line="195" w:lineRule="exact"/>
              <w:rPr>
                <w:rFonts w:ascii="Arial" w:cs="Arial" w:eastAsia="Arial" w:hAnsi="Arial"/>
                <w:sz w:val="18"/>
                <w:szCs w:val="18"/>
                <w:color w:val="0000FF"/>
                <w:w w:val="97"/>
              </w:rPr>
            </w:pPr>
            <w:hyperlink w:anchor="page141">
              <w:r>
                <w:rPr>
                  <w:rFonts w:ascii="Arial" w:cs="Arial" w:eastAsia="Arial" w:hAnsi="Arial"/>
                  <w:sz w:val="18"/>
                  <w:szCs w:val="18"/>
                  <w:color w:val="0000FF"/>
                  <w:w w:val="97"/>
                </w:rPr>
                <w:t>Certification of the Chief Executive Officer pursuant to Rule 13a-14(a)</w:t>
              </w:r>
            </w:hyperlink>
          </w:p>
        </w:tc>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340" w:type="dxa"/>
            <w:vAlign w:val="bottom"/>
            <w:tcBorders>
              <w:top w:val="single" w:sz="8" w:color="0000FF"/>
              <w:bottom w:val="single" w:sz="8" w:color="0000FF"/>
            </w:tcBorders>
            <w:gridSpan w:val="27"/>
            <w:shd w:val="clear" w:color="auto" w:fill="CCEEFF"/>
          </w:tcPr>
          <w:p>
            <w:pPr>
              <w:spacing w:after="0" w:line="152" w:lineRule="exact"/>
              <w:rPr>
                <w:rFonts w:ascii="Arial" w:cs="Arial" w:eastAsia="Arial" w:hAnsi="Arial"/>
                <w:sz w:val="17"/>
                <w:szCs w:val="17"/>
                <w:color w:val="0000FF"/>
              </w:rPr>
            </w:pPr>
            <w:hyperlink w:anchor="page141">
              <w:r>
                <w:rPr>
                  <w:rFonts w:ascii="Arial" w:cs="Arial" w:eastAsia="Arial" w:hAnsi="Arial"/>
                  <w:sz w:val="17"/>
                  <w:szCs w:val="17"/>
                  <w:color w:val="0000FF"/>
                </w:rPr>
                <w:t>or Rule 15d-14(a) of the Securities Exchange Act of 1934 as adopted</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spacing w:after="0"/>
              <w:rPr>
                <w:sz w:val="13"/>
                <w:szCs w:val="13"/>
                <w:color w:val="auto"/>
              </w:rPr>
            </w:pPr>
          </w:p>
        </w:tc>
        <w:tc>
          <w:tcPr>
            <w:tcW w:w="5400" w:type="dxa"/>
            <w:vAlign w:val="bottom"/>
            <w:gridSpan w:val="30"/>
            <w:shd w:val="clear" w:color="auto" w:fill="CCEEFF"/>
          </w:tcPr>
          <w:p>
            <w:pPr>
              <w:spacing w:after="0" w:line="152" w:lineRule="exact"/>
              <w:rPr>
                <w:rFonts w:ascii="Arial" w:cs="Arial" w:eastAsia="Arial" w:hAnsi="Arial"/>
                <w:sz w:val="17"/>
                <w:szCs w:val="17"/>
                <w:color w:val="0000FF"/>
              </w:rPr>
            </w:pPr>
            <w:hyperlink w:anchor="page141">
              <w:r>
                <w:rPr>
                  <w:rFonts w:ascii="Arial" w:cs="Arial" w:eastAsia="Arial" w:hAnsi="Arial"/>
                  <w:sz w:val="17"/>
                  <w:szCs w:val="17"/>
                  <w:color w:val="0000FF"/>
                </w:rPr>
                <w:t>pursuant to Section 302 of the Sarbanes-Oxley Act of 2002</w:t>
              </w:r>
            </w:hyperlink>
          </w:p>
        </w:tc>
        <w:tc>
          <w:tcPr>
            <w:tcW w:w="2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31.2</w:t>
            </w:r>
          </w:p>
        </w:tc>
        <w:tc>
          <w:tcPr>
            <w:tcW w:w="5420" w:type="dxa"/>
            <w:vAlign w:val="bottom"/>
            <w:gridSpan w:val="31"/>
          </w:tcPr>
          <w:p>
            <w:pPr>
              <w:spacing w:after="0" w:line="186" w:lineRule="exact"/>
              <w:rPr>
                <w:rFonts w:ascii="Arial" w:cs="Arial" w:eastAsia="Arial" w:hAnsi="Arial"/>
                <w:sz w:val="18"/>
                <w:szCs w:val="18"/>
                <w:color w:val="0000FF"/>
                <w:w w:val="98"/>
              </w:rPr>
            </w:pPr>
            <w:hyperlink w:anchor="page142">
              <w:r>
                <w:rPr>
                  <w:rFonts w:ascii="Arial" w:cs="Arial" w:eastAsia="Arial" w:hAnsi="Arial"/>
                  <w:sz w:val="18"/>
                  <w:szCs w:val="18"/>
                  <w:color w:val="0000FF"/>
                  <w:w w:val="98"/>
                </w:rPr>
                <w:t>Certification of the Chief Financial Officer pursuant to Rule 13a-14(a)</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160" w:type="dxa"/>
            <w:vAlign w:val="bottom"/>
            <w:tcBorders>
              <w:top w:val="single" w:sz="8" w:color="0000FF"/>
            </w:tcBorders>
            <w:gridSpan w:val="18"/>
          </w:tcPr>
          <w:p>
            <w:pPr>
              <w:spacing w:after="0" w:line="152" w:lineRule="exact"/>
              <w:rPr>
                <w:rFonts w:ascii="Arial" w:cs="Arial" w:eastAsia="Arial" w:hAnsi="Arial"/>
                <w:sz w:val="17"/>
                <w:szCs w:val="17"/>
                <w:color w:val="0000FF"/>
                <w:w w:val="98"/>
              </w:rPr>
            </w:pPr>
            <w:hyperlink w:anchor="page142">
              <w:r>
                <w:rPr>
                  <w:rFonts w:ascii="Arial" w:cs="Arial" w:eastAsia="Arial" w:hAnsi="Arial"/>
                  <w:sz w:val="17"/>
                  <w:szCs w:val="17"/>
                  <w:color w:val="0000FF"/>
                  <w:w w:val="98"/>
                </w:rPr>
                <w:t>or Rule 15d-14(a) of the Securities Exchange Act of 1934 as adopted</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40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w:anchor="page142">
              <w:r>
                <w:rPr>
                  <w:rFonts w:ascii="Arial" w:cs="Arial" w:eastAsia="Arial" w:hAnsi="Arial"/>
                  <w:sz w:val="17"/>
                  <w:szCs w:val="17"/>
                  <w:color w:val="0000FF"/>
                </w:rPr>
                <w:t>pursuant to Section 302 of the Sarbanes-Oxley Act of 2002</w:t>
              </w:r>
            </w:hyperlink>
          </w:p>
        </w:tc>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20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32.1</w:t>
            </w:r>
          </w:p>
        </w:tc>
        <w:tc>
          <w:tcPr>
            <w:tcW w:w="5420" w:type="dxa"/>
            <w:vAlign w:val="bottom"/>
            <w:gridSpan w:val="31"/>
            <w:shd w:val="clear" w:color="auto" w:fill="CCEEFF"/>
          </w:tcPr>
          <w:p>
            <w:pPr>
              <w:spacing w:after="0" w:line="195" w:lineRule="exact"/>
              <w:rPr>
                <w:rFonts w:ascii="Arial" w:cs="Arial" w:eastAsia="Arial" w:hAnsi="Arial"/>
                <w:sz w:val="18"/>
                <w:szCs w:val="18"/>
                <w:color w:val="0000FF"/>
              </w:rPr>
            </w:pPr>
            <w:hyperlink w:anchor="page143">
              <w:r>
                <w:rPr>
                  <w:rFonts w:ascii="Arial" w:cs="Arial" w:eastAsia="Arial" w:hAnsi="Arial"/>
                  <w:sz w:val="18"/>
                  <w:szCs w:val="18"/>
                  <w:color w:val="0000FF"/>
                </w:rPr>
                <w:t>Certification of the Chief Executive Officer pursuant to 18 U.S.C.</w:t>
              </w:r>
            </w:hyperlink>
          </w:p>
        </w:tc>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140" w:type="dxa"/>
            <w:vAlign w:val="bottom"/>
            <w:tcBorders>
              <w:top w:val="single" w:sz="8" w:color="0000FF"/>
              <w:bottom w:val="single" w:sz="8" w:color="0000FF"/>
            </w:tcBorders>
            <w:gridSpan w:val="17"/>
            <w:shd w:val="clear" w:color="auto" w:fill="CCEEFF"/>
          </w:tcPr>
          <w:p>
            <w:pPr>
              <w:spacing w:after="0" w:line="152" w:lineRule="exact"/>
              <w:rPr>
                <w:rFonts w:ascii="Arial" w:cs="Arial" w:eastAsia="Arial" w:hAnsi="Arial"/>
                <w:sz w:val="17"/>
                <w:szCs w:val="17"/>
                <w:color w:val="0000FF"/>
                <w:w w:val="93"/>
              </w:rPr>
            </w:pPr>
            <w:hyperlink w:anchor="page143">
              <w:r>
                <w:rPr>
                  <w:rFonts w:ascii="Arial" w:cs="Arial" w:eastAsia="Arial" w:hAnsi="Arial"/>
                  <w:sz w:val="17"/>
                  <w:szCs w:val="17"/>
                  <w:color w:val="0000FF"/>
                  <w:w w:val="93"/>
                </w:rPr>
                <w:t>Section 1350 as adopted pursuant to Section 906 of the Sarbanes-Oxley</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8"/>
            <w:shd w:val="clear" w:color="auto" w:fill="CCEEFF"/>
          </w:tcPr>
          <w:p>
            <w:pPr>
              <w:spacing w:after="0"/>
              <w:rPr>
                <w:sz w:val="13"/>
                <w:szCs w:val="13"/>
                <w:color w:val="auto"/>
              </w:rPr>
            </w:pPr>
          </w:p>
        </w:tc>
        <w:tc>
          <w:tcPr>
            <w:tcW w:w="46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spacing w:after="0"/>
              <w:rPr>
                <w:sz w:val="13"/>
                <w:szCs w:val="13"/>
                <w:color w:val="auto"/>
              </w:rPr>
            </w:pPr>
          </w:p>
        </w:tc>
        <w:tc>
          <w:tcPr>
            <w:tcW w:w="5260" w:type="dxa"/>
            <w:vAlign w:val="bottom"/>
            <w:gridSpan w:val="23"/>
            <w:shd w:val="clear" w:color="auto" w:fill="CCEEFF"/>
          </w:tcPr>
          <w:p>
            <w:pPr>
              <w:spacing w:after="0" w:line="152" w:lineRule="exact"/>
              <w:rPr>
                <w:rFonts w:ascii="Arial" w:cs="Arial" w:eastAsia="Arial" w:hAnsi="Arial"/>
                <w:sz w:val="17"/>
                <w:szCs w:val="17"/>
                <w:color w:val="0000FF"/>
              </w:rPr>
            </w:pPr>
            <w:hyperlink w:anchor="page143">
              <w:r>
                <w:rPr>
                  <w:rFonts w:ascii="Arial" w:cs="Arial" w:eastAsia="Arial" w:hAnsi="Arial"/>
                  <w:sz w:val="17"/>
                  <w:szCs w:val="17"/>
                  <w:color w:val="0000FF"/>
                </w:rPr>
                <w:t>Act of 2002</w:t>
              </w:r>
            </w:hyperlink>
          </w:p>
        </w:tc>
        <w:tc>
          <w:tcPr>
            <w:tcW w:w="160" w:type="dxa"/>
            <w:vAlign w:val="bottom"/>
            <w:gridSpan w:val="8"/>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00" w:type="dxa"/>
            <w:vAlign w:val="bottom"/>
          </w:tcPr>
          <w:p>
            <w:pPr>
              <w:jc w:val="right"/>
              <w:ind w:right="92"/>
              <w:spacing w:after="0" w:line="186" w:lineRule="exact"/>
              <w:rPr>
                <w:sz w:val="20"/>
                <w:szCs w:val="20"/>
                <w:color w:val="auto"/>
              </w:rPr>
            </w:pPr>
            <w:r>
              <w:rPr>
                <w:rFonts w:ascii="Arial" w:cs="Arial" w:eastAsia="Arial" w:hAnsi="Arial"/>
                <w:sz w:val="18"/>
                <w:szCs w:val="18"/>
                <w:color w:val="auto"/>
              </w:rPr>
              <w:t>32.2</w:t>
            </w:r>
          </w:p>
        </w:tc>
        <w:tc>
          <w:tcPr>
            <w:tcW w:w="5420" w:type="dxa"/>
            <w:vAlign w:val="bottom"/>
            <w:gridSpan w:val="31"/>
          </w:tcPr>
          <w:p>
            <w:pPr>
              <w:spacing w:after="0" w:line="186" w:lineRule="exact"/>
              <w:rPr>
                <w:rFonts w:ascii="Arial" w:cs="Arial" w:eastAsia="Arial" w:hAnsi="Arial"/>
                <w:sz w:val="18"/>
                <w:szCs w:val="18"/>
                <w:color w:val="0000FF"/>
              </w:rPr>
            </w:pPr>
            <w:hyperlink w:anchor="page144">
              <w:r>
                <w:rPr>
                  <w:rFonts w:ascii="Arial" w:cs="Arial" w:eastAsia="Arial" w:hAnsi="Arial"/>
                  <w:sz w:val="18"/>
                  <w:szCs w:val="18"/>
                  <w:color w:val="0000FF"/>
                </w:rPr>
                <w:t>Certification of the Chief Financial Officer pursuant to 18 U.S.C.</w:t>
              </w:r>
            </w:hyperlink>
          </w:p>
        </w:tc>
        <w:tc>
          <w:tcPr>
            <w:tcW w:w="4620" w:type="dxa"/>
            <w:vAlign w:val="bottom"/>
          </w:tcPr>
          <w:p>
            <w:pPr>
              <w:spacing w:after="0" w:line="18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220" w:type="dxa"/>
            <w:vAlign w:val="bottom"/>
            <w:tcBorders>
              <w:top w:val="single" w:sz="8" w:color="0000FF"/>
            </w:tcBorders>
            <w:gridSpan w:val="21"/>
          </w:tcPr>
          <w:p>
            <w:pPr>
              <w:spacing w:after="0" w:line="152" w:lineRule="exact"/>
              <w:rPr>
                <w:rFonts w:ascii="Arial" w:cs="Arial" w:eastAsia="Arial" w:hAnsi="Arial"/>
                <w:sz w:val="17"/>
                <w:szCs w:val="17"/>
                <w:color w:val="0000FF"/>
                <w:w w:val="95"/>
              </w:rPr>
            </w:pPr>
            <w:hyperlink w:anchor="page144">
              <w:r>
                <w:rPr>
                  <w:rFonts w:ascii="Arial" w:cs="Arial" w:eastAsia="Arial" w:hAnsi="Arial"/>
                  <w:sz w:val="17"/>
                  <w:szCs w:val="17"/>
                  <w:color w:val="0000FF"/>
                  <w:w w:val="95"/>
                </w:rPr>
                <w:t>Section 1350 as adopted pursuant to Section 906 of the Sarbanes-Oxley</w:t>
              </w:r>
            </w:hyperlink>
          </w:p>
        </w:tc>
        <w:tc>
          <w:tcPr>
            <w:tcW w:w="200" w:type="dxa"/>
            <w:vAlign w:val="bottom"/>
            <w:gridSpan w:val="10"/>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526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w:anchor="page144">
              <w:r>
                <w:rPr>
                  <w:rFonts w:ascii="Arial" w:cs="Arial" w:eastAsia="Arial" w:hAnsi="Arial"/>
                  <w:sz w:val="17"/>
                  <w:szCs w:val="17"/>
                  <w:color w:val="0000FF"/>
                </w:rPr>
                <w:t>Act of 2002</w:t>
              </w:r>
            </w:hyperlink>
          </w:p>
        </w:tc>
        <w:tc>
          <w:tcPr>
            <w:tcW w:w="160" w:type="dxa"/>
            <w:vAlign w:val="bottom"/>
            <w:gridSpan w:val="8"/>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7"/>
        </w:trPr>
        <w:tc>
          <w:tcPr>
            <w:tcW w:w="1200" w:type="dxa"/>
            <w:vAlign w:val="bottom"/>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4000" w:type="dxa"/>
            <w:vAlign w:val="bottom"/>
            <w:gridSpan w:val="12"/>
          </w:tcPr>
          <w:p>
            <w:pPr>
              <w:jc w:val="right"/>
              <w:ind w:right="3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Exhibit</w:t>
            </w:r>
          </w:p>
        </w:tc>
        <w:tc>
          <w:tcPr>
            <w:tcW w:w="5280" w:type="dxa"/>
            <w:vAlign w:val="bottom"/>
            <w:vMerge w:val="restart"/>
          </w:tcPr>
          <w:p>
            <w:pPr>
              <w:ind w:left="2200"/>
              <w:spacing w:after="0"/>
              <w:rPr>
                <w:sz w:val="20"/>
                <w:szCs w:val="20"/>
                <w:color w:val="auto"/>
              </w:rPr>
            </w:pPr>
            <w:r>
              <w:rPr>
                <w:rFonts w:ascii="Arial" w:cs="Arial" w:eastAsia="Arial" w:hAnsi="Arial"/>
                <w:sz w:val="18"/>
                <w:szCs w:val="18"/>
                <w:b w:val="1"/>
                <w:bCs w:val="1"/>
                <w:color w:val="auto"/>
              </w:rPr>
              <w:t>Description</w:t>
            </w:r>
          </w:p>
        </w:tc>
        <w:tc>
          <w:tcPr>
            <w:tcW w:w="482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5"/>
        </w:trPr>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Number</w:t>
            </w:r>
          </w:p>
        </w:tc>
        <w:tc>
          <w:tcPr>
            <w:tcW w:w="5280" w:type="dxa"/>
            <w:vAlign w:val="bottom"/>
            <w:tcBorders>
              <w:bottom w:val="single" w:sz="8" w:color="auto"/>
            </w:tcBorders>
            <w:vMerge w:val="continue"/>
          </w:tcPr>
          <w:p>
            <w:pPr>
              <w:spacing w:after="0"/>
              <w:rPr>
                <w:sz w:val="19"/>
                <w:szCs w:val="19"/>
                <w:color w:val="auto"/>
              </w:rPr>
            </w:pPr>
          </w:p>
        </w:tc>
        <w:tc>
          <w:tcPr>
            <w:tcW w:w="4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101.CAL</w:t>
            </w: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Calculation Linkbase Document</w:t>
            </w:r>
          </w:p>
        </w:tc>
        <w:tc>
          <w:tcPr>
            <w:tcW w:w="4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140" w:type="dxa"/>
            <w:vAlign w:val="bottom"/>
          </w:tcPr>
          <w:p>
            <w:pPr>
              <w:jc w:val="right"/>
              <w:spacing w:after="0"/>
              <w:rPr>
                <w:sz w:val="20"/>
                <w:szCs w:val="20"/>
                <w:color w:val="auto"/>
              </w:rPr>
            </w:pPr>
            <w:r>
              <w:rPr>
                <w:rFonts w:ascii="Arial" w:cs="Arial" w:eastAsia="Arial" w:hAnsi="Arial"/>
                <w:sz w:val="18"/>
                <w:szCs w:val="18"/>
                <w:color w:val="auto"/>
              </w:rPr>
              <w:t>101.DEF</w:t>
            </w:r>
          </w:p>
        </w:tc>
        <w:tc>
          <w:tcPr>
            <w:tcW w:w="528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c>
          <w:tcPr>
            <w:tcW w:w="48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101.INS</w:t>
            </w:r>
          </w:p>
        </w:tc>
        <w:tc>
          <w:tcPr>
            <w:tcW w:w="5280" w:type="dxa"/>
            <w:vAlign w:val="bottom"/>
            <w:shd w:val="clear" w:color="auto" w:fill="CCEEFF"/>
          </w:tcPr>
          <w:p>
            <w:pPr>
              <w:ind w:left="60"/>
              <w:spacing w:after="0" w:line="174" w:lineRule="exact"/>
              <w:rPr>
                <w:sz w:val="20"/>
                <w:szCs w:val="20"/>
                <w:color w:val="auto"/>
              </w:rPr>
            </w:pPr>
            <w:r>
              <w:rPr>
                <w:rFonts w:ascii="Arial" w:cs="Arial" w:eastAsia="Arial" w:hAnsi="Arial"/>
                <w:sz w:val="18"/>
                <w:szCs w:val="18"/>
                <w:color w:val="auto"/>
                <w:w w:val="90"/>
              </w:rPr>
              <w:t>XBRL Instance Document — The instance document does not appear in</w:t>
            </w:r>
          </w:p>
        </w:tc>
        <w:tc>
          <w:tcPr>
            <w:tcW w:w="4820" w:type="dxa"/>
            <w:vAlign w:val="bottom"/>
            <w:shd w:val="clear" w:color="auto" w:fill="CCEEFF"/>
          </w:tcPr>
          <w:p>
            <w:pPr>
              <w:ind w:left="60"/>
              <w:spacing w:after="0" w:line="17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1140" w:type="dxa"/>
            <w:vAlign w:val="bottom"/>
            <w:shd w:val="clear" w:color="auto" w:fill="CCEEFF"/>
          </w:tcPr>
          <w:p>
            <w:pPr>
              <w:spacing w:after="0"/>
              <w:rPr>
                <w:sz w:val="14"/>
                <w:szCs w:val="14"/>
                <w:color w:val="auto"/>
              </w:rPr>
            </w:pPr>
          </w:p>
        </w:tc>
        <w:tc>
          <w:tcPr>
            <w:tcW w:w="5280" w:type="dxa"/>
            <w:vAlign w:val="bottom"/>
            <w:shd w:val="clear" w:color="auto" w:fill="CCEEFF"/>
          </w:tcPr>
          <w:p>
            <w:pPr>
              <w:ind w:left="60"/>
              <w:spacing w:after="0" w:line="172" w:lineRule="exact"/>
              <w:rPr>
                <w:sz w:val="20"/>
                <w:szCs w:val="20"/>
                <w:color w:val="auto"/>
              </w:rPr>
            </w:pPr>
            <w:r>
              <w:rPr>
                <w:rFonts w:ascii="Arial" w:cs="Arial" w:eastAsia="Arial" w:hAnsi="Arial"/>
                <w:sz w:val="18"/>
                <w:szCs w:val="18"/>
                <w:color w:val="auto"/>
                <w:w w:val="94"/>
              </w:rPr>
              <w:t>the Interactive Data File because its XBRL tags are embedded within</w:t>
            </w: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40" w:type="dxa"/>
            <w:vAlign w:val="bottom"/>
            <w:shd w:val="clear" w:color="auto" w:fill="CCEEFF"/>
          </w:tcPr>
          <w:p>
            <w:pPr>
              <w:spacing w:after="0"/>
              <w:rPr>
                <w:sz w:val="19"/>
                <w:szCs w:val="19"/>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Inline XBRL document.</w:t>
            </w:r>
          </w:p>
        </w:tc>
        <w:tc>
          <w:tcPr>
            <w:tcW w:w="4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40" w:type="dxa"/>
            <w:vAlign w:val="bottom"/>
          </w:tcPr>
          <w:p>
            <w:pPr>
              <w:jc w:val="right"/>
              <w:spacing w:after="0"/>
              <w:rPr>
                <w:sz w:val="20"/>
                <w:szCs w:val="20"/>
                <w:color w:val="auto"/>
              </w:rPr>
            </w:pPr>
            <w:r>
              <w:rPr>
                <w:rFonts w:ascii="Arial" w:cs="Arial" w:eastAsia="Arial" w:hAnsi="Arial"/>
                <w:sz w:val="18"/>
                <w:szCs w:val="18"/>
                <w:color w:val="auto"/>
              </w:rPr>
              <w:t>101.LAB</w:t>
            </w:r>
          </w:p>
        </w:tc>
        <w:tc>
          <w:tcPr>
            <w:tcW w:w="528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c>
          <w:tcPr>
            <w:tcW w:w="48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101.PRE</w:t>
            </w: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c>
          <w:tcPr>
            <w:tcW w:w="4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140" w:type="dxa"/>
            <w:vAlign w:val="bottom"/>
          </w:tcPr>
          <w:p>
            <w:pPr>
              <w:jc w:val="right"/>
              <w:spacing w:after="0"/>
              <w:rPr>
                <w:sz w:val="20"/>
                <w:szCs w:val="20"/>
                <w:color w:val="auto"/>
              </w:rPr>
            </w:pPr>
            <w:r>
              <w:rPr>
                <w:rFonts w:ascii="Arial" w:cs="Arial" w:eastAsia="Arial" w:hAnsi="Arial"/>
                <w:sz w:val="18"/>
                <w:szCs w:val="18"/>
                <w:color w:val="auto"/>
              </w:rPr>
              <w:t>101.SCH</w:t>
            </w:r>
          </w:p>
        </w:tc>
        <w:tc>
          <w:tcPr>
            <w:tcW w:w="528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c>
          <w:tcPr>
            <w:tcW w:w="48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2527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7">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ind w:left="1200" w:hanging="390"/>
        <w:spacing w:after="0" w:line="218"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w:t>
      </w:r>
    </w:p>
    <w:p>
      <w:pPr>
        <w:ind w:left="1200"/>
        <w:spacing w:after="0"/>
        <w:rPr>
          <w:rFonts w:ascii="Arial" w:cs="Arial" w:eastAsia="Arial" w:hAnsi="Arial"/>
          <w:sz w:val="18"/>
          <w:szCs w:val="18"/>
          <w:color w:val="auto"/>
        </w:rPr>
      </w:pPr>
      <w:r>
        <w:rPr>
          <w:rFonts w:ascii="Arial" w:cs="Arial" w:eastAsia="Arial" w:hAnsi="Arial"/>
          <w:sz w:val="18"/>
          <w:szCs w:val="18"/>
          <w:color w:val="auto"/>
        </w:rPr>
        <w:t>document contained in Exhibit 101)</w:t>
      </w:r>
    </w:p>
    <w:p>
      <w:pPr>
        <w:spacing w:after="0" w:line="7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1" w:lineRule="exact"/>
        <w:rPr>
          <w:sz w:val="20"/>
          <w:szCs w:val="20"/>
          <w:color w:val="auto"/>
        </w:rPr>
      </w:pPr>
    </w:p>
    <w:p>
      <w:pPr>
        <w:jc w:val="both"/>
        <w:ind w:firstLine="6"/>
        <w:spacing w:after="0" w:line="255" w:lineRule="auto"/>
        <w:tabs>
          <w:tab w:leader="none" w:pos="2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22" w:lineRule="exact"/>
        <w:rPr>
          <w:sz w:val="20"/>
          <w:szCs w:val="20"/>
          <w:color w:val="auto"/>
        </w:rPr>
      </w:pPr>
    </w:p>
    <w:p>
      <w:pPr>
        <w:jc w:val="both"/>
        <w:ind w:firstLine="6"/>
        <w:spacing w:after="0" w:line="277" w:lineRule="auto"/>
        <w:tabs>
          <w:tab w:leader="none" w:pos="117" w:val="left"/>
        </w:tabs>
        <w:numPr>
          <w:ilvl w:val="0"/>
          <w:numId w:val="44"/>
        </w:numPr>
        <w:rPr>
          <w:rFonts w:ascii="Arial" w:cs="Arial" w:eastAsia="Arial" w:hAnsi="Arial"/>
          <w:sz w:val="17"/>
          <w:szCs w:val="17"/>
          <w:color w:val="auto"/>
        </w:rPr>
      </w:pPr>
      <w:r>
        <w:rPr>
          <w:rFonts w:ascii="Arial" w:cs="Arial" w:eastAsia="Arial" w:hAnsi="Arial"/>
          <w:sz w:val="17"/>
          <w:szCs w:val="17"/>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151" w:lineRule="exact"/>
        <w:rPr>
          <w:sz w:val="20"/>
          <w:szCs w:val="20"/>
          <w:color w:val="auto"/>
        </w:rPr>
      </w:pPr>
    </w:p>
    <w:p>
      <w:pPr>
        <w:ind w:firstLine="6"/>
        <w:spacing w:after="0" w:line="264" w:lineRule="auto"/>
        <w:tabs>
          <w:tab w:leader="none" w:pos="2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 Portions of this exhibit have been omitted pursuant to a request for confidential treatment and this exhibit has been submitted separately to the SEC.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2022</w:t>
      </w:r>
    </w:p>
    <w:p>
      <w:pPr>
        <w:spacing w:after="0" w:line="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LendingTree, Inc.</w:t>
      </w:r>
    </w:p>
    <w:p>
      <w:pPr>
        <w:spacing w:after="0" w:line="238" w:lineRule="exact"/>
        <w:rPr>
          <w:sz w:val="20"/>
          <w:szCs w:val="20"/>
          <w:color w:val="auto"/>
        </w:rPr>
      </w:pPr>
    </w:p>
    <w:p>
      <w:pPr>
        <w:ind w:left="550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14605</wp:posOffset>
            </wp:positionV>
            <wp:extent cx="32137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9">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8"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Douglas R. Lebda</w:t>
      </w:r>
    </w:p>
    <w:p>
      <w:pPr>
        <w:spacing w:after="0" w:line="18"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each of Trent Ziegler and Lisa Young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2021,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133"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3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3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DOUGLAS R. LEBDA</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92"/>
        </w:trPr>
        <w:tc>
          <w:tcPr>
            <w:tcW w:w="17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438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Douglas R. Lebda</w:t>
            </w:r>
          </w:p>
        </w:tc>
        <w:tc>
          <w:tcPr>
            <w:tcW w:w="438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80" w:type="dxa"/>
            <w:vAlign w:val="bottom"/>
            <w:gridSpan w:val="3"/>
            <w:vMerge w:val="continue"/>
          </w:tcPr>
          <w:p>
            <w:pPr>
              <w:spacing w:after="0"/>
              <w:rPr>
                <w:sz w:val="9"/>
                <w:szCs w:val="9"/>
                <w:color w:val="auto"/>
              </w:rPr>
            </w:pPr>
          </w:p>
        </w:tc>
        <w:tc>
          <w:tcPr>
            <w:tcW w:w="2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TRENT ZIEGLER</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92"/>
        </w:trPr>
        <w:tc>
          <w:tcPr>
            <w:tcW w:w="17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438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Financial Officer)</w:t>
            </w:r>
          </w:p>
        </w:tc>
        <w:tc>
          <w:tcPr>
            <w:tcW w:w="1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Trent Ziegler</w:t>
            </w:r>
          </w:p>
        </w:tc>
        <w:tc>
          <w:tcPr>
            <w:tcW w:w="438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80" w:type="dxa"/>
            <w:vAlign w:val="bottom"/>
            <w:gridSpan w:val="3"/>
            <w:vMerge w:val="continue"/>
          </w:tcPr>
          <w:p>
            <w:pPr>
              <w:spacing w:after="0"/>
              <w:rPr>
                <w:sz w:val="9"/>
                <w:szCs w:val="9"/>
                <w:color w:val="auto"/>
              </w:rPr>
            </w:pPr>
          </w:p>
        </w:tc>
        <w:tc>
          <w:tcPr>
            <w:tcW w:w="2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CARLA SHUMATE</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Accounting Officer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92"/>
        </w:trPr>
        <w:tc>
          <w:tcPr>
            <w:tcW w:w="17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438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1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Carla Shumate</w:t>
            </w:r>
          </w:p>
        </w:tc>
        <w:tc>
          <w:tcPr>
            <w:tcW w:w="438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80" w:type="dxa"/>
            <w:vAlign w:val="bottom"/>
            <w:gridSpan w:val="3"/>
            <w:vMerge w:val="continue"/>
          </w:tcPr>
          <w:p>
            <w:pPr>
              <w:spacing w:after="0"/>
              <w:rPr>
                <w:sz w:val="9"/>
                <w:szCs w:val="9"/>
                <w:color w:val="auto"/>
              </w:rPr>
            </w:pPr>
          </w:p>
        </w:tc>
        <w:tc>
          <w:tcPr>
            <w:tcW w:w="2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GABRIEL DALPORTO</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41"/>
        </w:trPr>
        <w:tc>
          <w:tcPr>
            <w:tcW w:w="1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Gabriel Dalporto</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THOMAS DAVIDSON</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41"/>
        </w:trPr>
        <w:tc>
          <w:tcPr>
            <w:tcW w:w="1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Thomas Davidson</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ROBIN HENDERSON</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41"/>
        </w:trPr>
        <w:tc>
          <w:tcPr>
            <w:tcW w:w="1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Robin Henderson</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STEVEN OZONIAN</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41"/>
        </w:trPr>
        <w:tc>
          <w:tcPr>
            <w:tcW w:w="1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Steven Ozonian</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SARAS SARASVATHY</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41"/>
        </w:trPr>
        <w:tc>
          <w:tcPr>
            <w:tcW w:w="1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Saras Sarasvathy</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G. KENNEDY THOMPSON</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41"/>
        </w:trPr>
        <w:tc>
          <w:tcPr>
            <w:tcW w:w="1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G. Kennedy Thompson</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JENNIFER WITZ</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60"/>
              <w:spacing w:after="0"/>
              <w:rPr>
                <w:sz w:val="20"/>
                <w:szCs w:val="20"/>
                <w:color w:val="auto"/>
              </w:rPr>
            </w:pPr>
            <w:r>
              <w:rPr>
                <w:rFonts w:ascii="Arial" w:cs="Arial" w:eastAsia="Arial" w:hAnsi="Arial"/>
                <w:sz w:val="18"/>
                <w:szCs w:val="18"/>
                <w:color w:val="auto"/>
                <w:w w:val="86"/>
              </w:rPr>
              <w:t>February 28, 2022</w:t>
            </w:r>
          </w:p>
        </w:tc>
        <w:tc>
          <w:tcPr>
            <w:tcW w:w="0" w:type="dxa"/>
            <w:vAlign w:val="bottom"/>
          </w:tcPr>
          <w:p>
            <w:pPr>
              <w:spacing w:after="0"/>
              <w:rPr>
                <w:sz w:val="1"/>
                <w:szCs w:val="1"/>
                <w:color w:val="auto"/>
              </w:rPr>
            </w:pPr>
          </w:p>
        </w:tc>
      </w:tr>
      <w:tr>
        <w:trPr>
          <w:trHeight w:val="41"/>
        </w:trPr>
        <w:tc>
          <w:tcPr>
            <w:tcW w:w="1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Jennifer Witz</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18" w:right="33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21"/>
          <w:szCs w:val="21"/>
          <w:b w:val="1"/>
          <w:bCs w:val="1"/>
          <w:u w:val="single" w:color="auto"/>
          <w:color w:val="auto"/>
        </w:rPr>
        <w:t>EMPLOYMENT AGREEMENT</w:t>
      </w:r>
    </w:p>
    <w:p>
      <w:pPr>
        <w:spacing w:after="0" w:line="208" w:lineRule="exact"/>
        <w:rPr>
          <w:sz w:val="20"/>
          <w:szCs w:val="20"/>
          <w:color w:val="auto"/>
        </w:rPr>
      </w:pPr>
    </w:p>
    <w:p>
      <w:pPr>
        <w:jc w:val="both"/>
        <w:ind w:left="140" w:firstLine="635"/>
        <w:spacing w:after="0" w:line="212" w:lineRule="auto"/>
        <w:rPr>
          <w:sz w:val="20"/>
          <w:szCs w:val="20"/>
          <w:color w:val="auto"/>
        </w:rPr>
      </w:pPr>
      <w:r>
        <w:rPr>
          <w:rFonts w:ascii="Arial" w:cs="Arial" w:eastAsia="Arial" w:hAnsi="Arial"/>
          <w:sz w:val="21"/>
          <w:szCs w:val="21"/>
          <w:color w:val="auto"/>
        </w:rPr>
        <w:t>This Employment Agreement (“Agreement”) is made and entered into this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October 2018 (the “Effective Date”) by and between Jill Olmstead (“Executive”) and LendingTree, Inc. (the “Company”) and LendingTree, LLC (“LTLLC” which as of the Effective Date is a wholly-owned subsidiary of the Company; LTLLC and the Company are collectively the “Company Group”) (each a “Party” and collectively, the “Parties”).</w:t>
      </w:r>
    </w:p>
    <w:p>
      <w:pPr>
        <w:spacing w:after="0" w:line="193" w:lineRule="exact"/>
        <w:rPr>
          <w:sz w:val="20"/>
          <w:szCs w:val="20"/>
          <w:color w:val="auto"/>
        </w:rPr>
      </w:pPr>
    </w:p>
    <w:p>
      <w:pPr>
        <w:jc w:val="both"/>
        <w:ind w:left="140" w:firstLine="638"/>
        <w:spacing w:after="0" w:line="226" w:lineRule="auto"/>
        <w:tabs>
          <w:tab w:leader="none" w:pos="1225"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LTLLC shall employ Executive and Executive agrees to be employed as Chief Human Resources Officer. Executive shall do and perform all services and acts necessary or advisable to fulfill the duties and responsibilities as are commensurate and consistent with Executive’s position and shall render such services on the terms set forth herein. Further, Executive shall perform such different or other duties as may be assigned to Executive by LTLLC from time to time by its Chief Executive Officer. As a fiduciary of the Company Group, Executive will devote Executive’s full working time and best efforts to the diligent and faithful performance of such duties as may be entrusted to Executive from time to time by Company Group, and shall observe and abide by the corporate policies and decisions of the Company Group in all business matters. Executive’s principal place of employment shall be the offices of the Company Group located in Charlotte, North Carolina; provided, however, that travel to the Company Group’s other offices or places of business activity may be required. Executive acknowledges that Company Group may, in its sole discretion from time to time, change Executive’s responsibilities or Executive’s direct/indirect reports without any effect hereunder.</w:t>
      </w:r>
    </w:p>
    <w:p>
      <w:pPr>
        <w:spacing w:after="0" w:line="188" w:lineRule="exact"/>
        <w:rPr>
          <w:rFonts w:ascii="Arial" w:cs="Arial" w:eastAsia="Arial" w:hAnsi="Arial"/>
          <w:sz w:val="20"/>
          <w:szCs w:val="20"/>
          <w:color w:val="auto"/>
        </w:rPr>
      </w:pPr>
    </w:p>
    <w:p>
      <w:pPr>
        <w:ind w:left="1420" w:hanging="642"/>
        <w:spacing w:after="0"/>
        <w:tabs>
          <w:tab w:leader="none" w:pos="142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left="140" w:firstLine="1274"/>
        <w:spacing w:after="0" w:line="242" w:lineRule="auto"/>
        <w:tabs>
          <w:tab w:leader="none" w:pos="1871"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Initial Term</w:t>
      </w:r>
      <w:r>
        <w:rPr>
          <w:rFonts w:ascii="Arial" w:cs="Arial" w:eastAsia="Arial" w:hAnsi="Arial"/>
          <w:sz w:val="20"/>
          <w:szCs w:val="20"/>
          <w:color w:val="auto"/>
        </w:rPr>
        <w:t>. Executive’s employment shall be governed by the terms of this Agreement for the period beginning on the Effective Date and ending [October 1, 2022], unless earlier terminated as provided herein (the “Initial Term”). This Agreement will expire by its terms unless renewed in the manner set forth in Section 2.b below.</w:t>
      </w:r>
    </w:p>
    <w:p>
      <w:pPr>
        <w:spacing w:after="0" w:line="192" w:lineRule="exact"/>
        <w:rPr>
          <w:rFonts w:ascii="Arial" w:cs="Arial" w:eastAsia="Arial" w:hAnsi="Arial"/>
          <w:sz w:val="20"/>
          <w:szCs w:val="20"/>
          <w:color w:val="auto"/>
        </w:rPr>
      </w:pPr>
    </w:p>
    <w:p>
      <w:pPr>
        <w:jc w:val="both"/>
        <w:ind w:left="140" w:firstLine="1274"/>
        <w:spacing w:after="0" w:line="226" w:lineRule="auto"/>
        <w:tabs>
          <w:tab w:leader="none" w:pos="1870"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Renewal Terms</w:t>
      </w:r>
      <w:r>
        <w:rPr>
          <w:rFonts w:ascii="Arial" w:cs="Arial" w:eastAsia="Arial" w:hAnsi="Arial"/>
          <w:sz w:val="20"/>
          <w:szCs w:val="20"/>
          <w:color w:val="auto"/>
        </w:rPr>
        <w:t>. Upon the written request of the Executive to extend the Executive’s employment under this Agreement beyond the Initial Term or any Renewal Term at least ninety (90) days prior to the expiration of the Agreement, the Chief Executive Officer or the Compensation Committee of the Company’s Board of Directors (the “Compensation Committee”), as applicable, shall consider extending the term of this Agreement. If Executive’s request for an extension is approved by the Chief Executive Officer or Compensation Committee, as applicable, this Agreement shall be extended by one additional year. Any such additional one- year period shall be referred to as a “Renewal Term” and, together with the Initial Term, the “Term.” In no event, however, shall Executive’s employment under this Agreement extend beyond seven (7) years. For purposes of clarity, if the Agreement is not renewed in accordance with this Section 2.b, the Agreement shall automatically expire at the end of the Term. Such expiration shall not entitle Executive to any compensation or benefits except as earned by Executive through the date of expiration of the Term. For the avoidance of doubt, following the expiration of the Term, any continued employment of Executive by LTLLC will be on an “at will”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100"/>
          </w:cols>
          <w:pgMar w:left="360" w:top="1371" w:right="439" w:bottom="1440" w:gutter="0" w:footer="0" w:header="0"/>
        </w:sectPr>
      </w:pPr>
    </w:p>
    <w:bookmarkStart w:id="108" w:name="page109"/>
    <w:bookmarkEnd w:id="108"/>
    <w:p>
      <w:pPr>
        <w:spacing w:after="0" w:line="163" w:lineRule="exact"/>
        <w:rPr>
          <w:sz w:val="20"/>
          <w:szCs w:val="20"/>
          <w:color w:val="auto"/>
        </w:rPr>
      </w:pPr>
    </w:p>
    <w:p>
      <w:pPr>
        <w:jc w:val="both"/>
        <w:ind w:left="140" w:right="20" w:firstLine="638"/>
        <w:spacing w:after="0" w:line="242" w:lineRule="auto"/>
        <w:tabs>
          <w:tab w:leader="none" w:pos="122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LTLLC shall pay and Executive shall accept as full consideration for the services to be rendered hereunder compensation consisting of the items listed below. LTLLC shall have no obligation to pay any such compensation for any period after the termination of Executive’s employment, except as otherwise expressly provided.</w:t>
      </w:r>
    </w:p>
    <w:p>
      <w:pPr>
        <w:spacing w:after="0" w:line="192" w:lineRule="exact"/>
        <w:rPr>
          <w:rFonts w:ascii="Arial" w:cs="Arial" w:eastAsia="Arial" w:hAnsi="Arial"/>
          <w:sz w:val="20"/>
          <w:szCs w:val="20"/>
          <w:color w:val="auto"/>
        </w:rPr>
      </w:pPr>
    </w:p>
    <w:p>
      <w:pPr>
        <w:jc w:val="both"/>
        <w:ind w:left="140" w:firstLine="1274"/>
        <w:spacing w:after="0" w:line="225" w:lineRule="auto"/>
        <w:tabs>
          <w:tab w:leader="none" w:pos="1871"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Base salary, paid pursuant to LTLLC’s normal payroll practices, at an annual rate of $350,000 or such other rate as may be established prospectively by the Compensation Committee from time to time (“Base Salary”). All such Base Salary payments shall be subject to deduction and withholding authorized or required by applicable law. The Base Salary shall be reviewed by the Chief Executive Officer no later than March 31, 2022.</w:t>
      </w:r>
    </w:p>
    <w:p>
      <w:pPr>
        <w:spacing w:after="0" w:line="194" w:lineRule="exact"/>
        <w:rPr>
          <w:rFonts w:ascii="Arial" w:cs="Arial" w:eastAsia="Arial" w:hAnsi="Arial"/>
          <w:sz w:val="21"/>
          <w:szCs w:val="21"/>
          <w:color w:val="auto"/>
        </w:rPr>
      </w:pPr>
    </w:p>
    <w:p>
      <w:pPr>
        <w:jc w:val="both"/>
        <w:ind w:left="140" w:firstLine="1274"/>
        <w:spacing w:after="0" w:line="238" w:lineRule="auto"/>
        <w:tabs>
          <w:tab w:leader="none" w:pos="1870"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Annual Bonus Award</w:t>
      </w:r>
      <w:r>
        <w:rPr>
          <w:rFonts w:ascii="Arial" w:cs="Arial" w:eastAsia="Arial" w:hAnsi="Arial"/>
          <w:sz w:val="19"/>
          <w:szCs w:val="19"/>
          <w:color w:val="auto"/>
        </w:rPr>
        <w:t>. Beginning on January 1, 2019, the Executive shall be eligible to receive a target annual bonus award (“Annual Bonus”) of up to 60% of Executive’s Base Salary (“Annual Bonus Percentage”) with respect to each fiscal year of the Company (each a “Performance Year”) during the Term. The terms and conditions of the Annual Bonus, including the applicable performance criteria for a Performance Year, and the amount of the Annual Bonus payable to the Executive for a Performance Year, if any, shall be determined by the Compensation Committee pursuant to an annual bonus plan for executive employees (the “Annual Bonus Plan”). If more than one Base Salary was in effect during the Performance Year, the Annual Bonus Percentage (after it is determined pursuant to the Annual Bonus Plan), will be multiplied by each Base Salary in effect during the Performance Year, on a pro rata basis. The Company may amend the Bonus Plan from time to time in its sole discretion. Except as expressly provided in this Agreement, the Annual Bonus will be paid in accordance with the Annual Bonus Plan, and is subject to discretionary adjustments based on individual performance. Executive shall not earn an Annual Bonus or any portion thereof if Executive is not employed under this Agreement on the applicable date specified for payment in the Annual Bonus Plan, except as set forth in the Annual Bonus Plan.</w:t>
      </w:r>
    </w:p>
    <w:p>
      <w:pPr>
        <w:spacing w:after="0" w:line="262" w:lineRule="exact"/>
        <w:rPr>
          <w:rFonts w:ascii="Arial" w:cs="Arial" w:eastAsia="Arial" w:hAnsi="Arial"/>
          <w:sz w:val="19"/>
          <w:szCs w:val="19"/>
          <w:color w:val="auto"/>
        </w:rPr>
      </w:pPr>
    </w:p>
    <w:p>
      <w:pPr>
        <w:ind w:left="2040" w:hanging="626"/>
        <w:spacing w:after="0"/>
        <w:tabs>
          <w:tab w:leader="none" w:pos="2040"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Equity Incentives</w:t>
      </w:r>
      <w:r>
        <w:rPr>
          <w:rFonts w:ascii="Arial" w:cs="Arial" w:eastAsia="Arial" w:hAnsi="Arial"/>
          <w:sz w:val="21"/>
          <w:szCs w:val="21"/>
          <w:color w:val="auto"/>
        </w:rPr>
        <w:t>.</w:t>
      </w:r>
    </w:p>
    <w:p>
      <w:pPr>
        <w:spacing w:after="0" w:line="209" w:lineRule="exact"/>
        <w:rPr>
          <w:sz w:val="20"/>
          <w:szCs w:val="20"/>
          <w:color w:val="auto"/>
        </w:rPr>
      </w:pPr>
    </w:p>
    <w:p>
      <w:pPr>
        <w:jc w:val="both"/>
        <w:ind w:left="140" w:firstLine="1193"/>
        <w:spacing w:after="0" w:line="220" w:lineRule="auto"/>
        <w:rPr>
          <w:sz w:val="20"/>
          <w:szCs w:val="20"/>
          <w:color w:val="auto"/>
        </w:rPr>
      </w:pPr>
      <w:r>
        <w:rPr>
          <w:rFonts w:ascii="Arial" w:cs="Arial" w:eastAsia="Arial" w:hAnsi="Arial"/>
          <w:sz w:val="21"/>
          <w:szCs w:val="21"/>
          <w:color w:val="auto"/>
        </w:rPr>
        <w:t>The Compensation Committee has approved certain equity awards to be awarded to Executive under the Company’s Fifth Amended and Restated 2008 Stock and Annual Incentive Plan, as may be amended (or replaced) by the Company (the “2008 Plan”), including initial awards following entry into this Agreement, with a total award value of $3.825 million (the “Aggregate Award Value”) based on the valuation methodology used by the Compensation Committee. For purposes of clarity, the Aggregate Award Value shall be comprised of a long term incentive award valued at $2.925 million and an inducement award valued at $900,000.</w:t>
      </w:r>
    </w:p>
    <w:p>
      <w:pPr>
        <w:spacing w:after="0" w:line="196" w:lineRule="exact"/>
        <w:rPr>
          <w:sz w:val="20"/>
          <w:szCs w:val="20"/>
          <w:color w:val="auto"/>
        </w:rPr>
      </w:pPr>
    </w:p>
    <w:p>
      <w:pPr>
        <w:jc w:val="both"/>
        <w:ind w:left="140" w:firstLine="1271"/>
        <w:spacing w:after="0" w:line="220" w:lineRule="auto"/>
        <w:rPr>
          <w:sz w:val="20"/>
          <w:szCs w:val="20"/>
          <w:color w:val="auto"/>
        </w:rPr>
      </w:pPr>
      <w:r>
        <w:rPr>
          <w:rFonts w:ascii="Arial" w:cs="Arial" w:eastAsia="Arial" w:hAnsi="Arial"/>
          <w:sz w:val="21"/>
          <w:szCs w:val="21"/>
          <w:color w:val="auto"/>
        </w:rPr>
        <w:t>During the Term, Executive shall be eligible to receive additional equity incentives, as determined in the sole discretion of the Compensation Committee, including, but not limited to awards under the 2008 Plan. Subject to the discretion of the Compensation Committee, equity incentives may be granted to Executive at the time the Company normally grants such incentives generally and otherwise in accordance with applicable policies, practices, terms and conditions (including, but not limited to, vesting requirements), and provided further that Executive is employed by LTLLC on the date such incentives are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00"/>
          </w:cols>
          <w:pgMar w:left="360" w:top="1440" w:right="439" w:bottom="1440" w:gutter="0" w:footer="0" w:header="0"/>
        </w:sectPr>
      </w:pPr>
    </w:p>
    <w:bookmarkStart w:id="109" w:name="page110"/>
    <w:bookmarkEnd w:id="109"/>
    <w:p>
      <w:pPr>
        <w:spacing w:after="0" w:line="163" w:lineRule="exact"/>
        <w:rPr>
          <w:sz w:val="20"/>
          <w:szCs w:val="20"/>
          <w:color w:val="auto"/>
        </w:rPr>
      </w:pPr>
    </w:p>
    <w:p>
      <w:pPr>
        <w:ind w:left="2040" w:hanging="626"/>
        <w:spacing w:after="0"/>
        <w:tabs>
          <w:tab w:leader="none" w:pos="2040"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Additional Payments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left="1420" w:firstLine="631"/>
        <w:spacing w:after="0" w:line="252" w:lineRule="auto"/>
        <w:tabs>
          <w:tab w:leader="none" w:pos="2508" w:val="left"/>
        </w:tabs>
        <w:numPr>
          <w:ilvl w:val="2"/>
          <w:numId w:val="48"/>
        </w:numPr>
        <w:rPr>
          <w:rFonts w:ascii="Arial" w:cs="Arial" w:eastAsia="Arial" w:hAnsi="Arial"/>
          <w:sz w:val="19"/>
          <w:szCs w:val="19"/>
          <w:color w:val="auto"/>
        </w:rPr>
      </w:pPr>
      <w:r>
        <w:rPr>
          <w:rFonts w:ascii="Arial" w:cs="Arial" w:eastAsia="Arial" w:hAnsi="Arial"/>
          <w:sz w:val="19"/>
          <w:szCs w:val="19"/>
          <w:u w:val="single" w:color="auto"/>
          <w:color w:val="auto"/>
        </w:rPr>
        <w:t>Consulting Buy-Out Payment</w:t>
      </w:r>
      <w:r>
        <w:rPr>
          <w:rFonts w:ascii="Arial" w:cs="Arial" w:eastAsia="Arial" w:hAnsi="Arial"/>
          <w:sz w:val="19"/>
          <w:szCs w:val="19"/>
          <w:color w:val="auto"/>
        </w:rPr>
        <w:t>. LTLLC shall pay $250,000 (the “Consulting Buy-Out Payment”) to Executive in a single installment no later than 30 days following the Effective Date. However, Executive agrees that she will immediately repay the Buy-Out Payment to LTLLC if Executive terminates her employment other than for Good Reason (as defined in the Additional Terms) or if Company Group terminates Executive for Cause (as defined in the Additional Terms) prior to the 365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Effective Date.</w:t>
      </w:r>
    </w:p>
    <w:p>
      <w:pPr>
        <w:spacing w:after="0" w:line="64" w:lineRule="exact"/>
        <w:rPr>
          <w:rFonts w:ascii="Arial" w:cs="Arial" w:eastAsia="Arial" w:hAnsi="Arial"/>
          <w:sz w:val="19"/>
          <w:szCs w:val="19"/>
          <w:color w:val="auto"/>
        </w:rPr>
      </w:pPr>
    </w:p>
    <w:p>
      <w:pPr>
        <w:jc w:val="both"/>
        <w:ind w:left="1420" w:firstLine="631"/>
        <w:spacing w:after="0" w:line="230" w:lineRule="auto"/>
        <w:tabs>
          <w:tab w:leader="none" w:pos="2514" w:val="left"/>
        </w:tabs>
        <w:numPr>
          <w:ilvl w:val="2"/>
          <w:numId w:val="48"/>
        </w:numPr>
        <w:rPr>
          <w:rFonts w:ascii="Arial" w:cs="Arial" w:eastAsia="Arial" w:hAnsi="Arial"/>
          <w:sz w:val="20"/>
          <w:szCs w:val="20"/>
          <w:color w:val="auto"/>
        </w:rPr>
      </w:pPr>
      <w:r>
        <w:rPr>
          <w:rFonts w:ascii="Arial" w:cs="Arial" w:eastAsia="Arial" w:hAnsi="Arial"/>
          <w:sz w:val="20"/>
          <w:szCs w:val="20"/>
          <w:u w:val="single" w:color="auto"/>
          <w:color w:val="auto"/>
        </w:rPr>
        <w:t>2018 Bonus Payment</w:t>
      </w:r>
      <w:r>
        <w:rPr>
          <w:rFonts w:ascii="Arial" w:cs="Arial" w:eastAsia="Arial" w:hAnsi="Arial"/>
          <w:sz w:val="20"/>
          <w:szCs w:val="20"/>
          <w:color w:val="auto"/>
        </w:rPr>
        <w:t>. Provided that Executive’s Effective Date is no later than October 1, 2018, LTLLC shall pay $52,500 (the “2018 Bonus Payment”) to Executive in a single installment on the same date in first quarter 2019 that annual bonus payments for services rendered in calendar year 2018 are made to other LTLLC employees (the “Bonus Payment Date”). Notwithstanding the foregoing, Executive agrees that she will immediately repay the 2018 Bonus Payment to LTLLC if Executive terminates her employment other than for Good Reason (as defined in the Additional Terms) or if Company Group terminates Executive for Cause (as defined in the Additional Terms) prior to the Bonus Payment Date.</w:t>
      </w:r>
    </w:p>
    <w:p>
      <w:pPr>
        <w:spacing w:after="0" w:line="192" w:lineRule="exact"/>
        <w:rPr>
          <w:rFonts w:ascii="Arial" w:cs="Arial" w:eastAsia="Arial" w:hAnsi="Arial"/>
          <w:sz w:val="20"/>
          <w:szCs w:val="20"/>
          <w:color w:val="auto"/>
        </w:rPr>
      </w:pPr>
    </w:p>
    <w:p>
      <w:pPr>
        <w:jc w:val="both"/>
        <w:ind w:left="140" w:firstLine="638"/>
        <w:spacing w:after="0" w:line="230" w:lineRule="auto"/>
        <w:tabs>
          <w:tab w:leader="none" w:pos="1225"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Additional Terms</w:t>
      </w:r>
      <w:r>
        <w:rPr>
          <w:rFonts w:ascii="Arial" w:cs="Arial" w:eastAsia="Arial" w:hAnsi="Arial"/>
          <w:sz w:val="21"/>
          <w:szCs w:val="21"/>
          <w:color w:val="auto"/>
        </w:rPr>
        <w:t xml:space="preserve">.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and deemed a part hereof is the LendingTree Additional Terms and Conditions of Employment Agreement (the “Additional Terms”), all of the terms of which are incorporated herein by reference and are binding on the Parties.</w:t>
      </w:r>
    </w:p>
    <w:p>
      <w:pPr>
        <w:spacing w:after="0" w:line="259" w:lineRule="exact"/>
        <w:rPr>
          <w:rFonts w:ascii="Arial" w:cs="Arial" w:eastAsia="Arial" w:hAnsi="Arial"/>
          <w:sz w:val="21"/>
          <w:szCs w:val="21"/>
          <w:color w:val="auto"/>
        </w:rPr>
      </w:pPr>
    </w:p>
    <w:p>
      <w:pPr>
        <w:jc w:val="both"/>
        <w:ind w:left="140" w:firstLine="638"/>
        <w:spacing w:after="0" w:line="225" w:lineRule="auto"/>
        <w:tabs>
          <w:tab w:leader="none" w:pos="1225"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Entire Agreement; Amendments.</w:t>
      </w:r>
      <w:r>
        <w:rPr>
          <w:rFonts w:ascii="Arial" w:cs="Arial" w:eastAsia="Arial" w:hAnsi="Arial"/>
          <w:sz w:val="21"/>
          <w:szCs w:val="21"/>
          <w:color w:val="auto"/>
        </w:rPr>
        <w:t xml:space="preserve"> This Agreement, which includes the Additional Terms and the exhibits thereto, contains the entire agreement of the Parties with respect to the subject matter hereof and supersedes all prior agreements and understandings relating to the subject matter hereof. This Agreement may be amended in whole or in part only by an instrument in writing setting forth the particulars of such amendment and duly executed by all Parties.</w:t>
      </w:r>
    </w:p>
    <w:p>
      <w:pPr>
        <w:spacing w:after="0" w:line="181" w:lineRule="exact"/>
        <w:rPr>
          <w:sz w:val="20"/>
          <w:szCs w:val="20"/>
          <w:color w:val="auto"/>
        </w:rPr>
      </w:pPr>
    </w:p>
    <w:p>
      <w:pPr>
        <w:jc w:val="both"/>
        <w:ind w:left="140" w:firstLine="635"/>
        <w:spacing w:after="0" w:line="220" w:lineRule="auto"/>
        <w:rPr>
          <w:sz w:val="20"/>
          <w:szCs w:val="20"/>
          <w:color w:val="auto"/>
        </w:rPr>
      </w:pPr>
      <w:r>
        <w:rPr>
          <w:rFonts w:ascii="Arial" w:cs="Arial" w:eastAsia="Arial" w:hAnsi="Arial"/>
          <w:sz w:val="21"/>
          <w:szCs w:val="21"/>
          <w:color w:val="auto"/>
        </w:rPr>
        <w:t>By their signature below, the Parties acknowledge and agree that they have carefully read each and every provision of this Agreement, including the Additional Terms and the exhibits thereto, that they understand its terms, that all understandings and agreements between them relating to the subjects covered in this Agreement are contained in it, and that they have entered into the Agreement voluntarily. Executive further acknowledges and agrees that Executive has been advised to and given the opportunity to discuss this Agreement with Executive’s private legal counsel and Executive has taken advantage of that opportunity to the extent Executive wished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00"/>
          </w:cols>
          <w:pgMar w:left="360" w:top="1440" w:right="439" w:bottom="1440" w:gutter="0" w:footer="0" w:header="0"/>
        </w:sectPr>
      </w:pPr>
    </w:p>
    <w:bookmarkStart w:id="110" w:name="page111"/>
    <w:bookmarkEnd w:id="110"/>
    <w:p>
      <w:pPr>
        <w:spacing w:after="0" w:line="163" w:lineRule="exact"/>
        <w:rPr>
          <w:sz w:val="20"/>
          <w:szCs w:val="20"/>
          <w:color w:val="auto"/>
        </w:rPr>
      </w:pPr>
    </w:p>
    <w:p>
      <w:pPr>
        <w:ind w:left="140" w:firstLine="635"/>
        <w:spacing w:after="0" w:line="239" w:lineRule="auto"/>
        <w:rPr>
          <w:sz w:val="20"/>
          <w:szCs w:val="20"/>
          <w:color w:val="auto"/>
        </w:rPr>
      </w:pPr>
      <w:r>
        <w:rPr>
          <w:rFonts w:ascii="Arial" w:cs="Arial" w:eastAsia="Arial" w:hAnsi="Arial"/>
          <w:sz w:val="21"/>
          <w:szCs w:val="21"/>
          <w:color w:val="auto"/>
        </w:rPr>
        <w:t>IN WITNESS WHEREOF, the Company Group has caused this Agreement to be executed and delivered by its duly authorized officer and Executive has executed and delivered this Agreement as of the Effective Date.</w:t>
      </w:r>
    </w:p>
    <w:p>
      <w:pPr>
        <w:spacing w:after="0" w:line="261" w:lineRule="exact"/>
        <w:rPr>
          <w:sz w:val="20"/>
          <w:szCs w:val="20"/>
          <w:color w:val="auto"/>
        </w:rPr>
      </w:pPr>
    </w:p>
    <w:tbl>
      <w:tblPr>
        <w:tblLayout w:type="fixed"/>
        <w:tblInd w:w="3960" w:type="dxa"/>
        <w:tblCellMar>
          <w:top w:w="0" w:type="dxa"/>
          <w:left w:w="0" w:type="dxa"/>
          <w:bottom w:w="0" w:type="dxa"/>
          <w:right w:w="0" w:type="dxa"/>
        </w:tblCellMar>
      </w:tblPr>
      <w:tr>
        <w:trPr>
          <w:trHeight w:val="271"/>
        </w:trPr>
        <w:tc>
          <w:tcPr>
            <w:tcW w:w="3040" w:type="dxa"/>
            <w:vAlign w:val="bottom"/>
            <w:gridSpan w:val="3"/>
          </w:tcPr>
          <w:p>
            <w:pPr>
              <w:spacing w:after="0"/>
              <w:rPr>
                <w:sz w:val="20"/>
                <w:szCs w:val="20"/>
                <w:color w:val="auto"/>
              </w:rPr>
            </w:pPr>
            <w:r>
              <w:rPr>
                <w:rFonts w:ascii="Arial" w:cs="Arial" w:eastAsia="Arial" w:hAnsi="Arial"/>
                <w:sz w:val="21"/>
                <w:szCs w:val="21"/>
                <w:color w:val="auto"/>
              </w:rPr>
              <w:t>LENDINGTREE, INC.</w:t>
            </w:r>
          </w:p>
        </w:tc>
        <w:tc>
          <w:tcPr>
            <w:tcW w:w="2220" w:type="dxa"/>
            <w:vAlign w:val="bottom"/>
          </w:tcPr>
          <w:p>
            <w:pPr>
              <w:spacing w:after="0"/>
              <w:rPr>
                <w:sz w:val="23"/>
                <w:szCs w:val="23"/>
                <w:color w:val="auto"/>
              </w:rPr>
            </w:pPr>
          </w:p>
        </w:tc>
      </w:tr>
      <w:tr>
        <w:trPr>
          <w:trHeight w:val="559"/>
        </w:trPr>
        <w:tc>
          <w:tcPr>
            <w:tcW w:w="520" w:type="dxa"/>
            <w:vAlign w:val="bottom"/>
          </w:tcPr>
          <w:p>
            <w:pPr>
              <w:spacing w:after="0"/>
              <w:rPr>
                <w:sz w:val="20"/>
                <w:szCs w:val="20"/>
                <w:color w:val="auto"/>
              </w:rPr>
            </w:pPr>
            <w:r>
              <w:rPr>
                <w:rFonts w:ascii="Arial" w:cs="Arial" w:eastAsia="Arial" w:hAnsi="Arial"/>
                <w:sz w:val="21"/>
                <w:szCs w:val="21"/>
                <w:color w:val="auto"/>
              </w:rPr>
              <w:t>By:</w:t>
            </w:r>
          </w:p>
        </w:tc>
        <w:tc>
          <w:tcPr>
            <w:tcW w:w="252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/s/ DOUGLAS R. LEBDA</w:t>
            </w:r>
          </w:p>
        </w:tc>
        <w:tc>
          <w:tcPr>
            <w:tcW w:w="2220" w:type="dxa"/>
            <w:vAlign w:val="bottom"/>
          </w:tcPr>
          <w:p>
            <w:pPr>
              <w:ind w:left="60"/>
              <w:spacing w:after="0"/>
              <w:rPr>
                <w:sz w:val="20"/>
                <w:szCs w:val="20"/>
                <w:color w:val="auto"/>
              </w:rPr>
            </w:pPr>
            <w:r>
              <w:rPr>
                <w:rFonts w:ascii="Arial" w:cs="Arial" w:eastAsia="Arial" w:hAnsi="Arial"/>
                <w:sz w:val="21"/>
                <w:szCs w:val="21"/>
                <w:color w:val="auto"/>
                <w:w w:val="90"/>
              </w:rPr>
              <w:t>Name: Douglas R. Lebda</w:t>
            </w:r>
          </w:p>
        </w:tc>
      </w:tr>
      <w:tr>
        <w:trPr>
          <w:trHeight w:val="388"/>
        </w:trPr>
        <w:tc>
          <w:tcPr>
            <w:tcW w:w="5260" w:type="dxa"/>
            <w:vAlign w:val="bottom"/>
            <w:gridSpan w:val="4"/>
          </w:tcPr>
          <w:p>
            <w:pPr>
              <w:spacing w:after="0"/>
              <w:rPr>
                <w:sz w:val="20"/>
                <w:szCs w:val="20"/>
                <w:color w:val="auto"/>
              </w:rPr>
            </w:pPr>
            <w:r>
              <w:rPr>
                <w:rFonts w:ascii="Arial" w:cs="Arial" w:eastAsia="Arial" w:hAnsi="Arial"/>
                <w:sz w:val="21"/>
                <w:szCs w:val="21"/>
                <w:color w:val="auto"/>
              </w:rPr>
              <w:t>Title:  Chief Executive Officer LENDINGTREE, LLC</w:t>
            </w:r>
          </w:p>
        </w:tc>
      </w:tr>
      <w:tr>
        <w:trPr>
          <w:trHeight w:val="479"/>
        </w:trPr>
        <w:tc>
          <w:tcPr>
            <w:tcW w:w="520" w:type="dxa"/>
            <w:vAlign w:val="bottom"/>
          </w:tcPr>
          <w:p>
            <w:pPr>
              <w:spacing w:after="0"/>
              <w:rPr>
                <w:sz w:val="20"/>
                <w:szCs w:val="20"/>
                <w:color w:val="auto"/>
              </w:rPr>
            </w:pPr>
            <w:r>
              <w:rPr>
                <w:rFonts w:ascii="Arial" w:cs="Arial" w:eastAsia="Arial" w:hAnsi="Arial"/>
                <w:sz w:val="21"/>
                <w:szCs w:val="21"/>
                <w:color w:val="auto"/>
              </w:rPr>
              <w:t>By:</w:t>
            </w:r>
          </w:p>
        </w:tc>
        <w:tc>
          <w:tcPr>
            <w:tcW w:w="252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/s/ DOUGLAS R. LEBDA</w:t>
            </w:r>
          </w:p>
        </w:tc>
        <w:tc>
          <w:tcPr>
            <w:tcW w:w="2220" w:type="dxa"/>
            <w:vAlign w:val="bottom"/>
          </w:tcPr>
          <w:p>
            <w:pPr>
              <w:ind w:left="60"/>
              <w:spacing w:after="0"/>
              <w:rPr>
                <w:sz w:val="20"/>
                <w:szCs w:val="20"/>
                <w:color w:val="auto"/>
              </w:rPr>
            </w:pPr>
            <w:r>
              <w:rPr>
                <w:rFonts w:ascii="Arial" w:cs="Arial" w:eastAsia="Arial" w:hAnsi="Arial"/>
                <w:sz w:val="21"/>
                <w:szCs w:val="21"/>
                <w:color w:val="auto"/>
                <w:w w:val="90"/>
              </w:rPr>
              <w:t>Name: Douglas R. Lebda</w:t>
            </w:r>
          </w:p>
        </w:tc>
      </w:tr>
      <w:tr>
        <w:trPr>
          <w:trHeight w:val="388"/>
        </w:trPr>
        <w:tc>
          <w:tcPr>
            <w:tcW w:w="5260" w:type="dxa"/>
            <w:vAlign w:val="bottom"/>
            <w:gridSpan w:val="4"/>
          </w:tcPr>
          <w:p>
            <w:pPr>
              <w:spacing w:after="0"/>
              <w:rPr>
                <w:sz w:val="20"/>
                <w:szCs w:val="20"/>
                <w:color w:val="auto"/>
              </w:rPr>
            </w:pPr>
            <w:r>
              <w:rPr>
                <w:rFonts w:ascii="Arial" w:cs="Arial" w:eastAsia="Arial" w:hAnsi="Arial"/>
                <w:sz w:val="21"/>
                <w:szCs w:val="21"/>
                <w:color w:val="auto"/>
              </w:rPr>
              <w:t>Title:  Chief Executive Officer EXECUTIVE</w:t>
            </w:r>
          </w:p>
        </w:tc>
      </w:tr>
      <w:tr>
        <w:trPr>
          <w:trHeight w:val="479"/>
        </w:trPr>
        <w:tc>
          <w:tcPr>
            <w:tcW w:w="520" w:type="dxa"/>
            <w:vAlign w:val="bottom"/>
          </w:tcPr>
          <w:p>
            <w:pPr>
              <w:spacing w:after="0"/>
              <w:rPr>
                <w:sz w:val="20"/>
                <w:szCs w:val="20"/>
                <w:color w:val="auto"/>
              </w:rPr>
            </w:pPr>
            <w:r>
              <w:rPr>
                <w:rFonts w:ascii="Arial" w:cs="Arial" w:eastAsia="Arial" w:hAnsi="Arial"/>
                <w:sz w:val="21"/>
                <w:szCs w:val="21"/>
                <w:color w:val="auto"/>
              </w:rPr>
              <w:t>By:</w:t>
            </w:r>
          </w:p>
        </w:tc>
        <w:tc>
          <w:tcPr>
            <w:tcW w:w="4740" w:type="dxa"/>
            <w:vAlign w:val="bottom"/>
            <w:gridSpan w:val="3"/>
          </w:tcPr>
          <w:p>
            <w:pPr>
              <w:ind w:left="60"/>
              <w:spacing w:after="0"/>
              <w:rPr>
                <w:sz w:val="20"/>
                <w:szCs w:val="20"/>
                <w:color w:val="auto"/>
              </w:rPr>
            </w:pPr>
            <w:r>
              <w:rPr>
                <w:rFonts w:ascii="Arial" w:cs="Arial" w:eastAsia="Arial" w:hAnsi="Arial"/>
                <w:sz w:val="21"/>
                <w:szCs w:val="21"/>
                <w:color w:val="auto"/>
              </w:rPr>
              <w:t>/s/ JILL OLMSTEAD   Name: Jill Olmstead</w:t>
            </w:r>
          </w:p>
        </w:tc>
      </w:tr>
      <w:tr>
        <w:trPr>
          <w:trHeight w:val="264"/>
        </w:trPr>
        <w:tc>
          <w:tcPr>
            <w:tcW w:w="520" w:type="dxa"/>
            <w:vAlign w:val="bottom"/>
          </w:tcPr>
          <w:p>
            <w:pPr>
              <w:spacing w:after="0"/>
              <w:rPr>
                <w:sz w:val="20"/>
                <w:szCs w:val="20"/>
                <w:color w:val="auto"/>
              </w:rPr>
            </w:pPr>
            <w:r>
              <w:rPr>
                <w:rFonts w:ascii="Arial" w:cs="Arial" w:eastAsia="Arial" w:hAnsi="Arial"/>
                <w:sz w:val="21"/>
                <w:szCs w:val="21"/>
                <w:color w:val="auto"/>
              </w:rPr>
              <w:t>Title:</w:t>
            </w:r>
          </w:p>
        </w:tc>
        <w:tc>
          <w:tcPr>
            <w:tcW w:w="2140" w:type="dxa"/>
            <w:vAlign w:val="bottom"/>
            <w:tcBorders>
              <w:top w:val="single" w:sz="8" w:color="auto"/>
            </w:tcBorders>
          </w:tcPr>
          <w:p>
            <w:pPr>
              <w:ind w:left="140"/>
              <w:spacing w:after="0"/>
              <w:rPr>
                <w:sz w:val="20"/>
                <w:szCs w:val="20"/>
                <w:color w:val="auto"/>
              </w:rPr>
            </w:pPr>
            <w:r>
              <w:rPr>
                <w:rFonts w:ascii="Arial" w:cs="Arial" w:eastAsia="Arial" w:hAnsi="Arial"/>
                <w:sz w:val="21"/>
                <w:szCs w:val="21"/>
                <w:color w:val="auto"/>
                <w:w w:val="86"/>
              </w:rPr>
              <w:t>Chief Human Resources</w:t>
            </w:r>
          </w:p>
        </w:tc>
        <w:tc>
          <w:tcPr>
            <w:tcW w:w="2600" w:type="dxa"/>
            <w:vAlign w:val="bottom"/>
            <w:gridSpan w:val="2"/>
          </w:tcPr>
          <w:p>
            <w:pPr>
              <w:ind w:left="120"/>
              <w:spacing w:after="0"/>
              <w:rPr>
                <w:sz w:val="20"/>
                <w:szCs w:val="20"/>
                <w:color w:val="auto"/>
              </w:rPr>
            </w:pPr>
            <w:r>
              <w:rPr>
                <w:rFonts w:ascii="Arial" w:cs="Arial" w:eastAsia="Arial" w:hAnsi="Arial"/>
                <w:sz w:val="21"/>
                <w:szCs w:val="2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00"/>
          </w:cols>
          <w:pgMar w:left="360" w:top="1440" w:right="439" w:bottom="1440" w:gutter="0" w:footer="0" w:header="0"/>
        </w:sectPr>
      </w:pPr>
    </w:p>
    <w:bookmarkStart w:id="111" w:name="page112"/>
    <w:bookmarkEnd w:id="111"/>
    <w:p>
      <w:pPr>
        <w:spacing w:after="0" w:line="170" w:lineRule="exact"/>
        <w:rPr>
          <w:sz w:val="20"/>
          <w:szCs w:val="20"/>
          <w:color w:val="auto"/>
        </w:rPr>
      </w:pPr>
    </w:p>
    <w:p>
      <w:pPr>
        <w:ind w:left="5020"/>
        <w:spacing w:after="0"/>
        <w:rPr>
          <w:sz w:val="20"/>
          <w:szCs w:val="20"/>
          <w:color w:val="auto"/>
        </w:rPr>
      </w:pPr>
      <w:r>
        <w:rPr>
          <w:rFonts w:ascii="Arial" w:cs="Arial" w:eastAsia="Arial" w:hAnsi="Arial"/>
          <w:sz w:val="21"/>
          <w:szCs w:val="21"/>
          <w:b w:val="1"/>
          <w:bCs w:val="1"/>
          <w:u w:val="single" w:color="auto"/>
          <w:color w:val="auto"/>
        </w:rPr>
        <w:t>EXHIBIT A</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LENDINGTREE ADDITIONAL TERMS AND CONDITIONS OF EMPLOYMENT</w:t>
      </w:r>
    </w:p>
    <w:p>
      <w:pPr>
        <w:jc w:val="center"/>
        <w:ind w:right="-79"/>
        <w:spacing w:after="0"/>
        <w:rPr>
          <w:sz w:val="20"/>
          <w:szCs w:val="20"/>
          <w:color w:val="auto"/>
        </w:rPr>
      </w:pPr>
      <w:r>
        <w:rPr>
          <w:rFonts w:ascii="Arial" w:cs="Arial" w:eastAsia="Arial" w:hAnsi="Arial"/>
          <w:sz w:val="21"/>
          <w:szCs w:val="21"/>
          <w:b w:val="1"/>
          <w:bCs w:val="1"/>
          <w:u w:val="single" w:color="auto"/>
          <w:color w:val="auto"/>
        </w:rPr>
        <w:t>AGREEMENT</w:t>
      </w:r>
    </w:p>
    <w:p>
      <w:pPr>
        <w:spacing w:after="0" w:line="284" w:lineRule="exact"/>
        <w:rPr>
          <w:sz w:val="20"/>
          <w:szCs w:val="20"/>
          <w:color w:val="auto"/>
        </w:rPr>
      </w:pPr>
    </w:p>
    <w:p>
      <w:pPr>
        <w:ind w:left="1420" w:hanging="642"/>
        <w:spacing w:after="0"/>
        <w:tabs>
          <w:tab w:leader="none" w:pos="142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140" w:firstLine="1274"/>
        <w:spacing w:after="0" w:line="231" w:lineRule="auto"/>
        <w:tabs>
          <w:tab w:leader="none" w:pos="1871" w:val="left"/>
        </w:tabs>
        <w:numPr>
          <w:ilvl w:val="1"/>
          <w:numId w:val="50"/>
        </w:numPr>
        <w:rPr>
          <w:rFonts w:ascii="Arial" w:cs="Arial" w:eastAsia="Arial" w:hAnsi="Arial"/>
          <w:sz w:val="20"/>
          <w:szCs w:val="20"/>
          <w:color w:val="auto"/>
        </w:rPr>
      </w:pPr>
      <w:r>
        <w:rPr>
          <w:rFonts w:ascii="Arial" w:cs="Arial" w:eastAsia="Arial" w:hAnsi="Arial"/>
          <w:sz w:val="20"/>
          <w:szCs w:val="20"/>
          <w:color w:val="auto"/>
        </w:rPr>
        <w:t>“Accrued Obligations” means the sum of (i) Executive’s earned but unpaid Base Salary through the date of termination, (ii) in the case of termination for Death or Disability only, any portion of Executive’s unpaid Annual Bonus relating to a previously completed Performance Year, (iii) any compensation previously earned but deferred by Executive (together with any interest or earnings thereon) that has not yet been paid and that is not otherwise to be paid at a later date pursuant to the executive deferred compensation plan of the Company, if any, (the “Deferred Compensation”, and (iv) reimbursements that Executive is entitled to receive under Section 8 of these Additional Terms.</w:t>
      </w:r>
    </w:p>
    <w:p>
      <w:pPr>
        <w:spacing w:after="0" w:line="195" w:lineRule="exact"/>
        <w:rPr>
          <w:rFonts w:ascii="Arial" w:cs="Arial" w:eastAsia="Arial" w:hAnsi="Arial"/>
          <w:sz w:val="20"/>
          <w:szCs w:val="20"/>
          <w:color w:val="auto"/>
        </w:rPr>
      </w:pPr>
    </w:p>
    <w:p>
      <w:pPr>
        <w:jc w:val="both"/>
        <w:ind w:left="140" w:firstLine="1274"/>
        <w:spacing w:after="0" w:line="216" w:lineRule="auto"/>
        <w:tabs>
          <w:tab w:leader="none" w:pos="1870" w:val="left"/>
        </w:tabs>
        <w:numPr>
          <w:ilvl w:val="1"/>
          <w:numId w:val="50"/>
        </w:numPr>
        <w:rPr>
          <w:rFonts w:ascii="Arial" w:cs="Arial" w:eastAsia="Arial" w:hAnsi="Arial"/>
          <w:sz w:val="21"/>
          <w:szCs w:val="21"/>
          <w:color w:val="auto"/>
        </w:rPr>
      </w:pPr>
      <w:r>
        <w:rPr>
          <w:rFonts w:ascii="Arial" w:cs="Arial" w:eastAsia="Arial" w:hAnsi="Arial"/>
          <w:sz w:val="21"/>
          <w:szCs w:val="21"/>
          <w:color w:val="auto"/>
        </w:rPr>
        <w:t xml:space="preserve">“Cause” shall be determined by LTLLC in its discretion and includes (i) Executive’s fraud, dishonesty, theft, or embezzlement, (ii) misconduct by Executive injurious to the Company Group or any of its affiliates, (iii) Executive’s conviction of, or entry of a plea of guilty or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crime that constitutes a felony or other crime involving moral turpitude, (iv) Executive’s competition with the Company Group or any of its affiliates; (v) Executive’s unauthorized use of any trade secrets of the Company Group or any of its affiliates or Confidential Information (as defined in the Confidentiality Agreement), (vi) a material violation by Executive of any policy, code or standard of ethics generally applicable to employees of the Company Group, (vii) Executive’s material breach of fiduciary duties owed to the Company Group, (viii) Executive’s excessive and unexcused absenteeism unrelated to a disability, (ix) following written notice and a reasonable opportunity to cure, gross neglect by Executive of the duties assigned to Executive, or (x) Executive’s failure or refusal to cooperate in any Company investigation.</w:t>
      </w:r>
    </w:p>
    <w:p>
      <w:pPr>
        <w:spacing w:after="0" w:line="264" w:lineRule="exact"/>
        <w:rPr>
          <w:rFonts w:ascii="Arial" w:cs="Arial" w:eastAsia="Arial" w:hAnsi="Arial"/>
          <w:sz w:val="21"/>
          <w:szCs w:val="21"/>
          <w:color w:val="auto"/>
        </w:rPr>
      </w:pPr>
    </w:p>
    <w:p>
      <w:pPr>
        <w:jc w:val="both"/>
        <w:ind w:left="140" w:firstLine="1274"/>
        <w:spacing w:after="0" w:line="222" w:lineRule="auto"/>
        <w:tabs>
          <w:tab w:leader="none" w:pos="1871" w:val="left"/>
        </w:tabs>
        <w:numPr>
          <w:ilvl w:val="1"/>
          <w:numId w:val="50"/>
        </w:numPr>
        <w:rPr>
          <w:rFonts w:ascii="Arial" w:cs="Arial" w:eastAsia="Arial" w:hAnsi="Arial"/>
          <w:sz w:val="21"/>
          <w:szCs w:val="21"/>
          <w:color w:val="auto"/>
        </w:rPr>
      </w:pPr>
      <w:r>
        <w:rPr>
          <w:rFonts w:ascii="Arial" w:cs="Arial" w:eastAsia="Arial" w:hAnsi="Arial"/>
          <w:sz w:val="21"/>
          <w:szCs w:val="21"/>
          <w:color w:val="auto"/>
        </w:rPr>
        <w:t>“Disability” means a medical condition, whether physical or mental, that renders, and for a consecutive six-month period has rendered, Executive unable to perform the essential functions of Executive’s position, with or without reasonable accommodation. A return to work of less than 14 consecutive days will not be considered an interruption in Executive’s six consecutive months of disability. Disability will be determined by LTLLC on the basis of medical evidence satisfactory to LTLLC.</w:t>
      </w:r>
    </w:p>
    <w:p>
      <w:pPr>
        <w:spacing w:after="0" w:line="194" w:lineRule="exact"/>
        <w:rPr>
          <w:rFonts w:ascii="Arial" w:cs="Arial" w:eastAsia="Arial" w:hAnsi="Arial"/>
          <w:sz w:val="21"/>
          <w:szCs w:val="21"/>
          <w:color w:val="auto"/>
        </w:rPr>
      </w:pPr>
    </w:p>
    <w:p>
      <w:pPr>
        <w:jc w:val="both"/>
        <w:ind w:left="140" w:firstLine="1274"/>
        <w:spacing w:after="0" w:line="228" w:lineRule="auto"/>
        <w:tabs>
          <w:tab w:leader="none" w:pos="1870" w:val="left"/>
        </w:tabs>
        <w:numPr>
          <w:ilvl w:val="1"/>
          <w:numId w:val="50"/>
        </w:numPr>
        <w:rPr>
          <w:rFonts w:ascii="Arial" w:cs="Arial" w:eastAsia="Arial" w:hAnsi="Arial"/>
          <w:sz w:val="20"/>
          <w:szCs w:val="20"/>
          <w:color w:val="auto"/>
        </w:rPr>
      </w:pPr>
      <w:r>
        <w:rPr>
          <w:rFonts w:ascii="Arial" w:cs="Arial" w:eastAsia="Arial" w:hAnsi="Arial"/>
          <w:sz w:val="20"/>
          <w:szCs w:val="20"/>
          <w:color w:val="auto"/>
        </w:rPr>
        <w:t>“Good Reason” means the occurrence of any of the following without Executive’s written consent: (i) material adverse change in the office to which Executive reports from that in effect immediately following the Effective Date, excluding for this purpose any such change that is an isolated and inadvertent action not taken in bad faith and that is remedied by the Company Group or that is authorized pursuant to this Agreement and further excluding a change in the office to which Executive reports due to internal restructuring, realignment or the resignation, promotion, demotion or a reorganization of managers within, or a sale of, the Company Group; (ii) material reduction in Executive’s annual base salary (except as part of an enterprise wide reduction of salaries for all similarly situated executives); or (iii) relocation of Executive’s principal place of business more than 50 miles from the location of the principal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00"/>
          </w:cols>
          <w:pgMar w:left="360" w:top="1440" w:right="439" w:bottom="1440" w:gutter="0" w:footer="0" w:header="0"/>
        </w:sectPr>
      </w:pPr>
    </w:p>
    <w:bookmarkStart w:id="112" w:name="page113"/>
    <w:bookmarkEnd w:id="112"/>
    <w:p>
      <w:pPr>
        <w:spacing w:after="0" w:line="163" w:lineRule="exact"/>
        <w:rPr>
          <w:sz w:val="20"/>
          <w:szCs w:val="20"/>
          <w:color w:val="auto"/>
        </w:rPr>
      </w:pPr>
    </w:p>
    <w:p>
      <w:pPr>
        <w:jc w:val="both"/>
        <w:ind w:left="140"/>
        <w:spacing w:after="0" w:line="235" w:lineRule="auto"/>
        <w:rPr>
          <w:sz w:val="20"/>
          <w:szCs w:val="20"/>
          <w:color w:val="auto"/>
        </w:rPr>
      </w:pPr>
      <w:r>
        <w:rPr>
          <w:rFonts w:ascii="Arial" w:cs="Arial" w:eastAsia="Arial" w:hAnsi="Arial"/>
          <w:sz w:val="19"/>
          <w:szCs w:val="19"/>
          <w:color w:val="auto"/>
        </w:rPr>
        <w:t>from which Executive conducts Executive’s principal activities. In order to resign employment for Good Reason, Executive must notify the Company Group in writing within fifteen (15) days of the initial existence of any event falling under (i) - (iv) and such notice shall describe in detail the facts and circumstances explaining why Executive believes a Good Reason event has occurred. The Company Group shall then have sixty (60) days following its receipt of such notice to cure or remedy such alleged Good Reason event such that Good Reason will not be deemed to exist for such event. If the event remains uncured or is not remedied by the Company Group within such sixty (60) day period and if Executive’s employment has not otherwise been terminated, then a Qualifying Termination shall automatically occur on the first business day following the end of such sixty</w:t>
      </w:r>
    </w:p>
    <w:p>
      <w:pPr>
        <w:spacing w:after="0" w:line="4" w:lineRule="exact"/>
        <w:rPr>
          <w:sz w:val="20"/>
          <w:szCs w:val="20"/>
          <w:color w:val="auto"/>
        </w:rPr>
      </w:pPr>
    </w:p>
    <w:p>
      <w:pPr>
        <w:ind w:left="540" w:hanging="397"/>
        <w:spacing w:after="0"/>
        <w:tabs>
          <w:tab w:leader="none" w:pos="540" w:val="left"/>
        </w:tabs>
        <w:numPr>
          <w:ilvl w:val="0"/>
          <w:numId w:val="51"/>
        </w:numPr>
        <w:rPr>
          <w:rFonts w:ascii="Arial" w:cs="Arial" w:eastAsia="Arial" w:hAnsi="Arial"/>
          <w:sz w:val="21"/>
          <w:szCs w:val="21"/>
          <w:color w:val="auto"/>
        </w:rPr>
      </w:pPr>
      <w:r>
        <w:rPr>
          <w:rFonts w:ascii="Arial" w:cs="Arial" w:eastAsia="Arial" w:hAnsi="Arial"/>
          <w:sz w:val="21"/>
          <w:szCs w:val="21"/>
          <w:color w:val="auto"/>
        </w:rPr>
        <w:t>day cure/remedy period.</w:t>
      </w:r>
    </w:p>
    <w:p>
      <w:pPr>
        <w:spacing w:after="0" w:line="204" w:lineRule="exact"/>
        <w:rPr>
          <w:rFonts w:ascii="Arial" w:cs="Arial" w:eastAsia="Arial" w:hAnsi="Arial"/>
          <w:sz w:val="21"/>
          <w:szCs w:val="21"/>
          <w:color w:val="auto"/>
        </w:rPr>
      </w:pPr>
    </w:p>
    <w:p>
      <w:pPr>
        <w:jc w:val="both"/>
        <w:ind w:left="140" w:firstLine="1274"/>
        <w:spacing w:after="0" w:line="222" w:lineRule="auto"/>
        <w:tabs>
          <w:tab w:leader="none" w:pos="1871" w:val="left"/>
        </w:tabs>
        <w:numPr>
          <w:ilvl w:val="2"/>
          <w:numId w:val="51"/>
        </w:numPr>
        <w:rPr>
          <w:rFonts w:ascii="Arial" w:cs="Arial" w:eastAsia="Arial" w:hAnsi="Arial"/>
          <w:sz w:val="21"/>
          <w:szCs w:val="21"/>
          <w:color w:val="auto"/>
        </w:rPr>
      </w:pPr>
      <w:r>
        <w:rPr>
          <w:rFonts w:ascii="Arial" w:cs="Arial" w:eastAsia="Arial" w:hAnsi="Arial"/>
          <w:sz w:val="21"/>
          <w:szCs w:val="21"/>
          <w:color w:val="auto"/>
        </w:rPr>
        <w:t>“Pro-Rated Annual Bonus” means a cash lump-sum payment in an amount equal to the pro-rated portion of Executive’s Annual Bonus for the Company’s fiscal year in which the Qualifying Termination occurs based on actual performance achieved for such year (as if the entire Annual Bonus was based solely on the applicable Company performance metrics and without regard to any assessment of personal performance), with such proration based on the ratio of the number of days employed during such year to 365.</w:t>
      </w:r>
    </w:p>
    <w:p>
      <w:pPr>
        <w:spacing w:after="0" w:line="194" w:lineRule="exact"/>
        <w:rPr>
          <w:rFonts w:ascii="Arial" w:cs="Arial" w:eastAsia="Arial" w:hAnsi="Arial"/>
          <w:sz w:val="21"/>
          <w:szCs w:val="21"/>
          <w:color w:val="auto"/>
        </w:rPr>
      </w:pPr>
    </w:p>
    <w:p>
      <w:pPr>
        <w:jc w:val="both"/>
        <w:ind w:left="140" w:firstLine="1274"/>
        <w:spacing w:after="0" w:line="230" w:lineRule="auto"/>
        <w:tabs>
          <w:tab w:leader="none" w:pos="1861" w:val="left"/>
        </w:tabs>
        <w:numPr>
          <w:ilvl w:val="2"/>
          <w:numId w:val="51"/>
        </w:numPr>
        <w:rPr>
          <w:rFonts w:ascii="Arial" w:cs="Arial" w:eastAsia="Arial" w:hAnsi="Arial"/>
          <w:sz w:val="21"/>
          <w:szCs w:val="21"/>
          <w:color w:val="auto"/>
        </w:rPr>
      </w:pPr>
      <w:r>
        <w:rPr>
          <w:rFonts w:ascii="Arial" w:cs="Arial" w:eastAsia="Arial" w:hAnsi="Arial"/>
          <w:sz w:val="21"/>
          <w:szCs w:val="21"/>
          <w:color w:val="auto"/>
        </w:rPr>
        <w:t>“Qualifying Termination” means a termination of Executive’s employment with LTLLC prior to the expiration of the Term by Executive for Good Reason or by the Company Group without Cause (other than for death or Disability).</w:t>
      </w:r>
    </w:p>
    <w:p>
      <w:pPr>
        <w:spacing w:after="0" w:line="180" w:lineRule="exact"/>
        <w:rPr>
          <w:rFonts w:ascii="Arial" w:cs="Arial" w:eastAsia="Arial" w:hAnsi="Arial"/>
          <w:sz w:val="21"/>
          <w:szCs w:val="21"/>
          <w:color w:val="auto"/>
        </w:rPr>
      </w:pPr>
    </w:p>
    <w:p>
      <w:pPr>
        <w:ind w:left="140" w:right="20" w:firstLine="1274"/>
        <w:spacing w:after="0" w:line="263" w:lineRule="auto"/>
        <w:tabs>
          <w:tab w:leader="none" w:pos="1870" w:val="left"/>
        </w:tabs>
        <w:numPr>
          <w:ilvl w:val="2"/>
          <w:numId w:val="51"/>
        </w:numPr>
        <w:rPr>
          <w:rFonts w:ascii="Arial" w:cs="Arial" w:eastAsia="Arial" w:hAnsi="Arial"/>
          <w:sz w:val="20"/>
          <w:szCs w:val="20"/>
          <w:color w:val="auto"/>
        </w:rPr>
      </w:pPr>
      <w:r>
        <w:rPr>
          <w:rFonts w:ascii="Arial" w:cs="Arial" w:eastAsia="Arial" w:hAnsi="Arial"/>
          <w:sz w:val="20"/>
          <w:szCs w:val="20"/>
          <w:color w:val="auto"/>
        </w:rPr>
        <w:t>“Release of Claims” means a general release of all known and unknown claims against the Company Group and their affiliates in the form attached hereto as Exhibit 1, as updated by the Company to reflect changes in the law.</w:t>
      </w:r>
    </w:p>
    <w:p>
      <w:pPr>
        <w:spacing w:after="0" w:line="171" w:lineRule="exact"/>
        <w:rPr>
          <w:rFonts w:ascii="Arial" w:cs="Arial" w:eastAsia="Arial" w:hAnsi="Arial"/>
          <w:sz w:val="20"/>
          <w:szCs w:val="20"/>
          <w:color w:val="auto"/>
        </w:rPr>
      </w:pPr>
    </w:p>
    <w:p>
      <w:pPr>
        <w:jc w:val="both"/>
        <w:ind w:left="140" w:firstLine="638"/>
        <w:spacing w:after="0" w:line="222" w:lineRule="auto"/>
        <w:tabs>
          <w:tab w:leader="none" w:pos="1225"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Resignation from Officer and Director Roles</w:t>
      </w:r>
      <w:r>
        <w:rPr>
          <w:rFonts w:ascii="Arial" w:cs="Arial" w:eastAsia="Arial" w:hAnsi="Arial"/>
          <w:sz w:val="21"/>
          <w:szCs w:val="21"/>
          <w:color w:val="auto"/>
        </w:rPr>
        <w:t>. Effective as of the termination of Executive’s employment with the Company, regardless of the reason for or the timing of such termination, Executive agrees to and shall be deemed to have resigned effective immediately from all roles Executive holds with the Company Group, including without limitation as an officer or director. Such resignations shall not limit or otherwise waive any rights Executive may have to payments and benefits under this Agreement.</w:t>
      </w:r>
    </w:p>
    <w:p>
      <w:pPr>
        <w:spacing w:after="0" w:line="194" w:lineRule="exact"/>
        <w:rPr>
          <w:rFonts w:ascii="Arial" w:cs="Arial" w:eastAsia="Arial" w:hAnsi="Arial"/>
          <w:sz w:val="21"/>
          <w:szCs w:val="21"/>
          <w:color w:val="auto"/>
        </w:rPr>
      </w:pPr>
    </w:p>
    <w:p>
      <w:pPr>
        <w:ind w:left="1420" w:hanging="642"/>
        <w:spacing w:after="0"/>
        <w:tabs>
          <w:tab w:leader="none" w:pos="1420"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Termination Due to Disability or Death</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140" w:firstLine="1274"/>
        <w:spacing w:after="0" w:line="222" w:lineRule="auto"/>
        <w:tabs>
          <w:tab w:leader="none" w:pos="1871" w:val="left"/>
        </w:tabs>
        <w:numPr>
          <w:ilvl w:val="2"/>
          <w:numId w:val="52"/>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at any time during the Term of this Agreement, Executive incurs a Disability, then Executive’s employment shall be immediately terminated as of the date of Executive’s Disability. Upon Executive’s Disability, LTLLC shall pay Executive the Accrued Obligations; provided that Annual Bonus awards relating to a previously-completed Performance Year shall be paid on the date that such awards are paid by LTLLC to other similarly situated executives in accordance with the Annual Bonus Plan.</w:t>
      </w:r>
    </w:p>
    <w:p>
      <w:pPr>
        <w:spacing w:after="0" w:line="194" w:lineRule="exact"/>
        <w:rPr>
          <w:rFonts w:ascii="Arial" w:cs="Arial" w:eastAsia="Arial" w:hAnsi="Arial"/>
          <w:sz w:val="21"/>
          <w:szCs w:val="21"/>
          <w:color w:val="auto"/>
        </w:rPr>
      </w:pPr>
    </w:p>
    <w:p>
      <w:pPr>
        <w:jc w:val="both"/>
        <w:ind w:left="140" w:firstLine="1274"/>
        <w:spacing w:after="0" w:line="225" w:lineRule="auto"/>
        <w:tabs>
          <w:tab w:leader="none" w:pos="1870" w:val="left"/>
        </w:tabs>
        <w:numPr>
          <w:ilvl w:val="2"/>
          <w:numId w:val="52"/>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If Executive should die during the Term, Executive’s employment and the Company Group’s obligations hereunder shall terminate as of Executive’s death. In such event, LTLLC shall pay Executive’s estate the Accrued Obligations; provided that Annual Bonus awards relating to a previously completed Performance Year shall be paid on the date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100"/>
          </w:cols>
          <w:pgMar w:left="360" w:top="1440" w:right="439" w:bottom="1440" w:gutter="0" w:footer="0" w:header="0"/>
        </w:sectPr>
      </w:pPr>
    </w:p>
    <w:bookmarkStart w:id="113" w:name="page114"/>
    <w:bookmarkEnd w:id="113"/>
    <w:p>
      <w:pPr>
        <w:spacing w:after="0" w:line="163" w:lineRule="exact"/>
        <w:rPr>
          <w:sz w:val="20"/>
          <w:szCs w:val="20"/>
          <w:color w:val="auto"/>
        </w:rPr>
      </w:pPr>
    </w:p>
    <w:p>
      <w:pPr>
        <w:ind w:left="140"/>
        <w:spacing w:after="0"/>
        <w:rPr>
          <w:sz w:val="20"/>
          <w:szCs w:val="20"/>
          <w:color w:val="auto"/>
        </w:rPr>
      </w:pPr>
      <w:r>
        <w:rPr>
          <w:rFonts w:ascii="Arial" w:cs="Arial" w:eastAsia="Arial" w:hAnsi="Arial"/>
          <w:sz w:val="21"/>
          <w:szCs w:val="21"/>
          <w:color w:val="auto"/>
        </w:rPr>
        <w:t>awards are paid by LTLLC to other similarly situated executives in accordance with the Annual Bonus Plan.</w:t>
      </w:r>
    </w:p>
    <w:p>
      <w:pPr>
        <w:spacing w:after="0" w:line="222" w:lineRule="exact"/>
        <w:rPr>
          <w:sz w:val="20"/>
          <w:szCs w:val="20"/>
          <w:color w:val="auto"/>
        </w:rPr>
      </w:pPr>
    </w:p>
    <w:p>
      <w:pPr>
        <w:ind w:left="1420" w:hanging="642"/>
        <w:spacing w:after="0"/>
        <w:tabs>
          <w:tab w:leader="none" w:pos="1420" w:val="left"/>
        </w:tabs>
        <w:numPr>
          <w:ilvl w:val="1"/>
          <w:numId w:val="53"/>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Group During the Term</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left="140" w:right="20" w:firstLine="1274"/>
        <w:spacing w:after="0" w:line="261" w:lineRule="auto"/>
        <w:tabs>
          <w:tab w:leader="none" w:pos="1871" w:val="left"/>
        </w:tabs>
        <w:numPr>
          <w:ilvl w:val="2"/>
          <w:numId w:val="53"/>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The Company Group may terminate the employment of Executive under this Agreement during its Term for Cause. In such event, LTLLC shall pay Executive the Accrued Obligations. Executive shall retain only such rights to participate in other benefits as are required by the terms of those plans, the Company Group’s policies, or applicable law.</w:t>
      </w:r>
    </w:p>
    <w:p>
      <w:pPr>
        <w:spacing w:after="0" w:line="161" w:lineRule="exact"/>
        <w:rPr>
          <w:rFonts w:ascii="Arial" w:cs="Arial" w:eastAsia="Arial" w:hAnsi="Arial"/>
          <w:sz w:val="19"/>
          <w:szCs w:val="19"/>
          <w:color w:val="auto"/>
        </w:rPr>
      </w:pPr>
    </w:p>
    <w:p>
      <w:pPr>
        <w:jc w:val="both"/>
        <w:ind w:left="140" w:firstLine="1274"/>
        <w:spacing w:after="0" w:line="237" w:lineRule="auto"/>
        <w:tabs>
          <w:tab w:leader="none" w:pos="1870" w:val="left"/>
        </w:tabs>
        <w:numPr>
          <w:ilvl w:val="2"/>
          <w:numId w:val="53"/>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Group other than for Death, Disability or Cause</w:t>
      </w:r>
      <w:r>
        <w:rPr>
          <w:rFonts w:ascii="Arial" w:cs="Arial" w:eastAsia="Arial" w:hAnsi="Arial"/>
          <w:sz w:val="19"/>
          <w:szCs w:val="19"/>
          <w:i w:val="1"/>
          <w:iCs w:val="1"/>
          <w:color w:val="auto"/>
        </w:rPr>
        <w:t>.</w:t>
      </w:r>
      <w:r>
        <w:rPr>
          <w:rFonts w:ascii="Arial" w:cs="Arial" w:eastAsia="Arial" w:hAnsi="Arial"/>
          <w:sz w:val="19"/>
          <w:szCs w:val="19"/>
          <w:color w:val="auto"/>
        </w:rPr>
        <w:t xml:space="preserve"> Upon a Qualifying Termination that is not upon or at any time during the 12-month period following the occurrence of a Change of Control, LTLLC shall pay Executive the amounts described below. For the avoidance of doubt, expiration of the Term is not a Qualifying Termination. Notwithstanding the foregoing, Executive shall receive the payments and benefits described in subsections (ii) -</w:t>
      </w:r>
    </w:p>
    <w:p>
      <w:pPr>
        <w:spacing w:after="0" w:line="2" w:lineRule="exact"/>
        <w:rPr>
          <w:rFonts w:ascii="Arial" w:cs="Arial" w:eastAsia="Arial" w:hAnsi="Arial"/>
          <w:sz w:val="19"/>
          <w:szCs w:val="19"/>
          <w:color w:val="auto"/>
        </w:rPr>
      </w:pPr>
    </w:p>
    <w:p>
      <w:pPr>
        <w:jc w:val="both"/>
        <w:ind w:left="140" w:firstLine="3"/>
        <w:spacing w:after="0" w:line="229" w:lineRule="auto"/>
        <w:tabs>
          <w:tab w:leader="none" w:pos="528" w:val="left"/>
        </w:tabs>
        <w:numPr>
          <w:ilvl w:val="0"/>
          <w:numId w:val="54"/>
        </w:numPr>
        <w:rPr>
          <w:rFonts w:ascii="Arial" w:cs="Arial" w:eastAsia="Arial" w:hAnsi="Arial"/>
          <w:sz w:val="20"/>
          <w:szCs w:val="20"/>
          <w:color w:val="auto"/>
        </w:rPr>
      </w:pPr>
      <w:r>
        <w:rPr>
          <w:rFonts w:ascii="Arial" w:cs="Arial" w:eastAsia="Arial" w:hAnsi="Arial"/>
          <w:sz w:val="20"/>
          <w:szCs w:val="20"/>
          <w:color w:val="auto"/>
        </w:rPr>
        <w:t>below only if Executive executes and does not revoke a Release of Claims and Executive complies with the restrictive covenants set forth in the Confidentiality Agreement attached hereto as Exhibit 1. If Executive does not execute the Release of Claims within sixty (60) days following the Qualifying Termination, or if Executive revokes the Release of Claims (the end of the permitted revocation period following execution without revocation being exercised, the “Release Effective Date”), Executive shall not be entitled to the payments and benefits described in subsections (ii) - (iv) below.</w:t>
      </w:r>
    </w:p>
    <w:p>
      <w:pPr>
        <w:spacing w:after="0" w:line="196" w:lineRule="exact"/>
        <w:rPr>
          <w:rFonts w:ascii="Arial" w:cs="Arial" w:eastAsia="Arial" w:hAnsi="Arial"/>
          <w:sz w:val="20"/>
          <w:szCs w:val="20"/>
          <w:color w:val="auto"/>
        </w:rPr>
      </w:pPr>
    </w:p>
    <w:p>
      <w:pPr>
        <w:ind w:left="2680" w:hanging="629"/>
        <w:spacing w:after="0"/>
        <w:tabs>
          <w:tab w:leader="none" w:pos="2680" w:val="left"/>
        </w:tabs>
        <w:numPr>
          <w:ilvl w:val="3"/>
          <w:numId w:val="54"/>
        </w:numPr>
        <w:rPr>
          <w:rFonts w:ascii="Arial" w:cs="Arial" w:eastAsia="Arial" w:hAnsi="Arial"/>
          <w:sz w:val="21"/>
          <w:szCs w:val="21"/>
          <w:color w:val="auto"/>
        </w:rPr>
      </w:pPr>
      <w:r>
        <w:rPr>
          <w:rFonts w:ascii="Arial" w:cs="Arial" w:eastAsia="Arial" w:hAnsi="Arial"/>
          <w:sz w:val="21"/>
          <w:szCs w:val="21"/>
          <w:color w:val="auto"/>
        </w:rPr>
        <w:t>Any Accrued Obligations.</w:t>
      </w:r>
    </w:p>
    <w:p>
      <w:pPr>
        <w:spacing w:after="0" w:line="222" w:lineRule="exact"/>
        <w:rPr>
          <w:rFonts w:ascii="Arial" w:cs="Arial" w:eastAsia="Arial" w:hAnsi="Arial"/>
          <w:sz w:val="21"/>
          <w:szCs w:val="21"/>
          <w:color w:val="auto"/>
        </w:rPr>
      </w:pPr>
    </w:p>
    <w:p>
      <w:pPr>
        <w:jc w:val="both"/>
        <w:ind w:left="140" w:firstLine="1910"/>
        <w:spacing w:after="0" w:line="215" w:lineRule="auto"/>
        <w:tabs>
          <w:tab w:leader="none" w:pos="2505" w:val="left"/>
        </w:tabs>
        <w:numPr>
          <w:ilvl w:val="3"/>
          <w:numId w:val="54"/>
        </w:numPr>
        <w:rPr>
          <w:rFonts w:ascii="Arial" w:cs="Arial" w:eastAsia="Arial" w:hAnsi="Arial"/>
          <w:sz w:val="20"/>
          <w:szCs w:val="20"/>
          <w:color w:val="auto"/>
        </w:rPr>
      </w:pPr>
      <w:r>
        <w:rPr>
          <w:rFonts w:ascii="Arial" w:cs="Arial" w:eastAsia="Arial" w:hAnsi="Arial"/>
          <w:sz w:val="20"/>
          <w:szCs w:val="20"/>
          <w:color w:val="auto"/>
        </w:rPr>
        <w:t>An amount equal to one (1) year of Executive’s then-current Base Salary, payable in installments on LTLLC’s regularly scheduled payroll dates over the one (1) year period following the date of such Qualifying Termination (“Salary Continuation Payments”) beginning on the regularly scheduled payroll date immediately following the effective date of the Release of Claims. Notwithstanding the foregoing, if the Salary Continuation Payments are determined to be “nonqualified deferred compensation” that is subject to Section 409A (as defined below), then the first installment shall be made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Executive’s Qualifying Termination and shall include the amount of all payments that would have been made after the effective date of the Release of Claims but before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such Qualifying Termination, and the remaining Salary Continuation Payments shall be payable in installments on LTLLC’s regularly scheduled paydays following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such Qualifying Termination.</w:t>
      </w:r>
    </w:p>
    <w:p>
      <w:pPr>
        <w:spacing w:after="0" w:line="106" w:lineRule="exact"/>
        <w:rPr>
          <w:rFonts w:ascii="Arial" w:cs="Arial" w:eastAsia="Arial" w:hAnsi="Arial"/>
          <w:sz w:val="20"/>
          <w:szCs w:val="20"/>
          <w:color w:val="auto"/>
        </w:rPr>
      </w:pPr>
    </w:p>
    <w:p>
      <w:pPr>
        <w:jc w:val="both"/>
        <w:ind w:left="140" w:firstLine="1910"/>
        <w:spacing w:after="0" w:line="252" w:lineRule="auto"/>
        <w:tabs>
          <w:tab w:leader="none" w:pos="2497" w:val="left"/>
        </w:tabs>
        <w:numPr>
          <w:ilvl w:val="3"/>
          <w:numId w:val="54"/>
        </w:numPr>
        <w:rPr>
          <w:rFonts w:ascii="Arial" w:cs="Arial" w:eastAsia="Arial" w:hAnsi="Arial"/>
          <w:sz w:val="19"/>
          <w:szCs w:val="19"/>
          <w:color w:val="auto"/>
        </w:rPr>
      </w:pPr>
      <w:r>
        <w:rPr>
          <w:rFonts w:ascii="Arial" w:cs="Arial" w:eastAsia="Arial" w:hAnsi="Arial"/>
          <w:sz w:val="19"/>
          <w:szCs w:val="19"/>
          <w:color w:val="auto"/>
        </w:rPr>
        <w:t>If Executive properly elects COBRA continuation coverage, the Company will reimburse Executive for his COBRA premiums on the same terms and conditions, and at the same level in effect at the time of termination of Executive’s employment, upon submission of proof of payment, until the earlier of: (1) one (1) year from the date of Executive’s loss of coverage, or (2) the date Executive obtains replacement health care coverage through a new employer.</w:t>
      </w:r>
    </w:p>
    <w:p>
      <w:pPr>
        <w:spacing w:after="0" w:line="248" w:lineRule="exact"/>
        <w:rPr>
          <w:rFonts w:ascii="Arial" w:cs="Arial" w:eastAsia="Arial" w:hAnsi="Arial"/>
          <w:sz w:val="19"/>
          <w:szCs w:val="19"/>
          <w:color w:val="auto"/>
        </w:rPr>
      </w:pPr>
    </w:p>
    <w:p>
      <w:pPr>
        <w:ind w:left="140" w:right="540" w:firstLine="1910"/>
        <w:spacing w:after="0" w:line="239" w:lineRule="auto"/>
        <w:tabs>
          <w:tab w:leader="none" w:pos="2499" w:val="left"/>
        </w:tabs>
        <w:numPr>
          <w:ilvl w:val="3"/>
          <w:numId w:val="54"/>
        </w:numPr>
        <w:rPr>
          <w:rFonts w:ascii="Arial" w:cs="Arial" w:eastAsia="Arial" w:hAnsi="Arial"/>
          <w:sz w:val="21"/>
          <w:szCs w:val="21"/>
          <w:color w:val="auto"/>
        </w:rPr>
      </w:pPr>
      <w:r>
        <w:rPr>
          <w:rFonts w:ascii="Arial" w:cs="Arial" w:eastAsia="Arial" w:hAnsi="Arial"/>
          <w:sz w:val="21"/>
          <w:szCs w:val="21"/>
          <w:color w:val="auto"/>
        </w:rPr>
        <w:t>Executive’s (a) then outstanding unvested Restricted Stock Units (“RSUs”) or Restricted Stock issued pursuant to the 2008 Plan and scheduled to vest within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100"/>
          </w:cols>
          <w:pgMar w:left="360" w:top="1440" w:right="439" w:bottom="1440" w:gutter="0" w:footer="0" w:header="0"/>
        </w:sectPr>
      </w:pPr>
    </w:p>
    <w:bookmarkStart w:id="114" w:name="page115"/>
    <w:bookmarkEnd w:id="114"/>
    <w:p>
      <w:pPr>
        <w:spacing w:after="0" w:line="163" w:lineRule="exact"/>
        <w:rPr>
          <w:sz w:val="20"/>
          <w:szCs w:val="20"/>
          <w:color w:val="auto"/>
        </w:rPr>
      </w:pPr>
    </w:p>
    <w:p>
      <w:pPr>
        <w:jc w:val="both"/>
        <w:ind w:left="140"/>
        <w:spacing w:after="0" w:line="220" w:lineRule="auto"/>
        <w:rPr>
          <w:sz w:val="20"/>
          <w:szCs w:val="20"/>
          <w:color w:val="auto"/>
        </w:rPr>
      </w:pPr>
      <w:r>
        <w:rPr>
          <w:rFonts w:ascii="Arial" w:cs="Arial" w:eastAsia="Arial" w:hAnsi="Arial"/>
          <w:sz w:val="20"/>
          <w:szCs w:val="20"/>
          <w:color w:val="auto"/>
        </w:rPr>
        <w:t>months of the Qualifying Termination, if any, shall become vested on the effective date of the Release of Claims, and (b) then outstanding unvested Options to purchase common stock (“Options”) issued pursuant to the 2008 Plan and scheduled to vest within nine months of the Qualifying Termination, if any, shall become vested and exercisable on the effective date of the Release of Claims. Notwithstanding the foregoing, this subsection (iv) shall not apply to any award under the 2008 Plan to the extent such award expressly states that its vesting acceleration terms take precedence over anything to the contrary in an employment agreement. All RSUs that vest pursuant to this subsection (iv) shall be settled in accordance with the grant terms of such RSUs. All Options that vest pursuant to this subsection (iv) shall remain exercisable only to the extent permitted under the grant terms of such Options. All other unvested RSUs, Restricted Stock and Options issued to Executive pursuant to the 2008 Plan and which are not covered by the foregoing clauses (a) and (b) shall terminate without consideration as of the date of such Qualifying Termination. Additionally, if the Release of Claims does not take effect, then the RSUs or Options that were covered by the foregoing clauses (a) and (b) shall terminate without consideration as of the 61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following the date of such Qualifying Termination.</w:t>
      </w:r>
    </w:p>
    <w:p>
      <w:pPr>
        <w:spacing w:after="0" w:line="163" w:lineRule="exact"/>
        <w:rPr>
          <w:sz w:val="20"/>
          <w:szCs w:val="20"/>
          <w:color w:val="auto"/>
        </w:rPr>
      </w:pPr>
    </w:p>
    <w:p>
      <w:pPr>
        <w:jc w:val="both"/>
        <w:ind w:left="140" w:firstLine="635"/>
        <w:spacing w:after="0" w:line="238" w:lineRule="auto"/>
        <w:rPr>
          <w:sz w:val="20"/>
          <w:szCs w:val="20"/>
          <w:color w:val="auto"/>
        </w:rPr>
      </w:pPr>
      <w:r>
        <w:rPr>
          <w:rFonts w:ascii="Arial" w:cs="Arial" w:eastAsia="Arial" w:hAnsi="Arial"/>
          <w:sz w:val="19"/>
          <w:szCs w:val="19"/>
          <w:color w:val="auto"/>
        </w:rPr>
        <w:t>Notwithstanding the foregoing, if Executive obtains other employment or is otherwise compensated for services during the period in which Executive is receiving Salary Continuation Payments (the “Severance Period”), LTLLC’s obligation to make future payments to Executive under subsections (ii) and (iii) above shall be offset against any compensation earned by Executive as a result of employment with or services provided to a third party; notwithstanding the above, Executive shall receive a guaranteed minimum Salary Continuation Payment of Five Hundred Dollars ($500.00) regardless of any compensation earned from third parties during the Severance Period (“Guaranteed Minimum Severance Payment”). Executive agrees to inform the Company Group promptly of Executive’s employment status and any amounts so earned during the Severance Period. Further, LTLLC’s obligation to make payments under subsections (ii) and (iii) above shall immediately cease in the event that Executive breaches the terms of this Agreement (including these Additional Terms) or the Confidentiality Agreement, including but not limited to Executive’s obligations set forth in Section 9 of this Agreement. Executive acknowledges and agrees that the payments described in Section 3(b) above, or any portion thereof, including without limitation the Guaranteed Minimum Severance Payment, constitute good and valuable consideration for the Release of Claims.</w:t>
      </w:r>
    </w:p>
    <w:p>
      <w:pPr>
        <w:spacing w:after="0" w:line="196" w:lineRule="exact"/>
        <w:rPr>
          <w:sz w:val="20"/>
          <w:szCs w:val="20"/>
          <w:color w:val="auto"/>
        </w:rPr>
      </w:pPr>
    </w:p>
    <w:p>
      <w:pPr>
        <w:jc w:val="both"/>
        <w:ind w:left="140" w:firstLine="638"/>
        <w:spacing w:after="0" w:line="220" w:lineRule="auto"/>
        <w:tabs>
          <w:tab w:leader="none" w:pos="1225"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Termination After the Term</w:t>
      </w:r>
      <w:r>
        <w:rPr>
          <w:rFonts w:ascii="Arial" w:cs="Arial" w:eastAsia="Arial" w:hAnsi="Arial"/>
          <w:sz w:val="21"/>
          <w:szCs w:val="21"/>
          <w:color w:val="auto"/>
        </w:rPr>
        <w:t>. If Executive’s employment continues beyond the Term, Executive’s employment shall be at will. In other words, after the Term, the Company Group and Executive may terminate the employment relationship at any time, for any reason, with or without cause. The Company Group retains the right to transfer, demote, or suspend Executive without cause and without notice, at any time. If Executive’s employment is terminated after the Term, regardless of whether the termination was with or without Cause, or by Executive for “Good Reason, Executive shall be entitled to receive only the Accrued Obligations.</w:t>
      </w:r>
    </w:p>
    <w:p>
      <w:pPr>
        <w:spacing w:after="0" w:line="195" w:lineRule="exact"/>
        <w:rPr>
          <w:rFonts w:ascii="Arial" w:cs="Arial" w:eastAsia="Arial" w:hAnsi="Arial"/>
          <w:sz w:val="21"/>
          <w:szCs w:val="21"/>
          <w:color w:val="auto"/>
        </w:rPr>
      </w:pPr>
    </w:p>
    <w:p>
      <w:pPr>
        <w:jc w:val="both"/>
        <w:ind w:left="140" w:firstLine="638"/>
        <w:spacing w:after="0" w:line="222" w:lineRule="auto"/>
        <w:tabs>
          <w:tab w:leader="none" w:pos="1225"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For purposes of this Agreement, a “Change of Control” results when: (i) any person or entity, other than Doug Lebda or persons or entities having beneficial ownership of securities of the Company also beneficially owned by Doug Lebda, becomes a beneficial owner, directly or indirectly, of securities of the Company representing fifty percent or more of the total voting power of all of the Company’s then outstanding voting securities, (ii) a merger or consolidation of the Company in which the Company’s voting securities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00"/>
          </w:cols>
          <w:pgMar w:left="360" w:top="1440" w:right="439" w:bottom="1440" w:gutter="0" w:footer="0" w:header="0"/>
        </w:sectPr>
      </w:pPr>
    </w:p>
    <w:bookmarkStart w:id="115" w:name="page116"/>
    <w:bookmarkEnd w:id="115"/>
    <w:p>
      <w:pPr>
        <w:spacing w:after="0" w:line="163" w:lineRule="exact"/>
        <w:rPr>
          <w:sz w:val="20"/>
          <w:szCs w:val="20"/>
          <w:color w:val="auto"/>
        </w:rPr>
      </w:pPr>
    </w:p>
    <w:p>
      <w:pPr>
        <w:jc w:val="both"/>
        <w:ind w:left="140"/>
        <w:spacing w:after="0" w:line="231" w:lineRule="auto"/>
        <w:rPr>
          <w:sz w:val="20"/>
          <w:szCs w:val="20"/>
          <w:color w:val="auto"/>
        </w:rPr>
      </w:pPr>
      <w:r>
        <w:rPr>
          <w:rFonts w:ascii="Arial" w:cs="Arial" w:eastAsia="Arial" w:hAnsi="Arial"/>
          <w:sz w:val="20"/>
          <w:szCs w:val="20"/>
          <w:color w:val="auto"/>
        </w:rPr>
        <w:t>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For purposes of defining Change of Control, “Company” refers to LendingTree, Inc. as a whole and does not apply to events only affecting specific businesses or subsidiaries of LendingTree, Inc. To the extent necessary to comply with Section 409A (as defined below), a Change of Control must also constitute a “change in control event” within the meaning of Section 409A.</w:t>
      </w:r>
    </w:p>
    <w:p>
      <w:pPr>
        <w:spacing w:after="0" w:line="196" w:lineRule="exact"/>
        <w:rPr>
          <w:sz w:val="20"/>
          <w:szCs w:val="20"/>
          <w:color w:val="auto"/>
        </w:rPr>
      </w:pPr>
    </w:p>
    <w:p>
      <w:pPr>
        <w:ind w:left="140" w:right="20" w:firstLine="1274"/>
        <w:spacing w:after="0" w:line="219" w:lineRule="auto"/>
        <w:tabs>
          <w:tab w:leader="none" w:pos="1871" w:val="left"/>
        </w:tabs>
        <w:numPr>
          <w:ilvl w:val="1"/>
          <w:numId w:val="56"/>
        </w:numPr>
        <w:rPr>
          <w:rFonts w:ascii="Arial" w:cs="Arial" w:eastAsia="Arial" w:hAnsi="Arial"/>
          <w:sz w:val="21"/>
          <w:szCs w:val="21"/>
          <w:color w:val="auto"/>
        </w:rPr>
      </w:pPr>
      <w:r>
        <w:rPr>
          <w:rFonts w:ascii="Arial" w:cs="Arial" w:eastAsia="Arial" w:hAnsi="Arial"/>
          <w:sz w:val="21"/>
          <w:szCs w:val="21"/>
          <w:color w:val="auto"/>
        </w:rPr>
        <w:t>If a Change of Control occurs while Executive is employed by LTLLC then the following benefits will be provided to Executive automatically upon the Change of Control:</w:t>
      </w:r>
    </w:p>
    <w:p>
      <w:pPr>
        <w:spacing w:after="0" w:line="1" w:lineRule="exact"/>
        <w:rPr>
          <w:rFonts w:ascii="Arial" w:cs="Arial" w:eastAsia="Arial" w:hAnsi="Arial"/>
          <w:sz w:val="21"/>
          <w:szCs w:val="21"/>
          <w:color w:val="auto"/>
        </w:rPr>
      </w:pPr>
    </w:p>
    <w:p>
      <w:pPr>
        <w:jc w:val="both"/>
        <w:ind w:left="140" w:firstLine="3"/>
        <w:spacing w:after="0" w:line="217" w:lineRule="auto"/>
        <w:tabs>
          <w:tab w:leader="none" w:pos="408" w:val="left"/>
        </w:tabs>
        <w:numPr>
          <w:ilvl w:val="0"/>
          <w:numId w:val="57"/>
        </w:numPr>
        <w:rPr>
          <w:rFonts w:ascii="Arial" w:cs="Arial" w:eastAsia="Arial" w:hAnsi="Arial"/>
          <w:sz w:val="21"/>
          <w:szCs w:val="21"/>
          <w:color w:val="auto"/>
        </w:rPr>
      </w:pPr>
      <w:r>
        <w:rPr>
          <w:rFonts w:ascii="Arial" w:cs="Arial" w:eastAsia="Arial" w:hAnsi="Arial"/>
          <w:sz w:val="21"/>
          <w:szCs w:val="21"/>
          <w:color w:val="auto"/>
        </w:rPr>
        <w:t>all then-outstanding unvested equity awards held by Executive that are scheduled to vest based solely on time will become fully vested and immediately exercisable immediately prior to such Change of Control; and (ii) all then-outstanding unvested Company compensatory equity awards held by Executive that are subject to performance-based vesting will vest based on the actual level of achievement of the applicable performance goals measured as of (or within five business days before) the date of such Change of Control; provided, that any portion of the award that does not vest as of such date will be forfeited without consideration upon the Change of Control;</w:t>
      </w:r>
    </w:p>
    <w:p>
      <w:pPr>
        <w:spacing w:after="0" w:line="195" w:lineRule="exact"/>
        <w:rPr>
          <w:rFonts w:ascii="Arial" w:cs="Arial" w:eastAsia="Arial" w:hAnsi="Arial"/>
          <w:sz w:val="21"/>
          <w:szCs w:val="21"/>
          <w:color w:val="auto"/>
        </w:rPr>
      </w:pPr>
    </w:p>
    <w:p>
      <w:pPr>
        <w:jc w:val="both"/>
        <w:ind w:left="140" w:firstLine="1274"/>
        <w:spacing w:after="0" w:line="236" w:lineRule="auto"/>
        <w:tabs>
          <w:tab w:leader="none" w:pos="1870" w:val="left"/>
        </w:tabs>
        <w:numPr>
          <w:ilvl w:val="1"/>
          <w:numId w:val="57"/>
        </w:numPr>
        <w:rPr>
          <w:rFonts w:ascii="Arial" w:cs="Arial" w:eastAsia="Arial" w:hAnsi="Arial"/>
          <w:sz w:val="19"/>
          <w:szCs w:val="19"/>
          <w:color w:val="auto"/>
        </w:rPr>
      </w:pPr>
      <w:r>
        <w:rPr>
          <w:rFonts w:ascii="Arial" w:cs="Arial" w:eastAsia="Arial" w:hAnsi="Arial"/>
          <w:sz w:val="19"/>
          <w:szCs w:val="19"/>
          <w:color w:val="auto"/>
        </w:rPr>
        <w:t>In the event that Executive experiences a Qualifying Termination upon or at any time during the 12-month period following the occurrence of a Change of Control, then Executive will receive (x) payment of the Accrued Obligations within thirty (30) days of such termination (or earlier, to the extent required by applicable law) and (y) the payments and benefits described in clauses (i) through (iii) below, but (with respect to clauses (i) through (iii) below) only if Executive timely executes and does not revoke the Release of Claims and Executive complies in all material respects with Executive’s obligations under the Confidentiality Agreement, as defined below. If Executive does not execute the Release of Claims within sixty</w:t>
      </w:r>
    </w:p>
    <w:p>
      <w:pPr>
        <w:jc w:val="both"/>
        <w:ind w:left="140"/>
        <w:spacing w:after="0" w:line="242" w:lineRule="auto"/>
        <w:rPr>
          <w:rFonts w:ascii="Arial" w:cs="Arial" w:eastAsia="Arial" w:hAnsi="Arial"/>
          <w:sz w:val="19"/>
          <w:szCs w:val="19"/>
          <w:color w:val="auto"/>
        </w:rPr>
      </w:pPr>
      <w:r>
        <w:rPr>
          <w:rFonts w:ascii="Arial" w:cs="Arial" w:eastAsia="Arial" w:hAnsi="Arial"/>
          <w:sz w:val="19"/>
          <w:szCs w:val="19"/>
          <w:color w:val="auto"/>
        </w:rPr>
        <w:t>(60) days following the date of such Qualifying Termination, or if Executive revokes the Release of Claims before the Release Effective Date, Executive will not be entitled to the payments and benefits described in clauses (i) through (iii) below. For avoidance of doubt, if Executive experiences a Qualifying Termination upon or at any time during the 12-month period following the occurrence of a Change of Control, then Executive will not be eligible to receive any payments or benefits under Section 3(b) herein. There is no requirement for Executive to mitigate the benefits provided in clauses (i) through (iii) below.</w:t>
      </w:r>
    </w:p>
    <w:p>
      <w:pPr>
        <w:spacing w:after="0" w:line="178" w:lineRule="exact"/>
        <w:rPr>
          <w:rFonts w:ascii="Arial" w:cs="Arial" w:eastAsia="Arial" w:hAnsi="Arial"/>
          <w:sz w:val="19"/>
          <w:szCs w:val="19"/>
          <w:color w:val="auto"/>
        </w:rPr>
      </w:pPr>
    </w:p>
    <w:p>
      <w:pPr>
        <w:jc w:val="both"/>
        <w:ind w:left="140" w:firstLine="1910"/>
        <w:spacing w:after="0" w:line="225" w:lineRule="auto"/>
        <w:tabs>
          <w:tab w:leader="none" w:pos="2499" w:val="left"/>
        </w:tabs>
        <w:numPr>
          <w:ilvl w:val="2"/>
          <w:numId w:val="57"/>
        </w:numPr>
        <w:rPr>
          <w:rFonts w:ascii="Arial" w:cs="Arial" w:eastAsia="Arial" w:hAnsi="Arial"/>
          <w:sz w:val="21"/>
          <w:szCs w:val="21"/>
          <w:color w:val="auto"/>
        </w:rPr>
      </w:pPr>
      <w:r>
        <w:rPr>
          <w:rFonts w:ascii="Arial" w:cs="Arial" w:eastAsia="Arial" w:hAnsi="Arial"/>
          <w:sz w:val="21"/>
          <w:szCs w:val="21"/>
          <w:color w:val="auto"/>
        </w:rPr>
        <w:t>A cash lump sum severance payment in an amount equal to the sum of (x) 200% of Executive’s then-current Base Salary plus (y) 200% of Executive’s target annual bonus for the bonus program in effect for Executive for the year in which Executive’s employment terminates plus (z) the Pro-Rated Annual Bonus, payable on the regularly scheduled payroll date immediately following the Release Effective Date;</w:t>
      </w:r>
    </w:p>
    <w:p>
      <w:pPr>
        <w:spacing w:after="0" w:line="194" w:lineRule="exact"/>
        <w:rPr>
          <w:rFonts w:ascii="Arial" w:cs="Arial" w:eastAsia="Arial" w:hAnsi="Arial"/>
          <w:sz w:val="21"/>
          <w:szCs w:val="21"/>
          <w:color w:val="auto"/>
        </w:rPr>
      </w:pPr>
    </w:p>
    <w:p>
      <w:pPr>
        <w:jc w:val="both"/>
        <w:ind w:left="140" w:firstLine="1910"/>
        <w:spacing w:after="0" w:line="236" w:lineRule="auto"/>
        <w:tabs>
          <w:tab w:leader="none" w:pos="2505" w:val="left"/>
        </w:tabs>
        <w:numPr>
          <w:ilvl w:val="2"/>
          <w:numId w:val="57"/>
        </w:numPr>
        <w:rPr>
          <w:rFonts w:ascii="Arial" w:cs="Arial" w:eastAsia="Arial" w:hAnsi="Arial"/>
          <w:sz w:val="20"/>
          <w:szCs w:val="20"/>
          <w:color w:val="auto"/>
        </w:rPr>
      </w:pPr>
      <w:r>
        <w:rPr>
          <w:rFonts w:ascii="Arial" w:cs="Arial" w:eastAsia="Arial" w:hAnsi="Arial"/>
          <w:sz w:val="20"/>
          <w:szCs w:val="20"/>
          <w:color w:val="auto"/>
        </w:rPr>
        <w:t>With respect to Executive’s then-outstanding vested stock options, Executive will be able to exercise such vested stock options until the earliest of (x) their applicable expiration date, (y) the date of a change of control of the Company in which the applicable stock option is not being assumed, continued, substituted for or otherwise replaced as of such change of control, or (z) the second anniversary of the date of Qualifying Termination;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00"/>
          </w:cols>
          <w:pgMar w:left="360" w:top="1440" w:right="439" w:bottom="1440" w:gutter="0" w:footer="0" w:header="0"/>
        </w:sectPr>
      </w:pPr>
    </w:p>
    <w:bookmarkStart w:id="116" w:name="page117"/>
    <w:bookmarkEnd w:id="116"/>
    <w:p>
      <w:pPr>
        <w:spacing w:after="0" w:line="163" w:lineRule="exact"/>
        <w:rPr>
          <w:sz w:val="20"/>
          <w:szCs w:val="20"/>
          <w:color w:val="auto"/>
        </w:rPr>
      </w:pPr>
    </w:p>
    <w:p>
      <w:pPr>
        <w:ind w:left="140" w:right="500" w:firstLine="1910"/>
        <w:spacing w:after="0" w:line="239" w:lineRule="auto"/>
        <w:tabs>
          <w:tab w:leader="none" w:pos="2497" w:val="left"/>
        </w:tabs>
        <w:numPr>
          <w:ilvl w:val="2"/>
          <w:numId w:val="58"/>
        </w:numPr>
        <w:rPr>
          <w:rFonts w:ascii="Arial" w:cs="Arial" w:eastAsia="Arial" w:hAnsi="Arial"/>
          <w:sz w:val="21"/>
          <w:szCs w:val="21"/>
          <w:color w:val="auto"/>
        </w:rPr>
      </w:pPr>
      <w:r>
        <w:rPr>
          <w:rFonts w:ascii="Arial" w:cs="Arial" w:eastAsia="Arial" w:hAnsi="Arial"/>
          <w:sz w:val="21"/>
          <w:szCs w:val="21"/>
          <w:color w:val="auto"/>
        </w:rPr>
        <w:t>Subject to the terms and conditions of Section 3(b)(iii), Executive will be entitled to receive the continuation of health care coverage benefit under Section 3(b)(iii).</w:t>
      </w:r>
    </w:p>
    <w:p>
      <w:pPr>
        <w:spacing w:after="0" w:line="194" w:lineRule="exact"/>
        <w:rPr>
          <w:rFonts w:ascii="Arial" w:cs="Arial" w:eastAsia="Arial" w:hAnsi="Arial"/>
          <w:sz w:val="21"/>
          <w:szCs w:val="21"/>
          <w:color w:val="auto"/>
        </w:rPr>
      </w:pPr>
    </w:p>
    <w:p>
      <w:pPr>
        <w:ind w:left="140" w:firstLine="1274"/>
        <w:spacing w:after="0" w:line="263" w:lineRule="auto"/>
        <w:tabs>
          <w:tab w:leader="none" w:pos="1871" w:val="left"/>
        </w:tabs>
        <w:numPr>
          <w:ilvl w:val="1"/>
          <w:numId w:val="59"/>
        </w:numPr>
        <w:rPr>
          <w:rFonts w:ascii="Arial" w:cs="Arial" w:eastAsia="Arial" w:hAnsi="Arial"/>
          <w:sz w:val="20"/>
          <w:szCs w:val="20"/>
          <w:color w:val="auto"/>
        </w:rPr>
      </w:pPr>
      <w:r>
        <w:rPr>
          <w:rFonts w:ascii="Arial" w:cs="Arial" w:eastAsia="Arial" w:hAnsi="Arial"/>
          <w:sz w:val="20"/>
          <w:szCs w:val="20"/>
          <w:color w:val="auto"/>
        </w:rPr>
        <w:t>To the extent that Executive and the Company are parties to a Change of Control Letter Agreement, such prior agreement is hereby superseded and terminated as of the Effective Date and is of no further force or effect.</w:t>
      </w:r>
    </w:p>
    <w:p>
      <w:pPr>
        <w:spacing w:after="0" w:line="171" w:lineRule="exact"/>
        <w:rPr>
          <w:rFonts w:ascii="Arial" w:cs="Arial" w:eastAsia="Arial" w:hAnsi="Arial"/>
          <w:sz w:val="20"/>
          <w:szCs w:val="20"/>
          <w:color w:val="auto"/>
        </w:rPr>
      </w:pPr>
    </w:p>
    <w:p>
      <w:pPr>
        <w:jc w:val="both"/>
        <w:ind w:left="140" w:firstLine="638"/>
        <w:spacing w:after="0" w:line="222" w:lineRule="auto"/>
        <w:tabs>
          <w:tab w:leader="none" w:pos="1225"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Confidentiality, Work Product and Restrictive Covenant Agreement</w:t>
      </w:r>
      <w:r>
        <w:rPr>
          <w:rFonts w:ascii="Arial" w:cs="Arial" w:eastAsia="Arial" w:hAnsi="Arial"/>
          <w:sz w:val="21"/>
          <w:szCs w:val="21"/>
          <w:color w:val="auto"/>
        </w:rPr>
        <w:t xml:space="preserve">. As a condition of Executive’s employment, Executive agrees to execute the Confidentiality, Work Product and Restrictive Covenant Agreement (the “Confidentiality Agreement”) attached hereto as </w:t>
      </w:r>
      <w:r>
        <w:rPr>
          <w:rFonts w:ascii="Arial" w:cs="Arial" w:eastAsia="Arial" w:hAnsi="Arial"/>
          <w:sz w:val="21"/>
          <w:szCs w:val="21"/>
          <w:u w:val="single" w:color="auto"/>
          <w:color w:val="auto"/>
        </w:rPr>
        <w:t>Exhibit 2</w:t>
      </w:r>
      <w:r>
        <w:rPr>
          <w:rFonts w:ascii="Arial" w:cs="Arial" w:eastAsia="Arial" w:hAnsi="Arial"/>
          <w:sz w:val="21"/>
          <w:szCs w:val="21"/>
          <w:color w:val="auto"/>
        </w:rPr>
        <w:t>. Executive agrees and acknowledges that the benefits received by Executive pursuant to this Agreement, including but not limited to those set forth in Section 3 of this Exhibit A, constitute good and valuable consideration for Executive’s obligations under the Confidentiality Agreement.</w:t>
      </w:r>
    </w:p>
    <w:p>
      <w:pPr>
        <w:spacing w:after="0" w:line="181" w:lineRule="exact"/>
        <w:rPr>
          <w:rFonts w:ascii="Arial" w:cs="Arial" w:eastAsia="Arial" w:hAnsi="Arial"/>
          <w:sz w:val="21"/>
          <w:szCs w:val="21"/>
          <w:color w:val="auto"/>
        </w:rPr>
      </w:pPr>
    </w:p>
    <w:p>
      <w:pPr>
        <w:ind w:left="1420" w:hanging="642"/>
        <w:spacing w:after="0"/>
        <w:tabs>
          <w:tab w:leader="none" w:pos="142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Employee Benefits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ind w:left="140" w:right="20" w:firstLine="1274"/>
        <w:spacing w:after="0" w:line="263" w:lineRule="auto"/>
        <w:tabs>
          <w:tab w:leader="none" w:pos="1871"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During the Term, Executive shall be entitled to take paid time off, in accordance with applicable plans, policies, programs, practices and legal requirements applicable to similarly-situated employees generally.</w:t>
      </w:r>
    </w:p>
    <w:p>
      <w:pPr>
        <w:spacing w:after="0" w:line="171" w:lineRule="exact"/>
        <w:rPr>
          <w:rFonts w:ascii="Arial" w:cs="Arial" w:eastAsia="Arial" w:hAnsi="Arial"/>
          <w:sz w:val="20"/>
          <w:szCs w:val="20"/>
          <w:color w:val="auto"/>
        </w:rPr>
      </w:pPr>
    </w:p>
    <w:p>
      <w:pPr>
        <w:jc w:val="both"/>
        <w:ind w:left="140" w:firstLine="1274"/>
        <w:spacing w:after="0" w:line="231" w:lineRule="auto"/>
        <w:tabs>
          <w:tab w:leader="none" w:pos="1870"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Other</w:t>
      </w:r>
      <w:r>
        <w:rPr>
          <w:rFonts w:ascii="Arial" w:cs="Arial" w:eastAsia="Arial" w:hAnsi="Arial"/>
          <w:sz w:val="20"/>
          <w:szCs w:val="20"/>
          <w:color w:val="auto"/>
        </w:rPr>
        <w:t>. Executive shall be entitled to such other benefits, payments, or items of compensation as are provided under the employee benefit plans of LTLLC or as are made available from time to time under compensation policies set by LTLLC for management employees of LTLLC having similar salary and level of responsibility. Employee acknowledges that Employee’s eligibility for and participation in any such plan or program shall be subject to and controlled by the terms and conditions of such plans and programs, and that LTLLC makes no representation or agreement that any particular plan currently exists, will be maintained (in its present form, or at all), or will be established in the future.</w:t>
      </w:r>
    </w:p>
    <w:p>
      <w:pPr>
        <w:spacing w:after="0" w:line="182" w:lineRule="exact"/>
        <w:rPr>
          <w:rFonts w:ascii="Arial" w:cs="Arial" w:eastAsia="Arial" w:hAnsi="Arial"/>
          <w:sz w:val="20"/>
          <w:szCs w:val="20"/>
          <w:color w:val="auto"/>
        </w:rPr>
      </w:pPr>
    </w:p>
    <w:p>
      <w:pPr>
        <w:jc w:val="both"/>
        <w:ind w:left="140" w:firstLine="638"/>
        <w:spacing w:after="0" w:line="252" w:lineRule="auto"/>
        <w:tabs>
          <w:tab w:leader="none" w:pos="122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The Company Group shall reimburse Executive, in accordance with applicable law and the general policies and practices of the Company Group as in effect from time to time, for reasonable out-of-pocket expenses incurred by Executive in the ordinary course of business, including without limitation, the Company Group’s standard mileage allowance for business use of any personal vehicle, business related travel, customer entertainment</w:t>
      </w:r>
      <w:r>
        <w:rPr>
          <w:rFonts w:ascii="Arial" w:cs="Arial" w:eastAsia="Arial" w:hAnsi="Arial"/>
          <w:sz w:val="19"/>
          <w:szCs w:val="19"/>
          <w:b w:val="1"/>
          <w:bCs w:val="1"/>
          <w:color w:val="auto"/>
        </w:rPr>
        <w:t>,</w:t>
      </w:r>
      <w:r>
        <w:rPr>
          <w:rFonts w:ascii="Arial" w:cs="Arial" w:eastAsia="Arial" w:hAnsi="Arial"/>
          <w:sz w:val="19"/>
          <w:szCs w:val="19"/>
          <w:color w:val="auto"/>
        </w:rPr>
        <w:t xml:space="preserve"> and professional organizations.</w:t>
      </w:r>
    </w:p>
    <w:p>
      <w:pPr>
        <w:spacing w:after="0" w:line="182" w:lineRule="exact"/>
        <w:rPr>
          <w:rFonts w:ascii="Arial" w:cs="Arial" w:eastAsia="Arial" w:hAnsi="Arial"/>
          <w:sz w:val="19"/>
          <w:szCs w:val="19"/>
          <w:color w:val="auto"/>
        </w:rPr>
      </w:pPr>
    </w:p>
    <w:p>
      <w:pPr>
        <w:jc w:val="both"/>
        <w:ind w:left="140" w:firstLine="638"/>
        <w:spacing w:after="0" w:line="228" w:lineRule="auto"/>
        <w:tabs>
          <w:tab w:leader="none" w:pos="122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Actions After Termination</w:t>
      </w:r>
      <w:r>
        <w:rPr>
          <w:rFonts w:ascii="Arial" w:cs="Arial" w:eastAsia="Arial" w:hAnsi="Arial"/>
          <w:sz w:val="20"/>
          <w:szCs w:val="20"/>
          <w:color w:val="auto"/>
        </w:rPr>
        <w:t>. Executive agrees that for one (1) year following Executive’s termination of employment, regardless of the reason for the termination, Executive will continue to make himself or herself available for reasonable consultation with the Company Group and the Company Group’s agents and employees regarding Executive’s prior work for the Company Group. In addition, Executive shall make himself or herself reasonably available for interviews by the Company Group’s counsel, depositions, and/or appearances before courts or administrative agencies upon the Company Group’s reasonable request. Executive agrees that if at any time following termination Executive is contacted by any government agency, regulator or bureau, by any stock or listing exchange or any self-regulatory organization, or by any customer of the Company Group, with reference to the Company Group’s business, or by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00"/>
          </w:cols>
          <w:pgMar w:left="360" w:top="1440" w:right="439" w:bottom="1440" w:gutter="0" w:footer="0" w:header="0"/>
        </w:sectPr>
      </w:pPr>
    </w:p>
    <w:bookmarkStart w:id="117" w:name="page118"/>
    <w:bookmarkEnd w:id="117"/>
    <w:p>
      <w:pPr>
        <w:spacing w:after="0" w:line="163" w:lineRule="exact"/>
        <w:rPr>
          <w:sz w:val="20"/>
          <w:szCs w:val="20"/>
          <w:color w:val="auto"/>
        </w:rPr>
      </w:pPr>
    </w:p>
    <w:p>
      <w:pPr>
        <w:jc w:val="both"/>
        <w:ind w:left="140"/>
        <w:spacing w:after="0" w:line="233" w:lineRule="auto"/>
        <w:rPr>
          <w:sz w:val="20"/>
          <w:szCs w:val="20"/>
          <w:color w:val="auto"/>
        </w:rPr>
      </w:pPr>
      <w:r>
        <w:rPr>
          <w:rFonts w:ascii="Arial" w:cs="Arial" w:eastAsia="Arial" w:hAnsi="Arial"/>
          <w:sz w:val="20"/>
          <w:szCs w:val="20"/>
          <w:color w:val="auto"/>
        </w:rPr>
        <w:t>contemplating or maintaining any claim or legal action against the Company or LTLLC, or by any agent or attorney of such person, Executive will, to the fullest extent permitted by law, promptly notify the Company Group of the substance of Executive’s communications with such person and shall cooperate with the Company Group in defense of such claim or legal action. The Company Group agrees to reimburse any reasonable third party expenses incurred by Executive in connection with this Section 9, provided that such expenses shall have been preapproved in writing by the Company Group.</w:t>
      </w:r>
    </w:p>
    <w:p>
      <w:pPr>
        <w:spacing w:after="0" w:line="195" w:lineRule="exact"/>
        <w:rPr>
          <w:sz w:val="20"/>
          <w:szCs w:val="20"/>
          <w:color w:val="auto"/>
        </w:rPr>
      </w:pPr>
    </w:p>
    <w:p>
      <w:pPr>
        <w:jc w:val="both"/>
        <w:ind w:left="140" w:firstLine="638"/>
        <w:spacing w:after="0" w:line="230" w:lineRule="auto"/>
        <w:tabs>
          <w:tab w:leader="none" w:pos="121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All payments made under this Agreement shall be subject to the Company Group’s withholding of all required foreign, federal, state and local income and employment/payroll taxes, and all payments shall be net of such tax withholding.</w:t>
      </w:r>
    </w:p>
    <w:p>
      <w:pPr>
        <w:spacing w:after="0" w:line="193" w:lineRule="exact"/>
        <w:rPr>
          <w:rFonts w:ascii="Arial" w:cs="Arial" w:eastAsia="Arial" w:hAnsi="Arial"/>
          <w:sz w:val="21"/>
          <w:szCs w:val="21"/>
          <w:color w:val="auto"/>
        </w:rPr>
      </w:pPr>
    </w:p>
    <w:p>
      <w:pPr>
        <w:jc w:val="both"/>
        <w:ind w:left="140" w:firstLine="638"/>
        <w:spacing w:after="0" w:line="225" w:lineRule="auto"/>
        <w:tabs>
          <w:tab w:leader="none" w:pos="1225"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Recoupment</w:t>
      </w:r>
      <w:r>
        <w:rPr>
          <w:rFonts w:ascii="Arial" w:cs="Arial" w:eastAsia="Arial" w:hAnsi="Arial"/>
          <w:sz w:val="21"/>
          <w:szCs w:val="21"/>
          <w:color w:val="auto"/>
        </w:rPr>
        <w:t>. Notwithstanding anything to the contrary in this Agreement, any payments made or granted pursuant to this Agreement shall be subject to any recoupment or clawback policy that may be adopted by the Company Group from time to time and to any requirement of applicable law, regulation or listing standard that requires the company to recoup or claw back compensation paid.</w:t>
      </w:r>
    </w:p>
    <w:p>
      <w:pPr>
        <w:spacing w:after="0" w:line="180" w:lineRule="exact"/>
        <w:rPr>
          <w:rFonts w:ascii="Arial" w:cs="Arial" w:eastAsia="Arial" w:hAnsi="Arial"/>
          <w:sz w:val="21"/>
          <w:szCs w:val="21"/>
          <w:color w:val="auto"/>
        </w:rPr>
      </w:pPr>
    </w:p>
    <w:p>
      <w:pPr>
        <w:jc w:val="both"/>
        <w:ind w:left="140" w:firstLine="638"/>
        <w:spacing w:after="0" w:line="230" w:lineRule="auto"/>
        <w:tabs>
          <w:tab w:leader="none" w:pos="1225"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From and after a Qualifying Termination, Executive agrees not to disparage the Company Group or any officers, directors, employees, shareholders, parent companies, affiliates or agents of the Company Group (each an “Employer Party”). For purposes of this Section, “disparage” means to make a negative statement in any manner that is intended to be or is likely to be harmful to an Employer Party, its business or business reputation or personal reputation; provided that nothing in this Agreement is intended to prohibit or shall prohibit Executive from providing truthful information or testimony in connection with any legal or regulatory investigation or proceeding. This Agreement shall cover all forms of disparagement, direct or indirect, through any medium or in any venue.</w:t>
      </w:r>
    </w:p>
    <w:p>
      <w:pPr>
        <w:spacing w:after="0" w:line="192" w:lineRule="exact"/>
        <w:rPr>
          <w:rFonts w:ascii="Arial" w:cs="Arial" w:eastAsia="Arial" w:hAnsi="Arial"/>
          <w:sz w:val="20"/>
          <w:szCs w:val="20"/>
          <w:color w:val="auto"/>
        </w:rPr>
      </w:pPr>
    </w:p>
    <w:p>
      <w:pPr>
        <w:jc w:val="both"/>
        <w:ind w:left="140" w:firstLine="638"/>
        <w:spacing w:after="0" w:line="237" w:lineRule="auto"/>
        <w:tabs>
          <w:tab w:leader="none" w:pos="122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Section 280G Limitation</w:t>
      </w:r>
      <w:r>
        <w:rPr>
          <w:rFonts w:ascii="Arial" w:cs="Arial" w:eastAsia="Arial" w:hAnsi="Arial"/>
          <w:sz w:val="19"/>
          <w:szCs w:val="19"/>
          <w:color w:val="auto"/>
        </w:rPr>
        <w:t>. Notwithstanding anything in this Agreement to the contrary, in the event that any payment or benefit received or to be received by Executive (all such payments and benefits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not be deductible (in whole or part) by the Company Group or any affiliates making such payment or providing such benefit as a result of Section 280G of the U.S.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xml:space="preserve">”)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shall first be reduced (if necessary, to zero), and all other Total Payments shall thereafter be reduced (if necessary, to zero) with, in each case, cash payments being reduced before non-cash payments (and, within each category, payments to be paid last being reduced first);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reduction shall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 federal, state and local income taxes on such Total Payments and the amount of the excise tax imposed under Section 4999 of the Code on such unreduced Total Payments). Any determination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100"/>
          </w:cols>
          <w:pgMar w:left="360" w:top="1440" w:right="439" w:bottom="1440" w:gutter="0" w:footer="0" w:header="0"/>
        </w:sectPr>
      </w:pPr>
    </w:p>
    <w:bookmarkStart w:id="118" w:name="page119"/>
    <w:bookmarkEnd w:id="118"/>
    <w:p>
      <w:pPr>
        <w:spacing w:after="0" w:line="163" w:lineRule="exact"/>
        <w:rPr>
          <w:sz w:val="20"/>
          <w:szCs w:val="20"/>
          <w:color w:val="auto"/>
        </w:rPr>
      </w:pPr>
    </w:p>
    <w:p>
      <w:pPr>
        <w:ind w:left="140" w:right="720"/>
        <w:spacing w:after="0" w:line="239" w:lineRule="auto"/>
        <w:rPr>
          <w:sz w:val="20"/>
          <w:szCs w:val="20"/>
          <w:color w:val="auto"/>
        </w:rPr>
      </w:pPr>
      <w:r>
        <w:rPr>
          <w:rFonts w:ascii="Arial" w:cs="Arial" w:eastAsia="Arial" w:hAnsi="Arial"/>
          <w:sz w:val="21"/>
          <w:szCs w:val="21"/>
          <w:color w:val="auto"/>
        </w:rPr>
        <w:t>to be made under this Section shall be made by independent tax counsel reasonably acceptable to both Executive and the Company, and shall be paid for by the Company (“</w:t>
      </w:r>
      <w:r>
        <w:rPr>
          <w:rFonts w:ascii="Arial" w:cs="Arial" w:eastAsia="Arial" w:hAnsi="Arial"/>
          <w:sz w:val="21"/>
          <w:szCs w:val="21"/>
          <w:u w:val="single" w:color="auto"/>
          <w:color w:val="auto"/>
        </w:rPr>
        <w:t>Tax Counsel</w:t>
      </w:r>
      <w:r>
        <w:rPr>
          <w:rFonts w:ascii="Arial" w:cs="Arial" w:eastAsia="Arial" w:hAnsi="Arial"/>
          <w:sz w:val="21"/>
          <w:szCs w:val="21"/>
          <w:color w:val="auto"/>
        </w:rPr>
        <w:t>”).</w:t>
      </w:r>
    </w:p>
    <w:p>
      <w:pPr>
        <w:spacing w:after="0" w:line="195" w:lineRule="exact"/>
        <w:rPr>
          <w:sz w:val="20"/>
          <w:szCs w:val="20"/>
          <w:color w:val="auto"/>
        </w:rPr>
      </w:pPr>
    </w:p>
    <w:p>
      <w:pPr>
        <w:jc w:val="both"/>
        <w:ind w:left="140" w:firstLine="635"/>
        <w:spacing w:after="0"/>
        <w:rPr>
          <w:sz w:val="20"/>
          <w:szCs w:val="20"/>
          <w:color w:val="auto"/>
        </w:rPr>
      </w:pPr>
      <w:r>
        <w:rPr>
          <w:rFonts w:ascii="Arial" w:cs="Arial" w:eastAsia="Arial" w:hAnsi="Arial"/>
          <w:sz w:val="19"/>
          <w:szCs w:val="19"/>
          <w:color w:val="auto"/>
        </w:rPr>
        <w:t>It is possible that, after the determinations and selections made pursuant to the foregoing paragraph, Executive will receive payments and/or benefits that are, in the aggregate, either more or less than the amount determined under such paragraph (hereafter referred to as an “</w:t>
      </w:r>
      <w:r>
        <w:rPr>
          <w:rFonts w:ascii="Arial" w:cs="Arial" w:eastAsia="Arial" w:hAnsi="Arial"/>
          <w:sz w:val="19"/>
          <w:szCs w:val="19"/>
          <w:u w:val="single" w:color="auto"/>
          <w:color w:val="auto"/>
        </w:rPr>
        <w:t>Excess Payment</w:t>
      </w:r>
      <w:r>
        <w:rPr>
          <w:rFonts w:ascii="Arial" w:cs="Arial" w:eastAsia="Arial" w:hAnsi="Arial"/>
          <w:sz w:val="19"/>
          <w:szCs w:val="19"/>
          <w:color w:val="auto"/>
        </w:rPr>
        <w:t>” or “</w:t>
      </w:r>
      <w:r>
        <w:rPr>
          <w:rFonts w:ascii="Arial" w:cs="Arial" w:eastAsia="Arial" w:hAnsi="Arial"/>
          <w:sz w:val="19"/>
          <w:szCs w:val="19"/>
          <w:u w:val="single" w:color="auto"/>
          <w:color w:val="auto"/>
        </w:rPr>
        <w:t>Underpayment</w:t>
      </w:r>
      <w:r>
        <w:rPr>
          <w:rFonts w:ascii="Arial" w:cs="Arial" w:eastAsia="Arial" w:hAnsi="Arial"/>
          <w:sz w:val="19"/>
          <w:szCs w:val="19"/>
          <w:color w:val="auto"/>
        </w:rPr>
        <w:t>”, as applicable). If Tax Counsel determines that an Excess Payment has been made, then Executive shall promptly repay the Excess Payment to the Company, together with interest on the Excess Payment at the applicable federal rate (as defined in section 1274(d) of the Code) from the date of Executive’s receipt of such Excess Payment until the date of such repayment. If Tax Counsel determines that an Underpayment has occurred, the Company Group shall promptly (but in any event within ten (10) days of such determination) pay to Executive an amount equal to the Underpayment, together with interest on such amount at the applicable federal rate from the date such amount would have been paid to Executive had the provisions of the foregoing paragraph not been applied until the date of payment.</w:t>
      </w:r>
    </w:p>
    <w:p>
      <w:pPr>
        <w:spacing w:after="0" w:line="193" w:lineRule="exact"/>
        <w:rPr>
          <w:sz w:val="20"/>
          <w:szCs w:val="20"/>
          <w:color w:val="auto"/>
        </w:rPr>
      </w:pPr>
    </w:p>
    <w:p>
      <w:pPr>
        <w:jc w:val="both"/>
        <w:ind w:left="140" w:firstLine="638"/>
        <w:spacing w:after="0" w:line="235" w:lineRule="auto"/>
        <w:tabs>
          <w:tab w:leader="none" w:pos="122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The Parties intend that any amounts payable hereunder shall comply with or be exempt from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Executive and the Company Group agree to negotiate in good faith to make amendments to the Agreement, as the Parties mutually agree are necessary or desirable to avoid the imposition of taxes, penalties or interest under Section 409A. Neither Executive nor the Company Group shall have the right to accelerate or defer the delivery of any such payments or benefits except (i) where payment may be made within a certain period of time, the timing of payment within such period will be in the sole discretion of the Company Group,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Notwithstanding anything in this Agreement to the contrary, if Executive is considered a “specified employee” under Section 409A upon Executive’s separation from service and if payment of any amounts on account of Executive’s separation from service under this Agreement is required to be delayed for a period of six months after separation from service in order to avoid taxation under Section 409A, payment of such amounts shall be delayed as required by Section 409A, and the accumulated amounts shall be paid in a lump sum payment within five business days after the end of the six-month delay period. If Executive dies during the six-month delay period prior to the payment of benefits, the amounts withheld on account of Section 409A shall be paid to the personal representative of Executive’s estate within 60 days after the date of Executive’s death. For the avoidance of doubt, it is intended that any expense reimbursement made to Executive hereunder shall be exempt from Section 409A. Notwithstanding the foregoing, if any expense reimbursement made hereunder shall be determined to be “deferred compensation” within the meaning of Section 409A, then (i) the amount of the expense reimbursement during one taxable year shall not affect the amount of the expense reimbursement during any other taxable year, (ii) the expense reimbursement shall be made on or before the last day of Executive’s taxable year following the year in which the expense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100"/>
          </w:cols>
          <w:pgMar w:left="360" w:top="1440" w:right="439" w:bottom="1440" w:gutter="0" w:footer="0" w:header="0"/>
        </w:sectPr>
      </w:pPr>
    </w:p>
    <w:bookmarkStart w:id="119" w:name="page120"/>
    <w:bookmarkEnd w:id="119"/>
    <w:p>
      <w:pPr>
        <w:spacing w:after="0" w:line="163" w:lineRule="exact"/>
        <w:rPr>
          <w:sz w:val="20"/>
          <w:szCs w:val="20"/>
          <w:color w:val="auto"/>
        </w:rPr>
      </w:pPr>
    </w:p>
    <w:p>
      <w:pPr>
        <w:jc w:val="both"/>
        <w:ind w:left="140"/>
        <w:spacing w:after="0" w:line="219" w:lineRule="auto"/>
        <w:rPr>
          <w:sz w:val="20"/>
          <w:szCs w:val="20"/>
          <w:color w:val="auto"/>
        </w:rPr>
      </w:pPr>
      <w:r>
        <w:rPr>
          <w:rFonts w:ascii="Arial" w:cs="Arial" w:eastAsia="Arial" w:hAnsi="Arial"/>
          <w:sz w:val="21"/>
          <w:szCs w:val="21"/>
          <w:color w:val="auto"/>
        </w:rPr>
        <w:t>incurred and (iii) the right to expense reimbursement hereunder shall not be subject to liquidation or exchange for another benefit. While it is intended that all payments and benefits provided to Executive under this Agreement will be exempt from or comply with Section 409A, the Company Group makes no representation or covenant to ensure that such payments and benefits are exempt from or compliant with Section 409A. The Company Group will have no liability to Executive or any other party if a payment or benefit under this Agreement or otherwise is challenged by any taxing authority or is ultimately determined not to be exempt or compliant. Executive further understands and agrees that Executive will be entirely responsible for any and all taxes imposed on Executive as a result of this Agreement.</w:t>
      </w:r>
    </w:p>
    <w:p>
      <w:pPr>
        <w:spacing w:after="0" w:line="193" w:lineRule="exact"/>
        <w:rPr>
          <w:sz w:val="20"/>
          <w:szCs w:val="20"/>
          <w:color w:val="auto"/>
        </w:rPr>
      </w:pPr>
    </w:p>
    <w:p>
      <w:pPr>
        <w:jc w:val="both"/>
        <w:ind w:left="140" w:firstLine="638"/>
        <w:spacing w:after="0" w:line="225" w:lineRule="auto"/>
        <w:tabs>
          <w:tab w:leader="none" w:pos="1225"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The Parties represent and agree they will keep the terms of this Agreement completely confidential, and that none of the Parties will hereafter disclose any information concerning the terms of this Agreement to anyone, including, but not limited to, the public, press and media representatives, investors, and any past, present or prospective employee or applicant for employment of the Company Group; provided that:</w:t>
      </w:r>
    </w:p>
    <w:p>
      <w:pPr>
        <w:spacing w:after="0" w:line="194" w:lineRule="exact"/>
        <w:rPr>
          <w:rFonts w:ascii="Arial" w:cs="Arial" w:eastAsia="Arial" w:hAnsi="Arial"/>
          <w:sz w:val="21"/>
          <w:szCs w:val="21"/>
          <w:color w:val="auto"/>
        </w:rPr>
      </w:pPr>
    </w:p>
    <w:p>
      <w:pPr>
        <w:jc w:val="both"/>
        <w:ind w:left="140" w:firstLine="1274"/>
        <w:spacing w:after="0" w:line="230" w:lineRule="auto"/>
        <w:tabs>
          <w:tab w:leader="none" w:pos="1871"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Company Group may disclose the terms of this Agreement to the extent required by applicable securities laws, regulations and interpretations of the Securities and Exchange Commission or the rules of any stock exchange upon which the Company Group’s securities trade;</w:t>
      </w:r>
    </w:p>
    <w:p>
      <w:pPr>
        <w:spacing w:after="0" w:line="180" w:lineRule="exact"/>
        <w:rPr>
          <w:rFonts w:ascii="Arial" w:cs="Arial" w:eastAsia="Arial" w:hAnsi="Arial"/>
          <w:sz w:val="21"/>
          <w:szCs w:val="21"/>
          <w:color w:val="auto"/>
        </w:rPr>
      </w:pPr>
    </w:p>
    <w:p>
      <w:pPr>
        <w:jc w:val="both"/>
        <w:ind w:left="140" w:firstLine="1274"/>
        <w:spacing w:after="0" w:line="242" w:lineRule="auto"/>
        <w:tabs>
          <w:tab w:leader="none" w:pos="1870" w:val="left"/>
        </w:tabs>
        <w:numPr>
          <w:ilvl w:val="1"/>
          <w:numId w:val="63"/>
        </w:numPr>
        <w:rPr>
          <w:rFonts w:ascii="Arial" w:cs="Arial" w:eastAsia="Arial" w:hAnsi="Arial"/>
          <w:sz w:val="20"/>
          <w:szCs w:val="20"/>
          <w:color w:val="auto"/>
        </w:rPr>
      </w:pPr>
      <w:r>
        <w:rPr>
          <w:rFonts w:ascii="Arial" w:cs="Arial" w:eastAsia="Arial" w:hAnsi="Arial"/>
          <w:sz w:val="20"/>
          <w:szCs w:val="20"/>
          <w:color w:val="auto"/>
        </w:rPr>
        <w:t>Executive may disclose information regarding Executive’s wages solely as permitted by under California Labor Code section 232, and information regarding this Agreement to Executive’s immediate family, financial and tax advisors, and legal counsel, but Executive shall be responsible for any disclosure made by such persons in violation hereof;</w:t>
      </w:r>
    </w:p>
    <w:p>
      <w:pPr>
        <w:spacing w:after="0" w:line="192" w:lineRule="exact"/>
        <w:rPr>
          <w:rFonts w:ascii="Arial" w:cs="Arial" w:eastAsia="Arial" w:hAnsi="Arial"/>
          <w:sz w:val="20"/>
          <w:szCs w:val="20"/>
          <w:color w:val="auto"/>
        </w:rPr>
      </w:pPr>
    </w:p>
    <w:p>
      <w:pPr>
        <w:ind w:left="1880" w:hanging="466"/>
        <w:spacing w:after="0"/>
        <w:tabs>
          <w:tab w:leader="none" w:pos="1880"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Company Group may disclose information as is necessary for the administration of the Agreement; and</w:t>
      </w:r>
    </w:p>
    <w:p>
      <w:pPr>
        <w:spacing w:after="0" w:line="245" w:lineRule="exact"/>
        <w:rPr>
          <w:rFonts w:ascii="Arial" w:cs="Arial" w:eastAsia="Arial" w:hAnsi="Arial"/>
          <w:sz w:val="19"/>
          <w:szCs w:val="19"/>
          <w:color w:val="auto"/>
        </w:rPr>
      </w:pPr>
    </w:p>
    <w:p>
      <w:pPr>
        <w:jc w:val="both"/>
        <w:ind w:left="140" w:firstLine="1274"/>
        <w:spacing w:after="0" w:line="230" w:lineRule="auto"/>
        <w:tabs>
          <w:tab w:leader="none" w:pos="1870" w:val="left"/>
        </w:tabs>
        <w:numPr>
          <w:ilvl w:val="1"/>
          <w:numId w:val="63"/>
        </w:numPr>
        <w:rPr>
          <w:rFonts w:ascii="Arial" w:cs="Arial" w:eastAsia="Arial" w:hAnsi="Arial"/>
          <w:sz w:val="21"/>
          <w:szCs w:val="21"/>
          <w:color w:val="auto"/>
        </w:rPr>
      </w:pPr>
      <w:r>
        <w:rPr>
          <w:rFonts w:ascii="Arial" w:cs="Arial" w:eastAsia="Arial" w:hAnsi="Arial"/>
          <w:sz w:val="21"/>
          <w:szCs w:val="21"/>
          <w:color w:val="auto"/>
        </w:rPr>
        <w:t>Any Party may take any action authorized hereby or by law to enforce this Agreement or to recover damages for its breach, and no disclosure incidental thereto or made as a result of legal process (such as, for example, responses to interrogatories, subpoenas or other legal process) shall be deemed a violation hereof.</w:t>
      </w:r>
    </w:p>
    <w:p>
      <w:pPr>
        <w:spacing w:after="0" w:line="180" w:lineRule="exact"/>
        <w:rPr>
          <w:rFonts w:ascii="Arial" w:cs="Arial" w:eastAsia="Arial" w:hAnsi="Arial"/>
          <w:sz w:val="21"/>
          <w:szCs w:val="21"/>
          <w:color w:val="auto"/>
        </w:rPr>
      </w:pPr>
    </w:p>
    <w:p>
      <w:pPr>
        <w:ind w:left="140" w:firstLine="638"/>
        <w:spacing w:after="0" w:line="239" w:lineRule="auto"/>
        <w:tabs>
          <w:tab w:leader="none" w:pos="1225"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Agreement to Arbitrate</w:t>
      </w:r>
      <w:r>
        <w:rPr>
          <w:rFonts w:ascii="Arial" w:cs="Arial" w:eastAsia="Arial" w:hAnsi="Arial"/>
          <w:sz w:val="21"/>
          <w:szCs w:val="21"/>
          <w:color w:val="auto"/>
        </w:rPr>
        <w:t xml:space="preserve">. The Parties agree to resolve all disputes with each other as set forth the Executive Dispute Resolution Agreement that is attached hereto as </w:t>
      </w:r>
      <w:r>
        <w:rPr>
          <w:rFonts w:ascii="Arial" w:cs="Arial" w:eastAsia="Arial" w:hAnsi="Arial"/>
          <w:sz w:val="21"/>
          <w:szCs w:val="21"/>
          <w:u w:val="single" w:color="auto"/>
          <w:color w:val="auto"/>
        </w:rPr>
        <w:t>Exhibit 3</w:t>
      </w:r>
      <w:r>
        <w:rPr>
          <w:rFonts w:ascii="Arial" w:cs="Arial" w:eastAsia="Arial" w:hAnsi="Arial"/>
          <w:sz w:val="21"/>
          <w:szCs w:val="21"/>
          <w:color w:val="auto"/>
        </w:rPr>
        <w:t xml:space="preserve"> and incorporated herein by reference.</w:t>
      </w:r>
    </w:p>
    <w:p>
      <w:pPr>
        <w:spacing w:after="0" w:line="194" w:lineRule="exact"/>
        <w:rPr>
          <w:rFonts w:ascii="Arial" w:cs="Arial" w:eastAsia="Arial" w:hAnsi="Arial"/>
          <w:sz w:val="21"/>
          <w:szCs w:val="21"/>
          <w:color w:val="auto"/>
        </w:rPr>
      </w:pPr>
    </w:p>
    <w:p>
      <w:pPr>
        <w:jc w:val="both"/>
        <w:ind w:left="140" w:firstLine="638"/>
        <w:spacing w:after="0" w:line="230" w:lineRule="auto"/>
        <w:tabs>
          <w:tab w:leader="none" w:pos="1225"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This Agreement is personal in its nature and none of the Parties hereto may, without the consent of the others, assign or transfer this Agreement or any rights or obligations hereunder; provided that, in the event of a merger, consolidation, transfer, reorganization, or sale of all, substantially all or a substantial portion of the assets of the Company or LTLLC with or to any other individual or entity, this Agreement will, subject to the provisions hereof, be binding upon and inure to the benefit of such successor and such successor (including the Company upon assignment of this Agreement) must discharge and perform all the promises, covenants, duties, and obligations of the Company Group hereunder, and all references herein to the “Company” or “LTLLC” or “Company Group” will refer to such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00"/>
          </w:cols>
          <w:pgMar w:left="360" w:top="1440" w:right="439" w:bottom="1440" w:gutter="0" w:footer="0" w:header="0"/>
        </w:sectPr>
      </w:pPr>
    </w:p>
    <w:bookmarkStart w:id="120" w:name="page121"/>
    <w:bookmarkEnd w:id="120"/>
    <w:p>
      <w:pPr>
        <w:spacing w:after="0" w:line="163" w:lineRule="exact"/>
        <w:rPr>
          <w:sz w:val="20"/>
          <w:szCs w:val="20"/>
          <w:color w:val="auto"/>
        </w:rPr>
      </w:pPr>
    </w:p>
    <w:p>
      <w:pPr>
        <w:jc w:val="both"/>
        <w:ind w:left="140" w:firstLine="638"/>
        <w:spacing w:after="0" w:line="225" w:lineRule="auto"/>
        <w:tabs>
          <w:tab w:leader="none" w:pos="1225"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under this Agreement shall be in writing and shall be given by first-class mail, certified or registered with return receipt requested or by hand delivery, or by overnight delivery by a national recognized carrier, in each case to the applicable address set forth below, and any such notice is deemed effectively given which received by recipient (or if receipt is refused by recipient, when so refused):</w:t>
      </w:r>
    </w:p>
    <w:p>
      <w:pPr>
        <w:sectPr>
          <w:pgSz w:w="11900" w:h="16838" w:orient="portrait"/>
          <w:cols w:equalWidth="0" w:num="1">
            <w:col w:w="11100"/>
          </w:cols>
          <w:pgMar w:left="360" w:top="1440" w:right="439" w:bottom="1440" w:gutter="0" w:footer="0" w:header="0"/>
        </w:sectPr>
      </w:pPr>
    </w:p>
    <w:p>
      <w:pPr>
        <w:spacing w:after="0" w:line="27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LendingTree, Inc. 11115 Rushmore Dr.</w:t>
      </w:r>
    </w:p>
    <w:p>
      <w:pPr>
        <w:spacing w:after="0" w:line="52" w:lineRule="exact"/>
        <w:rPr>
          <w:sz w:val="20"/>
          <w:szCs w:val="20"/>
          <w:color w:val="auto"/>
        </w:rPr>
      </w:pPr>
    </w:p>
    <w:p>
      <w:pPr>
        <w:sectPr>
          <w:pgSz w:w="11900" w:h="16838" w:orient="portrait"/>
          <w:cols w:equalWidth="0" w:num="2">
            <w:col w:w="2040" w:space="720"/>
            <w:col w:w="8340"/>
          </w:cols>
          <w:pgMar w:left="360" w:top="1440" w:right="439" w:bottom="1440" w:gutter="0" w:footer="0" w:header="0"/>
          <w:type w:val="continuous"/>
        </w:sectPr>
      </w:pPr>
    </w:p>
    <w:p>
      <w:pPr>
        <w:ind w:left="260"/>
        <w:spacing w:after="0"/>
        <w:rPr>
          <w:sz w:val="20"/>
          <w:szCs w:val="20"/>
          <w:color w:val="auto"/>
        </w:rPr>
      </w:pPr>
      <w:r>
        <w:rPr>
          <w:rFonts w:ascii="Arial" w:cs="Arial" w:eastAsia="Arial" w:hAnsi="Arial"/>
          <w:sz w:val="19"/>
          <w:szCs w:val="19"/>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Charlotte, NC 28277 Attn: General</w:t>
      </w:r>
    </w:p>
    <w:p>
      <w:pPr>
        <w:spacing w:after="0" w:line="33" w:lineRule="exact"/>
        <w:rPr>
          <w:sz w:val="20"/>
          <w:szCs w:val="20"/>
          <w:color w:val="auto"/>
        </w:rPr>
      </w:pPr>
    </w:p>
    <w:p>
      <w:pPr>
        <w:sectPr>
          <w:pgSz w:w="11900" w:h="16838" w:orient="portrait"/>
          <w:cols w:equalWidth="0" w:num="2">
            <w:col w:w="2040" w:space="720"/>
            <w:col w:w="8340"/>
          </w:cols>
          <w:pgMar w:left="360" w:top="1440" w:right="439" w:bottom="1440" w:gutter="0" w:footer="0" w:header="0"/>
          <w:type w:val="continuous"/>
        </w:sectPr>
      </w:pPr>
    </w:p>
    <w:p>
      <w:pPr>
        <w:ind w:left="2760"/>
        <w:spacing w:after="0"/>
        <w:rPr>
          <w:sz w:val="20"/>
          <w:szCs w:val="20"/>
          <w:color w:val="auto"/>
        </w:rPr>
      </w:pPr>
      <w:r>
        <w:rPr>
          <w:rFonts w:ascii="Arial" w:cs="Arial" w:eastAsia="Arial" w:hAnsi="Arial"/>
          <w:sz w:val="18"/>
          <w:szCs w:val="18"/>
          <w:color w:val="auto"/>
        </w:rPr>
        <w:t>Counsel</w:t>
      </w:r>
    </w:p>
    <w:p>
      <w:pPr>
        <w:sectPr>
          <w:pgSz w:w="11900" w:h="16838" w:orient="portrait"/>
          <w:cols w:equalWidth="0" w:num="1">
            <w:col w:w="11100"/>
          </w:cols>
          <w:pgMar w:left="360" w:top="1440" w:right="439" w:bottom="1440" w:gutter="0" w:footer="0" w:header="0"/>
          <w:type w:val="continuous"/>
        </w:sectPr>
      </w:pPr>
    </w:p>
    <w:p>
      <w:pPr>
        <w:spacing w:after="0" w:line="15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If to Executive: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At the most recent address for Executive on file with the Company Group.</w:t>
      </w:r>
    </w:p>
    <w:p>
      <w:pPr>
        <w:spacing w:after="0" w:line="200" w:lineRule="exact"/>
        <w:rPr>
          <w:sz w:val="20"/>
          <w:szCs w:val="20"/>
          <w:color w:val="auto"/>
        </w:rPr>
      </w:pPr>
    </w:p>
    <w:p>
      <w:pPr>
        <w:sectPr>
          <w:pgSz w:w="11900" w:h="16838" w:orient="portrait"/>
          <w:cols w:equalWidth="0" w:num="2">
            <w:col w:w="2040" w:space="720"/>
            <w:col w:w="8340"/>
          </w:cols>
          <w:pgMar w:left="360" w:top="1440" w:right="439" w:bottom="1440" w:gutter="0" w:footer="0" w:header="0"/>
          <w:type w:val="continuous"/>
        </w:sectPr>
      </w:pPr>
    </w:p>
    <w:p>
      <w:pPr>
        <w:spacing w:after="0" w:line="191" w:lineRule="exact"/>
        <w:rPr>
          <w:sz w:val="20"/>
          <w:szCs w:val="20"/>
          <w:color w:val="auto"/>
        </w:rPr>
      </w:pPr>
    </w:p>
    <w:p>
      <w:pPr>
        <w:ind w:left="140"/>
        <w:spacing w:after="0"/>
        <w:rPr>
          <w:sz w:val="20"/>
          <w:szCs w:val="20"/>
          <w:color w:val="auto"/>
        </w:rPr>
      </w:pPr>
      <w:r>
        <w:rPr>
          <w:rFonts w:ascii="Arial" w:cs="Arial" w:eastAsia="Arial" w:hAnsi="Arial"/>
          <w:sz w:val="21"/>
          <w:szCs w:val="21"/>
          <w:color w:val="auto"/>
        </w:rPr>
        <w:t>Any Party may change such Party’s address for notices by notice duly given pursuant hereto.</w:t>
      </w:r>
    </w:p>
    <w:p>
      <w:pPr>
        <w:spacing w:after="0" w:line="222" w:lineRule="exact"/>
        <w:rPr>
          <w:sz w:val="20"/>
          <w:szCs w:val="20"/>
          <w:color w:val="auto"/>
        </w:rPr>
      </w:pPr>
    </w:p>
    <w:p>
      <w:pPr>
        <w:jc w:val="both"/>
        <w:ind w:left="140" w:firstLine="638"/>
        <w:spacing w:after="0" w:line="219" w:lineRule="auto"/>
        <w:tabs>
          <w:tab w:leader="none" w:pos="122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Invalid Provisions.</w:t>
      </w:r>
      <w:r>
        <w:rPr>
          <w:rFonts w:ascii="Arial" w:cs="Arial" w:eastAsia="Arial" w:hAnsi="Arial"/>
          <w:sz w:val="21"/>
          <w:szCs w:val="21"/>
          <w:color w:val="auto"/>
        </w:rPr>
        <w:t xml:space="preserve"> It is not the intention of any Party to violate any public policy, or any statutory or common law. If any sentence, paragraph, clause or combination of the same in this Agreement is in violation of the law of any State where applicable, such sentence, paragraph, clause or combination of the same shall be void in the jurisdictions where it is unlawful, and the remainder of the Agreement shall remain binding on the Parties. However, the Parties agree, and it is their desire that a court should substitute for each such illegal, invalid or unenforceable covenant a reasonable and judicially-enforceable limitation in its place, and that as so modified the covenant shall be as fully enforceable as if set forth herein by the Parties themselves in the modified form.</w:t>
      </w:r>
    </w:p>
    <w:p>
      <w:pPr>
        <w:spacing w:after="0" w:line="180" w:lineRule="exact"/>
        <w:rPr>
          <w:rFonts w:ascii="Arial" w:cs="Arial" w:eastAsia="Arial" w:hAnsi="Arial"/>
          <w:sz w:val="21"/>
          <w:szCs w:val="21"/>
          <w:color w:val="auto"/>
        </w:rPr>
      </w:pPr>
    </w:p>
    <w:p>
      <w:pPr>
        <w:ind w:left="140" w:right="20" w:firstLine="638"/>
        <w:spacing w:after="0" w:line="239" w:lineRule="auto"/>
        <w:tabs>
          <w:tab w:leader="none" w:pos="122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Multiple Counterparts</w:t>
      </w:r>
      <w:r>
        <w:rPr>
          <w:rFonts w:ascii="Arial" w:cs="Arial" w:eastAsia="Arial" w:hAnsi="Arial"/>
          <w:sz w:val="21"/>
          <w:szCs w:val="21"/>
          <w:color w:val="auto"/>
        </w:rPr>
        <w:t>. This Agreement may be executed in two or more counterparts, each of which will be deemed an original, but all of which together shall constitute one and the same instrument.</w:t>
      </w:r>
    </w:p>
    <w:p>
      <w:pPr>
        <w:spacing w:after="0" w:line="194" w:lineRule="exact"/>
        <w:rPr>
          <w:rFonts w:ascii="Arial" w:cs="Arial" w:eastAsia="Arial" w:hAnsi="Arial"/>
          <w:sz w:val="21"/>
          <w:szCs w:val="21"/>
          <w:color w:val="auto"/>
        </w:rPr>
      </w:pPr>
    </w:p>
    <w:p>
      <w:pPr>
        <w:jc w:val="both"/>
        <w:ind w:left="140" w:firstLine="638"/>
        <w:spacing w:after="0" w:line="225" w:lineRule="auto"/>
        <w:tabs>
          <w:tab w:leader="none" w:pos="122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Upon any termination of this Agreement or of Executive’s employment, the provisions of Sections 5, 7, and 10 through 23 of this Exhibit A to the Agreement, the General Release (Exhibit 1), the Confidentiality Agreement (Exhibit 2), and the Executive Dispute Resolution Agreement (Exhibit 3) shall survive to the extent necessary to give effect to the provisions thereof.</w:t>
      </w:r>
    </w:p>
    <w:p>
      <w:pPr>
        <w:spacing w:after="0" w:line="194" w:lineRule="exact"/>
        <w:rPr>
          <w:rFonts w:ascii="Arial" w:cs="Arial" w:eastAsia="Arial" w:hAnsi="Arial"/>
          <w:sz w:val="21"/>
          <w:szCs w:val="21"/>
          <w:color w:val="auto"/>
        </w:rPr>
      </w:pPr>
    </w:p>
    <w:p>
      <w:pPr>
        <w:jc w:val="both"/>
        <w:ind w:left="140" w:firstLine="638"/>
        <w:spacing w:after="0" w:line="244" w:lineRule="auto"/>
        <w:tabs>
          <w:tab w:leader="none" w:pos="122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 The validity, construction, interpretation and enforceability of this Agreement and any dispute arising hereunder shall be determined and governed by the laws of the state in which the principal office from which Executive conducts Executive’s principal activities is located at the time of Executive’s termination of employment or at the time the dispute arises if prior to termination of employment (“Applicable State”). Any litigation in court permitted under this Agreement shall be brought by any Party exclusively in the Applicable State. In addition, and to the extent permitted by the law of the Applicable State, the Parties irrevocably waive any right to a trial by jury in any such action related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100"/>
          </w:cols>
          <w:pgMar w:left="360" w:top="1440" w:right="439" w:bottom="1440" w:gutter="0" w:footer="0" w:header="0"/>
          <w:type w:val="continuous"/>
        </w:sectPr>
      </w:pPr>
    </w:p>
    <w:bookmarkStart w:id="121" w:name="page122"/>
    <w:bookmarkEnd w:id="121"/>
    <w:p>
      <w:pPr>
        <w:spacing w:after="0" w:line="163" w:lineRule="exact"/>
        <w:rPr>
          <w:sz w:val="20"/>
          <w:szCs w:val="20"/>
          <w:color w:val="auto"/>
        </w:rPr>
      </w:pPr>
    </w:p>
    <w:p>
      <w:pPr>
        <w:ind w:left="140" w:firstLine="635"/>
        <w:spacing w:after="0" w:line="239" w:lineRule="auto"/>
        <w:rPr>
          <w:sz w:val="20"/>
          <w:szCs w:val="20"/>
          <w:color w:val="auto"/>
        </w:rPr>
      </w:pPr>
      <w:r>
        <w:rPr>
          <w:rFonts w:ascii="Arial" w:cs="Arial" w:eastAsia="Arial" w:hAnsi="Arial"/>
          <w:sz w:val="21"/>
          <w:szCs w:val="21"/>
          <w:color w:val="auto"/>
        </w:rPr>
        <w:t>IN WITNESS WHEREOF, the Parties hereto have executed and delivered these Additional Terms and Conditions of Employment Agreement as of the date(s) written below.</w:t>
      </w:r>
    </w:p>
    <w:p>
      <w:pPr>
        <w:spacing w:after="0" w:line="195" w:lineRule="exact"/>
        <w:rPr>
          <w:sz w:val="20"/>
          <w:szCs w:val="20"/>
          <w:color w:val="auto"/>
        </w:rPr>
      </w:pPr>
    </w:p>
    <w:tbl>
      <w:tblPr>
        <w:tblLayout w:type="fixed"/>
        <w:tblInd w:w="3960" w:type="dxa"/>
        <w:tblCellMar>
          <w:top w:w="0" w:type="dxa"/>
          <w:left w:w="0" w:type="dxa"/>
          <w:bottom w:w="0" w:type="dxa"/>
          <w:right w:w="0" w:type="dxa"/>
        </w:tblCellMar>
      </w:tblPr>
      <w:tr>
        <w:trPr>
          <w:trHeight w:val="271"/>
        </w:trPr>
        <w:tc>
          <w:tcPr>
            <w:tcW w:w="3040" w:type="dxa"/>
            <w:vAlign w:val="bottom"/>
            <w:gridSpan w:val="3"/>
          </w:tcPr>
          <w:p>
            <w:pPr>
              <w:spacing w:after="0"/>
              <w:rPr>
                <w:sz w:val="20"/>
                <w:szCs w:val="20"/>
                <w:color w:val="auto"/>
              </w:rPr>
            </w:pPr>
            <w:r>
              <w:rPr>
                <w:rFonts w:ascii="Arial" w:cs="Arial" w:eastAsia="Arial" w:hAnsi="Arial"/>
                <w:sz w:val="21"/>
                <w:szCs w:val="21"/>
                <w:color w:val="auto"/>
              </w:rPr>
              <w:t>LENDINGTREE, INC.</w:t>
            </w:r>
          </w:p>
        </w:tc>
        <w:tc>
          <w:tcPr>
            <w:tcW w:w="2220" w:type="dxa"/>
            <w:vAlign w:val="bottom"/>
          </w:tcPr>
          <w:p>
            <w:pPr>
              <w:spacing w:after="0"/>
              <w:rPr>
                <w:sz w:val="23"/>
                <w:szCs w:val="23"/>
                <w:color w:val="auto"/>
              </w:rPr>
            </w:pPr>
          </w:p>
        </w:tc>
      </w:tr>
      <w:tr>
        <w:trPr>
          <w:trHeight w:val="559"/>
        </w:trPr>
        <w:tc>
          <w:tcPr>
            <w:tcW w:w="520" w:type="dxa"/>
            <w:vAlign w:val="bottom"/>
          </w:tcPr>
          <w:p>
            <w:pPr>
              <w:spacing w:after="0"/>
              <w:rPr>
                <w:sz w:val="20"/>
                <w:szCs w:val="20"/>
                <w:color w:val="auto"/>
              </w:rPr>
            </w:pPr>
            <w:r>
              <w:rPr>
                <w:rFonts w:ascii="Arial" w:cs="Arial" w:eastAsia="Arial" w:hAnsi="Arial"/>
                <w:sz w:val="21"/>
                <w:szCs w:val="21"/>
                <w:color w:val="auto"/>
              </w:rPr>
              <w:t>By:</w:t>
            </w:r>
          </w:p>
        </w:tc>
        <w:tc>
          <w:tcPr>
            <w:tcW w:w="252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/s/ DOUGLAS R. LEBDA</w:t>
            </w:r>
          </w:p>
        </w:tc>
        <w:tc>
          <w:tcPr>
            <w:tcW w:w="2220" w:type="dxa"/>
            <w:vAlign w:val="bottom"/>
          </w:tcPr>
          <w:p>
            <w:pPr>
              <w:ind w:left="60"/>
              <w:spacing w:after="0"/>
              <w:rPr>
                <w:sz w:val="20"/>
                <w:szCs w:val="20"/>
                <w:color w:val="auto"/>
              </w:rPr>
            </w:pPr>
            <w:r>
              <w:rPr>
                <w:rFonts w:ascii="Arial" w:cs="Arial" w:eastAsia="Arial" w:hAnsi="Arial"/>
                <w:sz w:val="21"/>
                <w:szCs w:val="21"/>
                <w:color w:val="auto"/>
                <w:w w:val="90"/>
              </w:rPr>
              <w:t>Name: Douglas R. Lebda</w:t>
            </w:r>
          </w:p>
        </w:tc>
      </w:tr>
      <w:tr>
        <w:trPr>
          <w:trHeight w:val="388"/>
        </w:trPr>
        <w:tc>
          <w:tcPr>
            <w:tcW w:w="5260" w:type="dxa"/>
            <w:vAlign w:val="bottom"/>
            <w:gridSpan w:val="4"/>
          </w:tcPr>
          <w:p>
            <w:pPr>
              <w:spacing w:after="0"/>
              <w:rPr>
                <w:sz w:val="20"/>
                <w:szCs w:val="20"/>
                <w:color w:val="auto"/>
              </w:rPr>
            </w:pPr>
            <w:r>
              <w:rPr>
                <w:rFonts w:ascii="Arial" w:cs="Arial" w:eastAsia="Arial" w:hAnsi="Arial"/>
                <w:sz w:val="21"/>
                <w:szCs w:val="21"/>
                <w:color w:val="auto"/>
              </w:rPr>
              <w:t>Title:  Chief Executive Officer LENDINGTREE, LLC</w:t>
            </w:r>
          </w:p>
        </w:tc>
      </w:tr>
      <w:tr>
        <w:trPr>
          <w:trHeight w:val="479"/>
        </w:trPr>
        <w:tc>
          <w:tcPr>
            <w:tcW w:w="520" w:type="dxa"/>
            <w:vAlign w:val="bottom"/>
          </w:tcPr>
          <w:p>
            <w:pPr>
              <w:spacing w:after="0"/>
              <w:rPr>
                <w:sz w:val="20"/>
                <w:szCs w:val="20"/>
                <w:color w:val="auto"/>
              </w:rPr>
            </w:pPr>
            <w:r>
              <w:rPr>
                <w:rFonts w:ascii="Arial" w:cs="Arial" w:eastAsia="Arial" w:hAnsi="Arial"/>
                <w:sz w:val="21"/>
                <w:szCs w:val="21"/>
                <w:color w:val="auto"/>
              </w:rPr>
              <w:t>By:</w:t>
            </w:r>
          </w:p>
        </w:tc>
        <w:tc>
          <w:tcPr>
            <w:tcW w:w="252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/s/ DOUGLAS R. LEBDA</w:t>
            </w:r>
          </w:p>
        </w:tc>
        <w:tc>
          <w:tcPr>
            <w:tcW w:w="2220" w:type="dxa"/>
            <w:vAlign w:val="bottom"/>
          </w:tcPr>
          <w:p>
            <w:pPr>
              <w:ind w:left="60"/>
              <w:spacing w:after="0"/>
              <w:rPr>
                <w:sz w:val="20"/>
                <w:szCs w:val="20"/>
                <w:color w:val="auto"/>
              </w:rPr>
            </w:pPr>
            <w:r>
              <w:rPr>
                <w:rFonts w:ascii="Arial" w:cs="Arial" w:eastAsia="Arial" w:hAnsi="Arial"/>
                <w:sz w:val="21"/>
                <w:szCs w:val="21"/>
                <w:color w:val="auto"/>
                <w:w w:val="90"/>
              </w:rPr>
              <w:t>Name: Douglas R. Lebda</w:t>
            </w:r>
          </w:p>
        </w:tc>
      </w:tr>
      <w:tr>
        <w:trPr>
          <w:trHeight w:val="388"/>
        </w:trPr>
        <w:tc>
          <w:tcPr>
            <w:tcW w:w="5260" w:type="dxa"/>
            <w:vAlign w:val="bottom"/>
            <w:gridSpan w:val="4"/>
          </w:tcPr>
          <w:p>
            <w:pPr>
              <w:spacing w:after="0"/>
              <w:rPr>
                <w:sz w:val="20"/>
                <w:szCs w:val="20"/>
                <w:color w:val="auto"/>
              </w:rPr>
            </w:pPr>
            <w:r>
              <w:rPr>
                <w:rFonts w:ascii="Arial" w:cs="Arial" w:eastAsia="Arial" w:hAnsi="Arial"/>
                <w:sz w:val="21"/>
                <w:szCs w:val="21"/>
                <w:color w:val="auto"/>
              </w:rPr>
              <w:t>Title:  Chief Executive Officer EXECUTIVE</w:t>
            </w:r>
          </w:p>
        </w:tc>
      </w:tr>
      <w:tr>
        <w:trPr>
          <w:trHeight w:val="466"/>
        </w:trPr>
        <w:tc>
          <w:tcPr>
            <w:tcW w:w="520" w:type="dxa"/>
            <w:vAlign w:val="bottom"/>
          </w:tcPr>
          <w:p>
            <w:pPr>
              <w:spacing w:after="0"/>
              <w:rPr>
                <w:sz w:val="20"/>
                <w:szCs w:val="20"/>
                <w:color w:val="auto"/>
              </w:rPr>
            </w:pPr>
            <w:r>
              <w:rPr>
                <w:rFonts w:ascii="Arial" w:cs="Arial" w:eastAsia="Arial" w:hAnsi="Arial"/>
                <w:sz w:val="21"/>
                <w:szCs w:val="21"/>
                <w:color w:val="auto"/>
              </w:rPr>
              <w:t>By:</w:t>
            </w:r>
          </w:p>
        </w:tc>
        <w:tc>
          <w:tcPr>
            <w:tcW w:w="4740" w:type="dxa"/>
            <w:vAlign w:val="bottom"/>
            <w:gridSpan w:val="3"/>
          </w:tcPr>
          <w:p>
            <w:pPr>
              <w:ind w:left="60"/>
              <w:spacing w:after="0"/>
              <w:rPr>
                <w:sz w:val="20"/>
                <w:szCs w:val="20"/>
                <w:color w:val="auto"/>
              </w:rPr>
            </w:pPr>
            <w:r>
              <w:rPr>
                <w:rFonts w:ascii="Arial" w:cs="Arial" w:eastAsia="Arial" w:hAnsi="Arial"/>
                <w:sz w:val="21"/>
                <w:szCs w:val="21"/>
                <w:color w:val="auto"/>
              </w:rPr>
              <w:t>/s/ JILL OLMSTEAD   Name: Jill Olmstead</w:t>
            </w:r>
          </w:p>
        </w:tc>
      </w:tr>
      <w:tr>
        <w:trPr>
          <w:trHeight w:val="264"/>
        </w:trPr>
        <w:tc>
          <w:tcPr>
            <w:tcW w:w="520" w:type="dxa"/>
            <w:vAlign w:val="bottom"/>
          </w:tcPr>
          <w:p>
            <w:pPr>
              <w:spacing w:after="0"/>
              <w:rPr>
                <w:sz w:val="20"/>
                <w:szCs w:val="20"/>
                <w:color w:val="auto"/>
              </w:rPr>
            </w:pPr>
            <w:r>
              <w:rPr>
                <w:rFonts w:ascii="Arial" w:cs="Arial" w:eastAsia="Arial" w:hAnsi="Arial"/>
                <w:sz w:val="21"/>
                <w:szCs w:val="21"/>
                <w:color w:val="auto"/>
              </w:rPr>
              <w:t>Title:</w:t>
            </w:r>
          </w:p>
        </w:tc>
        <w:tc>
          <w:tcPr>
            <w:tcW w:w="2140" w:type="dxa"/>
            <w:vAlign w:val="bottom"/>
            <w:tcBorders>
              <w:top w:val="single" w:sz="8" w:color="auto"/>
            </w:tcBorders>
          </w:tcPr>
          <w:p>
            <w:pPr>
              <w:ind w:left="140"/>
              <w:spacing w:after="0"/>
              <w:rPr>
                <w:sz w:val="20"/>
                <w:szCs w:val="20"/>
                <w:color w:val="auto"/>
              </w:rPr>
            </w:pPr>
            <w:r>
              <w:rPr>
                <w:rFonts w:ascii="Arial" w:cs="Arial" w:eastAsia="Arial" w:hAnsi="Arial"/>
                <w:sz w:val="21"/>
                <w:szCs w:val="21"/>
                <w:color w:val="auto"/>
                <w:w w:val="86"/>
              </w:rPr>
              <w:t>Chief Human Resources</w:t>
            </w:r>
          </w:p>
        </w:tc>
        <w:tc>
          <w:tcPr>
            <w:tcW w:w="2600" w:type="dxa"/>
            <w:vAlign w:val="bottom"/>
            <w:gridSpan w:val="2"/>
          </w:tcPr>
          <w:p>
            <w:pPr>
              <w:ind w:left="120"/>
              <w:spacing w:after="0"/>
              <w:rPr>
                <w:sz w:val="20"/>
                <w:szCs w:val="20"/>
                <w:color w:val="auto"/>
              </w:rPr>
            </w:pPr>
            <w:r>
              <w:rPr>
                <w:rFonts w:ascii="Arial" w:cs="Arial" w:eastAsia="Arial" w:hAnsi="Arial"/>
                <w:sz w:val="21"/>
                <w:szCs w:val="2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680"/>
          </w:cols>
          <w:pgMar w:left="360" w:top="1440" w:right="859" w:bottom="1440" w:gutter="0" w:footer="0" w:header="0"/>
        </w:sectPr>
      </w:pPr>
    </w:p>
    <w:bookmarkStart w:id="122" w:name="page123"/>
    <w:bookmarkEnd w:id="122"/>
    <w:p>
      <w:pPr>
        <w:spacing w:after="0" w:line="170" w:lineRule="exact"/>
        <w:rPr>
          <w:sz w:val="20"/>
          <w:szCs w:val="20"/>
          <w:color w:val="auto"/>
        </w:rPr>
      </w:pPr>
    </w:p>
    <w:p>
      <w:pPr>
        <w:jc w:val="center"/>
        <w:ind w:right="-1060"/>
        <w:spacing w:after="0"/>
        <w:rPr>
          <w:sz w:val="20"/>
          <w:szCs w:val="20"/>
          <w:color w:val="auto"/>
        </w:rPr>
      </w:pPr>
      <w:r>
        <w:rPr>
          <w:rFonts w:ascii="Arial" w:cs="Arial" w:eastAsia="Arial" w:hAnsi="Arial"/>
          <w:sz w:val="21"/>
          <w:szCs w:val="21"/>
          <w:b w:val="1"/>
          <w:bCs w:val="1"/>
          <w:u w:val="single" w:color="auto"/>
          <w:color w:val="auto"/>
        </w:rPr>
        <w:t>Exhibit 1</w:t>
      </w:r>
    </w:p>
    <w:p>
      <w:pPr>
        <w:spacing w:after="0" w:line="209"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General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099"/>
          </w:cols>
          <w:pgMar w:left="360" w:top="1440" w:right="1440" w:bottom="1440" w:gutter="0" w:footer="0" w:header="0"/>
        </w:sectPr>
      </w:pPr>
    </w:p>
    <w:bookmarkStart w:id="123" w:name="page124"/>
    <w:bookmarkEnd w:id="123"/>
    <w:p>
      <w:pPr>
        <w:spacing w:after="0" w:line="170" w:lineRule="exact"/>
        <w:rPr>
          <w:sz w:val="20"/>
          <w:szCs w:val="20"/>
          <w:color w:val="auto"/>
        </w:rPr>
      </w:pPr>
    </w:p>
    <w:p>
      <w:pPr>
        <w:jc w:val="center"/>
        <w:ind w:right="-1060"/>
        <w:spacing w:after="0"/>
        <w:rPr>
          <w:sz w:val="20"/>
          <w:szCs w:val="20"/>
          <w:color w:val="auto"/>
        </w:rPr>
      </w:pPr>
      <w:r>
        <w:rPr>
          <w:rFonts w:ascii="Arial" w:cs="Arial" w:eastAsia="Arial" w:hAnsi="Arial"/>
          <w:sz w:val="21"/>
          <w:szCs w:val="21"/>
          <w:b w:val="1"/>
          <w:bCs w:val="1"/>
          <w:u w:val="single" w:color="auto"/>
          <w:color w:val="auto"/>
        </w:rPr>
        <w:t>Exhibit 2</w:t>
      </w:r>
    </w:p>
    <w:p>
      <w:pPr>
        <w:spacing w:after="0" w:line="209" w:lineRule="exact"/>
        <w:rPr>
          <w:sz w:val="20"/>
          <w:szCs w:val="20"/>
          <w:color w:val="auto"/>
        </w:rPr>
      </w:pPr>
    </w:p>
    <w:p>
      <w:pPr>
        <w:jc w:val="center"/>
        <w:ind w:right="-1060"/>
        <w:spacing w:after="0"/>
        <w:rPr>
          <w:sz w:val="20"/>
          <w:szCs w:val="20"/>
          <w:color w:val="auto"/>
        </w:rPr>
      </w:pPr>
      <w:r>
        <w:rPr>
          <w:rFonts w:ascii="Arial" w:cs="Arial" w:eastAsia="Arial" w:hAnsi="Arial"/>
          <w:sz w:val="19"/>
          <w:szCs w:val="19"/>
          <w:b w:val="1"/>
          <w:bCs w:val="1"/>
          <w:color w:val="auto"/>
        </w:rPr>
        <w:t>Confidentiality, Work Product and Restrictive Covenant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099"/>
          </w:cols>
          <w:pgMar w:left="360" w:top="1440" w:right="1440" w:bottom="1440" w:gutter="0" w:footer="0" w:header="0"/>
        </w:sectPr>
      </w:pPr>
    </w:p>
    <w:bookmarkStart w:id="124" w:name="page125"/>
    <w:bookmarkEnd w:id="124"/>
    <w:p>
      <w:pPr>
        <w:spacing w:after="0" w:line="170" w:lineRule="exact"/>
        <w:rPr>
          <w:sz w:val="20"/>
          <w:szCs w:val="20"/>
          <w:color w:val="auto"/>
        </w:rPr>
      </w:pPr>
    </w:p>
    <w:p>
      <w:pPr>
        <w:jc w:val="center"/>
        <w:ind w:right="-1080"/>
        <w:spacing w:after="0"/>
        <w:rPr>
          <w:sz w:val="20"/>
          <w:szCs w:val="20"/>
          <w:color w:val="auto"/>
        </w:rPr>
      </w:pPr>
      <w:r>
        <w:rPr>
          <w:rFonts w:ascii="Arial" w:cs="Arial" w:eastAsia="Arial" w:hAnsi="Arial"/>
          <w:sz w:val="21"/>
          <w:szCs w:val="21"/>
          <w:b w:val="1"/>
          <w:bCs w:val="1"/>
          <w:u w:val="single" w:color="auto"/>
          <w:color w:val="auto"/>
        </w:rPr>
        <w:t>Exhibit 3</w:t>
      </w:r>
    </w:p>
    <w:p>
      <w:pPr>
        <w:spacing w:after="0" w:line="209"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Executive Dispute Resolution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0099"/>
          </w:cols>
          <w:pgMar w:left="360" w:top="1440"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21"/>
          <w:szCs w:val="21"/>
          <w:b w:val="1"/>
          <w:bCs w:val="1"/>
          <w:u w:val="single" w:color="auto"/>
          <w:color w:val="auto"/>
        </w:rPr>
        <w:t>SEPARATION AGREEMENT AND GENERAL RELEASE</w:t>
      </w:r>
    </w:p>
    <w:p>
      <w:pPr>
        <w:spacing w:after="0" w:line="189"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This Separation Agreement and General Release (the “Agreement”) is made and entered into by and between Neil Salvage (“Executive”) and LendingTree, Inc. ( “LTI”) and LendingTree, LLC (the “Company” which is a wholly-owned subsidiary of LTI; LTI and the Company are collectively the “Company Group”) (each a “Party” and collectively, the “Parties”), pursuant and subject to the terms of the LendingTree Executive Severance Pay Plan (the “Plan”).</w:t>
      </w:r>
    </w:p>
    <w:p>
      <w:pPr>
        <w:spacing w:after="0" w:line="154" w:lineRule="exact"/>
        <w:rPr>
          <w:sz w:val="20"/>
          <w:szCs w:val="20"/>
          <w:color w:val="auto"/>
        </w:rPr>
      </w:pPr>
    </w:p>
    <w:p>
      <w:pPr>
        <w:jc w:val="both"/>
        <w:ind w:firstLine="642"/>
        <w:spacing w:after="0" w:line="218" w:lineRule="auto"/>
        <w:tabs>
          <w:tab w:leader="none" w:pos="1272"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Parties agree and acknowledge that: (i) Executive’s employment with the Company, which is currently on an “at-will” basis, was terminated due to a Qualifying Termination (as defined in the Plan) effective on January 31, 2022 (the “Separation Date”), and such termination was not in connection with or following a Change in Control (as defined in the Plan); (ii) Executive was previously selected by the Plan Sponsor (as defined in the Plan) to participate in the Plan, and has previously executed a Participation Agreement (as defined in the Plan) with respect to the Plan; (iii) Executive is executing this Agreement as a condition for eligibility to receive the separation benefits provided for under the Plan; and (iv) this Agreement contains a “Release” as referenced in the Plan, and incorporates by reference all terms, conditions, requirements, and exclusions set forth in the Plan as if fully set forth herein.</w:t>
      </w:r>
    </w:p>
    <w:p>
      <w:pPr>
        <w:spacing w:after="0" w:line="153" w:lineRule="exact"/>
        <w:rPr>
          <w:rFonts w:ascii="Arial" w:cs="Arial" w:eastAsia="Arial" w:hAnsi="Arial"/>
          <w:sz w:val="21"/>
          <w:szCs w:val="21"/>
          <w:color w:val="auto"/>
        </w:rPr>
      </w:pPr>
    </w:p>
    <w:p>
      <w:pPr>
        <w:ind w:left="1280" w:hanging="638"/>
        <w:spacing w:after="0"/>
        <w:tabs>
          <w:tab w:leader="none" w:pos="128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Consideration</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278"/>
        <w:spacing w:after="0" w:line="230" w:lineRule="auto"/>
        <w:tabs>
          <w:tab w:leader="none" w:pos="1905" w:val="left"/>
        </w:tabs>
        <w:numPr>
          <w:ilvl w:val="1"/>
          <w:numId w:val="66"/>
        </w:numPr>
        <w:rPr>
          <w:rFonts w:ascii="Arial" w:cs="Arial" w:eastAsia="Arial" w:hAnsi="Arial"/>
          <w:sz w:val="21"/>
          <w:szCs w:val="21"/>
          <w:color w:val="auto"/>
        </w:rPr>
      </w:pPr>
      <w:r>
        <w:rPr>
          <w:rFonts w:ascii="Arial" w:cs="Arial" w:eastAsia="Arial" w:hAnsi="Arial"/>
          <w:sz w:val="21"/>
          <w:szCs w:val="21"/>
          <w:color w:val="auto"/>
        </w:rPr>
        <w:t>Executive understands and agrees that the value and consideration provided to Executive herein is sufficient to bind Executive to the terms of this Agreement, and that Executive will have twenty-one (21) calendar days after receiving the Agreement during which to consider, sign, and return the Agreement.</w:t>
      </w:r>
    </w:p>
    <w:p>
      <w:pPr>
        <w:spacing w:after="0" w:line="153" w:lineRule="exact"/>
        <w:rPr>
          <w:rFonts w:ascii="Arial" w:cs="Arial" w:eastAsia="Arial" w:hAnsi="Arial"/>
          <w:sz w:val="21"/>
          <w:szCs w:val="21"/>
          <w:color w:val="auto"/>
        </w:rPr>
      </w:pPr>
    </w:p>
    <w:p>
      <w:pPr>
        <w:jc w:val="both"/>
        <w:ind w:firstLine="1278"/>
        <w:spacing w:after="0" w:line="225" w:lineRule="auto"/>
        <w:tabs>
          <w:tab w:leader="none" w:pos="1903" w:val="left"/>
        </w:tabs>
        <w:numPr>
          <w:ilvl w:val="1"/>
          <w:numId w:val="66"/>
        </w:numPr>
        <w:rPr>
          <w:rFonts w:ascii="Arial" w:cs="Arial" w:eastAsia="Arial" w:hAnsi="Arial"/>
          <w:sz w:val="21"/>
          <w:szCs w:val="21"/>
          <w:color w:val="auto"/>
        </w:rPr>
      </w:pPr>
      <w:r>
        <w:rPr>
          <w:rFonts w:ascii="Arial" w:cs="Arial" w:eastAsia="Arial" w:hAnsi="Arial"/>
          <w:sz w:val="21"/>
          <w:szCs w:val="21"/>
          <w:color w:val="auto"/>
        </w:rPr>
        <w:t>Following the Effective Date (as defined in Section 12(c) below) of this Agreement, the Company Group shall provide Executive with the payments and benefits set forth in Schedule A of the Plan applicable for a “Qualifying Termination other than in connection with a Change in Control,” subject to the terms, conditions, requirements, and exclusions set forth in the Plan. For the avoidance of doubt, those benefits include the following:</w:t>
      </w:r>
    </w:p>
    <w:p>
      <w:pPr>
        <w:spacing w:after="0" w:line="154" w:lineRule="exact"/>
        <w:rPr>
          <w:rFonts w:ascii="Arial" w:cs="Arial" w:eastAsia="Arial" w:hAnsi="Arial"/>
          <w:sz w:val="21"/>
          <w:szCs w:val="21"/>
          <w:color w:val="auto"/>
        </w:rPr>
      </w:pPr>
    </w:p>
    <w:p>
      <w:pPr>
        <w:jc w:val="both"/>
        <w:ind w:left="1280" w:firstLine="634"/>
        <w:spacing w:after="0" w:line="230" w:lineRule="auto"/>
        <w:tabs>
          <w:tab w:leader="none" w:pos="2613" w:val="left"/>
        </w:tabs>
        <w:numPr>
          <w:ilvl w:val="2"/>
          <w:numId w:val="66"/>
        </w:numPr>
        <w:rPr>
          <w:rFonts w:ascii="Arial" w:cs="Arial" w:eastAsia="Arial" w:hAnsi="Arial"/>
          <w:sz w:val="21"/>
          <w:szCs w:val="21"/>
          <w:color w:val="auto"/>
        </w:rPr>
      </w:pPr>
      <w:r>
        <w:rPr>
          <w:rFonts w:ascii="Arial" w:cs="Arial" w:eastAsia="Arial" w:hAnsi="Arial"/>
          <w:sz w:val="21"/>
          <w:szCs w:val="21"/>
          <w:color w:val="auto"/>
        </w:rPr>
        <w:t>Cash severance equal to 1.0x Executive’s base salary, payable in equal installments over the twelve (12)-month period following Executive’s Qualifying Termination, in accordance with Section 3 of the Plan and regular payroll policies;</w:t>
      </w:r>
    </w:p>
    <w:p>
      <w:pPr>
        <w:spacing w:after="0" w:line="153" w:lineRule="exact"/>
        <w:rPr>
          <w:rFonts w:ascii="Arial" w:cs="Arial" w:eastAsia="Arial" w:hAnsi="Arial"/>
          <w:sz w:val="21"/>
          <w:szCs w:val="21"/>
          <w:color w:val="auto"/>
        </w:rPr>
      </w:pPr>
    </w:p>
    <w:p>
      <w:pPr>
        <w:ind w:left="1280" w:firstLine="634"/>
        <w:spacing w:after="0" w:line="239" w:lineRule="auto"/>
        <w:tabs>
          <w:tab w:leader="none" w:pos="2551" w:val="left"/>
        </w:tabs>
        <w:numPr>
          <w:ilvl w:val="2"/>
          <w:numId w:val="66"/>
        </w:numPr>
        <w:rPr>
          <w:rFonts w:ascii="Arial" w:cs="Arial" w:eastAsia="Arial" w:hAnsi="Arial"/>
          <w:sz w:val="21"/>
          <w:szCs w:val="21"/>
          <w:color w:val="auto"/>
        </w:rPr>
      </w:pPr>
      <w:r>
        <w:rPr>
          <w:rFonts w:ascii="Arial" w:cs="Arial" w:eastAsia="Arial" w:hAnsi="Arial"/>
          <w:sz w:val="21"/>
          <w:szCs w:val="21"/>
          <w:color w:val="auto"/>
        </w:rPr>
        <w:t>Accelerated vesting of Executive’s outstanding equity awards that would have vested during the twelve (12) months following Executive’s Qualifying Termination; and</w:t>
      </w:r>
    </w:p>
    <w:p>
      <w:pPr>
        <w:spacing w:after="0" w:line="155" w:lineRule="exact"/>
        <w:rPr>
          <w:rFonts w:ascii="Arial" w:cs="Arial" w:eastAsia="Arial" w:hAnsi="Arial"/>
          <w:sz w:val="21"/>
          <w:szCs w:val="21"/>
          <w:color w:val="auto"/>
        </w:rPr>
      </w:pPr>
    </w:p>
    <w:p>
      <w:pPr>
        <w:ind w:left="2540" w:hanging="626"/>
        <w:spacing w:after="0"/>
        <w:tabs>
          <w:tab w:leader="none" w:pos="2540" w:val="left"/>
        </w:tabs>
        <w:numPr>
          <w:ilvl w:val="2"/>
          <w:numId w:val="66"/>
        </w:numPr>
        <w:rPr>
          <w:rFonts w:ascii="Arial" w:cs="Arial" w:eastAsia="Arial" w:hAnsi="Arial"/>
          <w:sz w:val="20"/>
          <w:szCs w:val="20"/>
          <w:color w:val="auto"/>
        </w:rPr>
      </w:pPr>
      <w:r>
        <w:rPr>
          <w:rFonts w:ascii="Arial" w:cs="Arial" w:eastAsia="Arial" w:hAnsi="Arial"/>
          <w:sz w:val="20"/>
          <w:szCs w:val="20"/>
          <w:color w:val="auto"/>
        </w:rPr>
        <w:t>Coverage of up to twelve (12) months of COBRA premiums for Executive and Executive’s eligible</w:t>
      </w:r>
    </w:p>
    <w:p>
      <w:pPr>
        <w:ind w:left="1280"/>
        <w:spacing w:after="0"/>
        <w:rPr>
          <w:rFonts w:ascii="Arial" w:cs="Arial" w:eastAsia="Arial" w:hAnsi="Arial"/>
          <w:sz w:val="20"/>
          <w:szCs w:val="20"/>
          <w:color w:val="auto"/>
        </w:rPr>
      </w:pPr>
      <w:r>
        <w:rPr>
          <w:rFonts w:ascii="Arial" w:cs="Arial" w:eastAsia="Arial" w:hAnsi="Arial"/>
          <w:sz w:val="21"/>
          <w:szCs w:val="21"/>
          <w:color w:val="auto"/>
        </w:rPr>
        <w:t>dependents.</w:t>
      </w:r>
    </w:p>
    <w:p>
      <w:pPr>
        <w:spacing w:after="0" w:line="164" w:lineRule="exact"/>
        <w:rPr>
          <w:rFonts w:ascii="Arial" w:cs="Arial" w:eastAsia="Arial" w:hAnsi="Arial"/>
          <w:sz w:val="20"/>
          <w:szCs w:val="20"/>
          <w:color w:val="auto"/>
        </w:rPr>
      </w:pPr>
    </w:p>
    <w:p>
      <w:pPr>
        <w:jc w:val="both"/>
        <w:ind w:firstLine="1278"/>
        <w:spacing w:after="0" w:line="220" w:lineRule="auto"/>
        <w:tabs>
          <w:tab w:leader="none" w:pos="1905" w:val="left"/>
        </w:tabs>
        <w:numPr>
          <w:ilvl w:val="1"/>
          <w:numId w:val="66"/>
        </w:numPr>
        <w:rPr>
          <w:rFonts w:ascii="Arial" w:cs="Arial" w:eastAsia="Arial" w:hAnsi="Arial"/>
          <w:sz w:val="21"/>
          <w:szCs w:val="21"/>
          <w:color w:val="auto"/>
        </w:rPr>
      </w:pPr>
      <w:r>
        <w:rPr>
          <w:rFonts w:ascii="Arial" w:cs="Arial" w:eastAsia="Arial" w:hAnsi="Arial"/>
          <w:sz w:val="21"/>
          <w:szCs w:val="21"/>
          <w:color w:val="auto"/>
        </w:rPr>
        <w:t>As additional consideration for Executive’s execution of the additional covenants contained in Section 5 below, following the Effective Date of this Agreement the Company Group shall additionally provide to Executive of a one-time lump sum payment in the amount of Two Hundred Ninety-Two Thousand Five Hundred and No/100 Dollars ($292,500.00), less all taxes and other applicable payroll deductions (the “Additional Consideration”), representing the value of sixty-five percent (65%) of Executive’s target bonus for 2021 performance, which Additional Consideration shall be payable to Executive on the first regularly scheduled payroll date following the Effective Date.</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 of 13</w:t>
      </w:r>
    </w:p>
    <w:p>
      <w:pPr>
        <w:sectPr>
          <w:pgSz w:w="11900" w:h="16838" w:orient="portrait"/>
          <w:cols w:equalWidth="0" w:num="1">
            <w:col w:w="11240"/>
          </w:cols>
          <w:pgMar w:left="320" w:top="1371" w:right="339" w:bottom="1440" w:gutter="0" w:footer="0" w:header="0"/>
        </w:sectPr>
      </w:pPr>
    </w:p>
    <w:bookmarkStart w:id="126" w:name="page127"/>
    <w:bookmarkEnd w:id="126"/>
    <w:p>
      <w:pPr>
        <w:jc w:val="both"/>
        <w:ind w:firstLine="1278"/>
        <w:spacing w:after="0" w:line="230" w:lineRule="auto"/>
        <w:tabs>
          <w:tab w:leader="none" w:pos="1962" w:val="left"/>
        </w:tabs>
        <w:numPr>
          <w:ilvl w:val="1"/>
          <w:numId w:val="67"/>
        </w:numPr>
        <w:rPr>
          <w:rFonts w:ascii="Arial" w:cs="Arial" w:eastAsia="Arial" w:hAnsi="Arial"/>
          <w:sz w:val="21"/>
          <w:szCs w:val="21"/>
          <w:color w:val="auto"/>
        </w:rPr>
      </w:pPr>
      <w:r>
        <w:rPr>
          <w:rFonts w:ascii="Arial" w:cs="Arial" w:eastAsia="Arial" w:hAnsi="Arial"/>
          <w:sz w:val="21"/>
          <w:szCs w:val="21"/>
          <w:color w:val="auto"/>
        </w:rPr>
        <w:t>No payments made pursuant to this Agreement or the Plan shall be considered as creditable “compensation” under any pension, savings, or other benefit plan maintained by any of the Company Group, unless specifically provided for under the applicable plan documents.</w:t>
      </w:r>
    </w:p>
    <w:p>
      <w:pPr>
        <w:spacing w:after="0" w:line="153" w:lineRule="exact"/>
        <w:rPr>
          <w:rFonts w:ascii="Arial" w:cs="Arial" w:eastAsia="Arial" w:hAnsi="Arial"/>
          <w:sz w:val="21"/>
          <w:szCs w:val="21"/>
          <w:color w:val="auto"/>
        </w:rPr>
      </w:pPr>
    </w:p>
    <w:p>
      <w:pPr>
        <w:jc w:val="both"/>
        <w:ind w:firstLine="642"/>
        <w:spacing w:after="0" w:line="235" w:lineRule="auto"/>
        <w:tabs>
          <w:tab w:leader="none" w:pos="1272"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General Release of Claims</w:t>
      </w:r>
      <w:r>
        <w:rPr>
          <w:rFonts w:ascii="Arial" w:cs="Arial" w:eastAsia="Arial" w:hAnsi="Arial"/>
          <w:sz w:val="19"/>
          <w:szCs w:val="19"/>
          <w:color w:val="auto"/>
        </w:rPr>
        <w:t>. Except as specified below, Executive waives and releases the Company, LTI, and their respective former, current, and future parents, affiliates, related entities, predecessors, successors, and subsidiaries, and each of these entities’ respective current and former officers, directors, agents, employees, attorneys, assigns, insurers, Company Group sponsored or established benefit plans, administrators, fiduciaries, and trustees of any Company Group sponsored or established benefit plans (collectively, the “Releasees”), to the maximum extent permitted by law, from any and all claims or causes of action, whether or not now known, foreseen or unforeseen, with respect to any act, event, or omission occurring through and including the date on which Executive signs this Agreement, and including but not limited to any matter arising out of or connected with Executive’s hire or employment with the Company or the termination of such employment, including without limitation, claims for compensation, bonuses, commissions, stock options, restricted stock, equity of any form or nature, shadow stock (excluding, in each case, any Equity Rights, as defined below), wages, monetary damages, and including any claim based in tort, contract, statute, regulation, constitutional provisions, or any other common law claim, any claims of wrongful discharge, defamation, slander, libel, fraud, assault, battery, negligent or intentional infliction of emotional distress, negligent or intentional misrepresentation, negligent or intentional interference with contract or prospective economic advantage, unfair business practices, negligence, personal injury, invasion of privacy, false imprisonment, conversion, breach of contract (whether express, oral, written or implied from any source), and breach of the covenant of good faith and fair dealing, promissory estoppel, fraud, any claims for alleged discrimination, retaliation or harassment based on sex, age, race, national origin, disability, sexual orientation, medical condition, pregnancy or any other protected basis, claims under Title VII of the Civil Rights Act of 1964, the Civil Rights Act of 1991, the Age Discrimination in Employment Act of 1967 (“ADEA”), the Rehabilitation Act, the Equal Pay Act, the Americans with Disabilities Act, the Executive Retirement Income Security Act, the Fair Labor Standards Act, the Fair Credit Reporting Act, the Worker Adjustment and Retraining Notification Act, the Family and Medical Leave Act, except as prohibited by law, the Sarbanes-Oxley Act of 2002, the North Carolina Retaliatory Employment Discrimination Act, the North Carolina Persons With Disabilities Protection Act, the North Carolina Wage and Hour Act, the North Carolina Equal Employment Practices Act, and any and all other constitutional, federal, state and local laws and regulations relating to employment, all as amended, and any and all claims for attorneys’ fees and costs, and interest and penalties (collectively, the “Claims”), with the only exceptions to such waiver and release being:</w:t>
      </w:r>
    </w:p>
    <w:p>
      <w:pPr>
        <w:spacing w:after="0" w:line="165" w:lineRule="exact"/>
        <w:rPr>
          <w:rFonts w:ascii="Arial" w:cs="Arial" w:eastAsia="Arial" w:hAnsi="Arial"/>
          <w:sz w:val="19"/>
          <w:szCs w:val="19"/>
          <w:color w:val="auto"/>
        </w:rPr>
      </w:pPr>
    </w:p>
    <w:p>
      <w:pPr>
        <w:ind w:right="20" w:firstLine="1278"/>
        <w:spacing w:after="0" w:line="239" w:lineRule="auto"/>
        <w:tabs>
          <w:tab w:leader="none" w:pos="1905" w:val="left"/>
        </w:tabs>
        <w:numPr>
          <w:ilvl w:val="1"/>
          <w:numId w:val="68"/>
        </w:numPr>
        <w:rPr>
          <w:rFonts w:ascii="Arial" w:cs="Arial" w:eastAsia="Arial" w:hAnsi="Arial"/>
          <w:sz w:val="21"/>
          <w:szCs w:val="21"/>
          <w:color w:val="auto"/>
        </w:rPr>
      </w:pPr>
      <w:r>
        <w:rPr>
          <w:rFonts w:ascii="Arial" w:cs="Arial" w:eastAsia="Arial" w:hAnsi="Arial"/>
          <w:sz w:val="21"/>
          <w:szCs w:val="21"/>
          <w:color w:val="auto"/>
        </w:rPr>
        <w:t>Any rights to defense or indemnification or insurance coverage that Executive may have as a former officer or director of the Company Group;</w:t>
      </w:r>
    </w:p>
    <w:p>
      <w:pPr>
        <w:spacing w:after="0" w:line="143" w:lineRule="exact"/>
        <w:rPr>
          <w:rFonts w:ascii="Arial" w:cs="Arial" w:eastAsia="Arial" w:hAnsi="Arial"/>
          <w:sz w:val="21"/>
          <w:szCs w:val="21"/>
          <w:color w:val="auto"/>
        </w:rPr>
      </w:pPr>
    </w:p>
    <w:p>
      <w:pPr>
        <w:ind w:left="1900" w:hanging="622"/>
        <w:spacing w:after="0"/>
        <w:tabs>
          <w:tab w:leader="none" w:pos="1900" w:val="left"/>
        </w:tabs>
        <w:numPr>
          <w:ilvl w:val="1"/>
          <w:numId w:val="68"/>
        </w:numPr>
        <w:rPr>
          <w:rFonts w:ascii="Arial" w:cs="Arial" w:eastAsia="Arial" w:hAnsi="Arial"/>
          <w:sz w:val="21"/>
          <w:szCs w:val="21"/>
          <w:color w:val="auto"/>
        </w:rPr>
      </w:pPr>
      <w:r>
        <w:rPr>
          <w:rFonts w:ascii="Arial" w:cs="Arial" w:eastAsia="Arial" w:hAnsi="Arial"/>
          <w:sz w:val="21"/>
          <w:szCs w:val="21"/>
          <w:color w:val="auto"/>
        </w:rPr>
        <w:t>Unemployment, state disability, and/or paid family leave insurance benefits pursuant to the terms of</w:t>
      </w:r>
    </w:p>
    <w:p>
      <w:pPr>
        <w:spacing w:after="0"/>
        <w:rPr>
          <w:rFonts w:ascii="Arial" w:cs="Arial" w:eastAsia="Arial" w:hAnsi="Arial"/>
          <w:sz w:val="21"/>
          <w:szCs w:val="21"/>
          <w:color w:val="auto"/>
        </w:rPr>
      </w:pPr>
      <w:r>
        <w:rPr>
          <w:rFonts w:ascii="Arial" w:cs="Arial" w:eastAsia="Arial" w:hAnsi="Arial"/>
          <w:sz w:val="21"/>
          <w:szCs w:val="21"/>
          <w:color w:val="auto"/>
        </w:rPr>
        <w:t>applicable law;</w:t>
      </w:r>
    </w:p>
    <w:p>
      <w:pPr>
        <w:spacing w:after="0" w:line="164" w:lineRule="exact"/>
        <w:rPr>
          <w:rFonts w:ascii="Arial" w:cs="Arial" w:eastAsia="Arial" w:hAnsi="Arial"/>
          <w:sz w:val="21"/>
          <w:szCs w:val="21"/>
          <w:color w:val="auto"/>
        </w:rPr>
      </w:pPr>
    </w:p>
    <w:p>
      <w:pPr>
        <w:ind w:firstLine="1278"/>
        <w:spacing w:after="0" w:line="239" w:lineRule="auto"/>
        <w:tabs>
          <w:tab w:leader="none" w:pos="1905" w:val="left"/>
        </w:tabs>
        <w:numPr>
          <w:ilvl w:val="1"/>
          <w:numId w:val="68"/>
        </w:numPr>
        <w:rPr>
          <w:rFonts w:ascii="Arial" w:cs="Arial" w:eastAsia="Arial" w:hAnsi="Arial"/>
          <w:sz w:val="21"/>
          <w:szCs w:val="21"/>
          <w:color w:val="auto"/>
        </w:rPr>
      </w:pPr>
      <w:r>
        <w:rPr>
          <w:rFonts w:ascii="Arial" w:cs="Arial" w:eastAsia="Arial" w:hAnsi="Arial"/>
          <w:sz w:val="21"/>
          <w:szCs w:val="21"/>
          <w:color w:val="auto"/>
        </w:rPr>
        <w:t>Workers’ compensation insurance benefits pursuant to applicable state law under the terms of any worker’s compensation insurance policy or fund;</w:t>
      </w:r>
    </w:p>
    <w:p>
      <w:pPr>
        <w:spacing w:after="0" w:line="155" w:lineRule="exact"/>
        <w:rPr>
          <w:rFonts w:ascii="Arial" w:cs="Arial" w:eastAsia="Arial" w:hAnsi="Arial"/>
          <w:sz w:val="21"/>
          <w:szCs w:val="21"/>
          <w:color w:val="auto"/>
        </w:rPr>
      </w:pPr>
    </w:p>
    <w:p>
      <w:pPr>
        <w:ind w:firstLine="1278"/>
        <w:spacing w:after="0" w:line="239" w:lineRule="auto"/>
        <w:tabs>
          <w:tab w:leader="none" w:pos="1903" w:val="left"/>
        </w:tabs>
        <w:numPr>
          <w:ilvl w:val="1"/>
          <w:numId w:val="68"/>
        </w:numPr>
        <w:rPr>
          <w:rFonts w:ascii="Arial" w:cs="Arial" w:eastAsia="Arial" w:hAnsi="Arial"/>
          <w:sz w:val="21"/>
          <w:szCs w:val="21"/>
          <w:color w:val="auto"/>
        </w:rPr>
      </w:pPr>
      <w:r>
        <w:rPr>
          <w:rFonts w:ascii="Arial" w:cs="Arial" w:eastAsia="Arial" w:hAnsi="Arial"/>
          <w:sz w:val="21"/>
          <w:szCs w:val="21"/>
          <w:color w:val="auto"/>
        </w:rPr>
        <w:t>Continued participation in the Company Group’s group medical benefit plans at pursuant to the terms and conditions of the federal law known as “COBRA” and/or any applicable state law counterpart;</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2 of 13</w:t>
      </w:r>
    </w:p>
    <w:p>
      <w:pPr>
        <w:sectPr>
          <w:pgSz w:w="11900" w:h="16838" w:orient="portrait"/>
          <w:cols w:equalWidth="0" w:num="1">
            <w:col w:w="11240"/>
          </w:cols>
          <w:pgMar w:left="320" w:top="1377" w:right="339" w:bottom="1440" w:gutter="0" w:footer="0" w:header="0"/>
        </w:sectPr>
      </w:pPr>
    </w:p>
    <w:bookmarkStart w:id="127" w:name="page128"/>
    <w:bookmarkEnd w:id="127"/>
    <w:p>
      <w:pPr>
        <w:jc w:val="both"/>
        <w:ind w:firstLine="1278"/>
        <w:spacing w:after="0" w:line="230" w:lineRule="auto"/>
        <w:tabs>
          <w:tab w:leader="none" w:pos="1905"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rights with respect to any stock options, restricted stock units, shares of stock, phantom equity, or other grants or rights made by any member of the Company Group to Executive from time to time pursuant to written documentation executed by any member of the Company Group (collectively, “Equity Rights”); and</w:t>
      </w:r>
    </w:p>
    <w:p>
      <w:pPr>
        <w:spacing w:after="0" w:line="153" w:lineRule="exact"/>
        <w:rPr>
          <w:rFonts w:ascii="Arial" w:cs="Arial" w:eastAsia="Arial" w:hAnsi="Arial"/>
          <w:sz w:val="21"/>
          <w:szCs w:val="21"/>
          <w:color w:val="auto"/>
        </w:rPr>
      </w:pPr>
    </w:p>
    <w:p>
      <w:pPr>
        <w:ind w:left="1920" w:hanging="642"/>
        <w:spacing w:after="0"/>
        <w:tabs>
          <w:tab w:leader="none" w:pos="1920"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other rights that, pursuant to applicable law, are not subject to waiver by Executive.</w:t>
      </w:r>
    </w:p>
    <w:p>
      <w:pPr>
        <w:spacing w:after="0" w:line="183"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21"/>
          <w:szCs w:val="21"/>
          <w:color w:val="auto"/>
        </w:rPr>
        <w:t>It is expressly agreed and acknowledged that the rights referenced in the foregoing clauses (a)-(f) are not “Claims” and are therefore excluded from the scope of the releases set forth in this Section 3.</w:t>
      </w:r>
    </w:p>
    <w:p>
      <w:pPr>
        <w:spacing w:after="0" w:line="155"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20"/>
          <w:szCs w:val="20"/>
          <w:color w:val="auto"/>
        </w:rPr>
        <w:t>If and to the extent that any claims, demands, or causes of action Executive released or attempted to release in this Section 3 exist and accrued prior to the execution of this Agreement by Executive, and the approval of any court, agency, administrative body, commission, or other entity is necessary to fully effectuate any such release, Executive agrees to participate in and cooperate fully with the Company Group and any other Releasees in obtaining any such approval.</w:t>
      </w:r>
    </w:p>
    <w:p>
      <w:pPr>
        <w:spacing w:after="0" w:line="155" w:lineRule="exact"/>
        <w:rPr>
          <w:sz w:val="20"/>
          <w:szCs w:val="20"/>
          <w:color w:val="auto"/>
        </w:rPr>
      </w:pPr>
    </w:p>
    <w:p>
      <w:pPr>
        <w:jc w:val="both"/>
        <w:ind w:firstLine="642"/>
        <w:spacing w:after="0" w:line="237" w:lineRule="auto"/>
        <w:tabs>
          <w:tab w:leader="none" w:pos="1272"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Nothing in this Agreement restricts or prohibits Executive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“Regulators”), or from making other disclosures that are protected under the whistleblower provisions of state or federal law or regulation. However, to the maximum extent permitted by law, Executive is waiving Executive’s right to receive any individual monetary relief from the Company Group or any Releasees resulting from such claims or conduct, regardless of whether Executive or another party has filed them, and in the event Executive obtains such monetary relief the Company Group will be entitled to an offset for the payments made pursuant to this Agreement. This Agreement does not limit Executive’s right to receive an award from any Regulator that provides awards for providing information relating to a potential violation of law. Executive does not need the prior authorization of the Company Group to engage in conduct protected by this Section 4, and Executive does not need to notify the Company Group that Executive has engaged in such conduct.</w:t>
      </w:r>
    </w:p>
    <w:p>
      <w:pPr>
        <w:spacing w:after="0" w:line="163" w:lineRule="exact"/>
        <w:rPr>
          <w:rFonts w:ascii="Arial" w:cs="Arial" w:eastAsia="Arial" w:hAnsi="Arial"/>
          <w:sz w:val="19"/>
          <w:szCs w:val="19"/>
          <w:color w:val="auto"/>
        </w:rPr>
      </w:pPr>
    </w:p>
    <w:p>
      <w:pPr>
        <w:jc w:val="both"/>
        <w:ind w:firstLine="642"/>
        <w:spacing w:after="0" w:line="225" w:lineRule="auto"/>
        <w:tabs>
          <w:tab w:leader="none" w:pos="1272"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Executive Covenants</w:t>
      </w:r>
      <w:r>
        <w:rPr>
          <w:rFonts w:ascii="Arial" w:cs="Arial" w:eastAsia="Arial" w:hAnsi="Arial"/>
          <w:sz w:val="21"/>
          <w:szCs w:val="21"/>
          <w:color w:val="auto"/>
        </w:rPr>
        <w:t>. In consideration of the compensation provided to Executive set forth in Section 2(c) above, and in order to protect the substantial time, money, and effort invested by the Company Group, their selling, marketing, pricing, and servicing strategies, the development of goodwill among their customers, and other legitimate business interests, Executive agrees as follows:</w:t>
      </w:r>
    </w:p>
    <w:p>
      <w:pPr>
        <w:spacing w:after="0" w:line="154" w:lineRule="exact"/>
        <w:rPr>
          <w:rFonts w:ascii="Arial" w:cs="Arial" w:eastAsia="Arial" w:hAnsi="Arial"/>
          <w:sz w:val="21"/>
          <w:szCs w:val="21"/>
          <w:color w:val="auto"/>
        </w:rPr>
      </w:pPr>
    </w:p>
    <w:p>
      <w:pPr>
        <w:jc w:val="both"/>
        <w:ind w:firstLine="1278"/>
        <w:spacing w:after="0" w:line="218" w:lineRule="auto"/>
        <w:tabs>
          <w:tab w:leader="none" w:pos="1905"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Covenant Not to Disclose Confidential Information</w:t>
      </w:r>
      <w:r>
        <w:rPr>
          <w:rFonts w:ascii="Arial" w:cs="Arial" w:eastAsia="Arial" w:hAnsi="Arial"/>
          <w:sz w:val="21"/>
          <w:szCs w:val="21"/>
          <w:color w:val="auto"/>
        </w:rPr>
        <w:t>. Executive acknowledges and agrees that by reason of Executive’s employment with and service to the Company, Executive has had access to valuable, highly confidential, privileged, and proprietary information relating to the business of the Company, LTI, and any subsidiaries of any of the Company Group (collectively, the “Subsidiaries,” which currently includes QuoteWizard.com, LLC, and Ovation Credit Services, Inc.) (with the Company Group and the Subsidiaries sometimes referred to collectively as the “Collective Group”), and/or their respective customers (including but not limited to lenders or insurers), suppliers, vendors, and other business partners, including, without limitation: business plans, customer files and lists; sales methods and techniques; pricing structure and data; marketing concepts, strategies, and plans; technologies</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3 of 13</w:t>
      </w:r>
    </w:p>
    <w:p>
      <w:pPr>
        <w:sectPr>
          <w:pgSz w:w="11900" w:h="16838" w:orient="portrait"/>
          <w:cols w:equalWidth="0" w:num="1">
            <w:col w:w="11240"/>
          </w:cols>
          <w:pgMar w:left="320" w:top="1377" w:right="339" w:bottom="1440" w:gutter="0" w:footer="0" w:header="0"/>
        </w:sectPr>
      </w:pPr>
    </w:p>
    <w:bookmarkStart w:id="128" w:name="page129"/>
    <w:bookmarkEnd w:id="128"/>
    <w:p>
      <w:pPr>
        <w:jc w:val="both"/>
        <w:spacing w:after="0"/>
        <w:rPr>
          <w:sz w:val="20"/>
          <w:szCs w:val="20"/>
          <w:color w:val="auto"/>
        </w:rPr>
      </w:pPr>
      <w:r>
        <w:rPr>
          <w:rFonts w:ascii="Arial" w:cs="Arial" w:eastAsia="Arial" w:hAnsi="Arial"/>
          <w:sz w:val="19"/>
          <w:szCs w:val="19"/>
          <w:color w:val="auto"/>
        </w:rPr>
        <w:t>and processes, including without limitation technologies and systems of the Company or any of the Collective Group for matching buyers and sellers; data, software, and formulae; information furnished to the Company or any of the Collective Group by third parties, including without limitation consumer information, that is subject to confidentiality obligations; financial matters and all other know how, trade secrets, or proprietary information, or any copies, elaborations, modifications and adaptations thereof, which are in the possession, custody, or control of the Company or any of the Collective Group (hereinafter collectively referred to as “Confidential Information”). The Confidential Information includes the items described herein whether or not developed or created by the Company or any of the Collective Group, and may be in a draft, partial, or final status of preparation. Executive acknowledges that the unauthorized use or disclosure by Executive of any of the Confidential Information would seriously damage the business of the Company and (as applicable) others in the Collective Group.</w:t>
      </w:r>
    </w:p>
    <w:p>
      <w:pPr>
        <w:spacing w:after="0" w:line="154" w:lineRule="exact"/>
        <w:rPr>
          <w:sz w:val="20"/>
          <w:szCs w:val="20"/>
          <w:color w:val="auto"/>
        </w:rPr>
      </w:pPr>
    </w:p>
    <w:p>
      <w:pPr>
        <w:jc w:val="both"/>
        <w:ind w:firstLine="1914"/>
        <w:spacing w:after="0" w:line="239" w:lineRule="auto"/>
        <w:tabs>
          <w:tab w:leader="none" w:pos="2537" w:val="left"/>
        </w:tabs>
        <w:numPr>
          <w:ilvl w:val="1"/>
          <w:numId w:val="71"/>
        </w:numPr>
        <w:rPr>
          <w:rFonts w:ascii="Arial" w:cs="Arial" w:eastAsia="Arial" w:hAnsi="Arial"/>
          <w:sz w:val="19"/>
          <w:szCs w:val="19"/>
          <w:color w:val="auto"/>
        </w:rPr>
      </w:pPr>
      <w:r>
        <w:rPr>
          <w:rFonts w:ascii="Arial" w:cs="Arial" w:eastAsia="Arial" w:hAnsi="Arial"/>
          <w:sz w:val="19"/>
          <w:szCs w:val="19"/>
          <w:color w:val="auto"/>
        </w:rPr>
        <w:t>Unless otherwise provided herein, “Confidential Information” shall not include: (i) information that is generally known or is available to the general public through legitimate origins (and other than as the result of unauthorized disclosure by or through Executive), as of the date such information becomes generally known or available to the general public;</w:t>
      </w:r>
    </w:p>
    <w:p>
      <w:pPr>
        <w:spacing w:after="0" w:line="1" w:lineRule="exact"/>
        <w:rPr>
          <w:rFonts w:ascii="Arial" w:cs="Arial" w:eastAsia="Arial" w:hAnsi="Arial"/>
          <w:sz w:val="19"/>
          <w:szCs w:val="19"/>
          <w:color w:val="auto"/>
        </w:rPr>
      </w:pPr>
    </w:p>
    <w:p>
      <w:pPr>
        <w:jc w:val="both"/>
        <w:ind w:firstLine="6"/>
        <w:spacing w:after="0" w:line="215" w:lineRule="auto"/>
        <w:tabs>
          <w:tab w:leader="none" w:pos="316" w:val="left"/>
        </w:tabs>
        <w:numPr>
          <w:ilvl w:val="0"/>
          <w:numId w:val="72"/>
        </w:numPr>
        <w:rPr>
          <w:rFonts w:ascii="Arial" w:cs="Arial" w:eastAsia="Arial" w:hAnsi="Arial"/>
          <w:sz w:val="21"/>
          <w:szCs w:val="21"/>
          <w:color w:val="auto"/>
        </w:rPr>
      </w:pPr>
      <w:r>
        <w:rPr>
          <w:rFonts w:ascii="Arial" w:cs="Arial" w:eastAsia="Arial" w:hAnsi="Arial"/>
          <w:sz w:val="21"/>
          <w:szCs w:val="21"/>
          <w:color w:val="auto"/>
        </w:rPr>
        <w:t>information that is rightfully acquired by Executive outside the course and scope of Executive’s employment with the Company and from a source other than the Company or any of the Collective Group, where the disclosure of such information to Executive is not in violation of any obligation to the Company or any of the Collective Group, as of the date such information is actually acquired by Executive; (iii) knowledge, skills, or information which is common to the trade or profession of Executive; and (iv) information that was known to Executive prior to any employment by the Company or any others in the Collective Group, which knowledge Executive can establish by direct and preexisting written evidence. Notwithstanding the above, Executive shall be liable for the unauthorized use or disclosure of any information that was Confidential Information at the time of such use or disclosure, regardless of whether such information loses its status as Confidential Information subsequent to or as a result of such unauthorized use or disclosure.</w:t>
      </w:r>
    </w:p>
    <w:p>
      <w:pPr>
        <w:spacing w:after="0" w:line="155" w:lineRule="exact"/>
        <w:rPr>
          <w:rFonts w:ascii="Arial" w:cs="Arial" w:eastAsia="Arial" w:hAnsi="Arial"/>
          <w:sz w:val="21"/>
          <w:szCs w:val="21"/>
          <w:color w:val="auto"/>
        </w:rPr>
      </w:pPr>
    </w:p>
    <w:p>
      <w:pPr>
        <w:jc w:val="both"/>
        <w:ind w:firstLine="1914"/>
        <w:spacing w:after="0" w:line="237" w:lineRule="auto"/>
        <w:tabs>
          <w:tab w:leader="none" w:pos="2543"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Executive acknowledges and agrees: (i) that the Confidential Information and all copies thereof, as described herein, is sensitive, valuable, and proprietary information that is the sole and lawful property of the Company, or (as applicable) of others in the Collective Group or which has been entrusted to the Company or (as applicable) others in the Collective Group subject to certain confidentiality obligations; (ii) that the Confidential Information represents a material investment of the time, money, and other resources of the Company or (as applicable) others in the Collective Group; (iii) that the Company or (as applicable) others in the Collective Group have a legitimate need to protect such Confidential Information; (iv) that such Confidential Information is the subject of reasonable efforts on behalf of the Company or (as applicable) others in the Collective Group to keep it confidential; (v) that Confidential Information to which Executive was exposed prior to the execution of this Agreement, if any, shall nevertheless constitute Confidential Information, and shall be subject to the terms, requirements, and restrictions herein; (vi) that Executive has no interest in or rights with respect to any of the Confidential Information; and (vii) that the Confidential Information constitutes proprietary, sensitive, and confidential information and, in some cases, trade secrets (as such term is defined in both the Defend Trade Secrets Act, 18 U.S.C. § 1836,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North Carolina Trade Secrets Protection Act, N.C.G.S. § 66-152, </w:t>
      </w:r>
      <w:r>
        <w:rPr>
          <w:rFonts w:ascii="Arial" w:cs="Arial" w:eastAsia="Arial" w:hAnsi="Arial"/>
          <w:sz w:val="19"/>
          <w:szCs w:val="19"/>
          <w:i w:val="1"/>
          <w:iCs w:val="1"/>
          <w:color w:val="auto"/>
        </w:rPr>
        <w:t>et seq.</w:t>
      </w:r>
      <w:r>
        <w:rPr>
          <w:rFonts w:ascii="Arial" w:cs="Arial" w:eastAsia="Arial" w:hAnsi="Arial"/>
          <w:sz w:val="19"/>
          <w:szCs w:val="19"/>
          <w:color w:val="auto"/>
        </w:rPr>
        <w:t>) of the Company or (as applicable) others in the Collective Group.</w:t>
      </w:r>
    </w:p>
    <w:p>
      <w:pPr>
        <w:spacing w:after="0" w:line="163" w:lineRule="exact"/>
        <w:rPr>
          <w:rFonts w:ascii="Arial" w:cs="Arial" w:eastAsia="Arial" w:hAnsi="Arial"/>
          <w:sz w:val="19"/>
          <w:szCs w:val="19"/>
          <w:color w:val="auto"/>
        </w:rPr>
      </w:pPr>
    </w:p>
    <w:p>
      <w:pPr>
        <w:jc w:val="both"/>
        <w:ind w:firstLine="1914"/>
        <w:spacing w:after="0" w:line="230" w:lineRule="auto"/>
        <w:tabs>
          <w:tab w:leader="none" w:pos="2535" w:val="left"/>
        </w:tabs>
        <w:numPr>
          <w:ilvl w:val="1"/>
          <w:numId w:val="72"/>
        </w:numPr>
        <w:rPr>
          <w:rFonts w:ascii="Arial" w:cs="Arial" w:eastAsia="Arial" w:hAnsi="Arial"/>
          <w:sz w:val="21"/>
          <w:szCs w:val="21"/>
          <w:color w:val="auto"/>
        </w:rPr>
      </w:pPr>
      <w:r>
        <w:rPr>
          <w:rFonts w:ascii="Arial" w:cs="Arial" w:eastAsia="Arial" w:hAnsi="Arial"/>
          <w:sz w:val="21"/>
          <w:szCs w:val="21"/>
          <w:color w:val="auto"/>
        </w:rPr>
        <w:t>At and for all times after the Separation Date, Executive agrees that Executive shall keep confidential and shall not, directly or indirectly, use, divulge, publish, or otherwise reveal or allow to be revealed any aspect of the Confidential Information to any</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4 of 13</w:t>
      </w:r>
    </w:p>
    <w:p>
      <w:pPr>
        <w:sectPr>
          <w:pgSz w:w="11900" w:h="16838" w:orient="portrait"/>
          <w:cols w:equalWidth="0" w:num="1">
            <w:col w:w="11240"/>
          </w:cols>
          <w:pgMar w:left="320" w:top="1377" w:right="339" w:bottom="1440" w:gutter="0" w:footer="0" w:header="0"/>
        </w:sectPr>
      </w:pPr>
    </w:p>
    <w:bookmarkStart w:id="129" w:name="page130"/>
    <w:bookmarkEnd w:id="129"/>
    <w:p>
      <w:pPr>
        <w:spacing w:after="0" w:line="239" w:lineRule="auto"/>
        <w:rPr>
          <w:sz w:val="20"/>
          <w:szCs w:val="20"/>
          <w:color w:val="auto"/>
        </w:rPr>
      </w:pPr>
      <w:r>
        <w:rPr>
          <w:rFonts w:ascii="Arial" w:cs="Arial" w:eastAsia="Arial" w:hAnsi="Arial"/>
          <w:sz w:val="21"/>
          <w:szCs w:val="21"/>
          <w:color w:val="auto"/>
        </w:rPr>
        <w:t>individual or entity, for any reason whatsoever, except only as required by law, without the Company’s prior, express, and written consent.</w:t>
      </w:r>
    </w:p>
    <w:p>
      <w:pPr>
        <w:spacing w:after="0" w:line="155" w:lineRule="exact"/>
        <w:rPr>
          <w:sz w:val="20"/>
          <w:szCs w:val="20"/>
          <w:color w:val="auto"/>
        </w:rPr>
      </w:pPr>
    </w:p>
    <w:p>
      <w:pPr>
        <w:jc w:val="both"/>
        <w:ind w:firstLine="1914"/>
        <w:spacing w:after="0" w:line="218" w:lineRule="auto"/>
        <w:tabs>
          <w:tab w:leader="none" w:pos="2523" w:val="left"/>
        </w:tabs>
        <w:numPr>
          <w:ilvl w:val="1"/>
          <w:numId w:val="73"/>
        </w:numPr>
        <w:rPr>
          <w:rFonts w:ascii="Arial" w:cs="Arial" w:eastAsia="Arial" w:hAnsi="Arial"/>
          <w:sz w:val="21"/>
          <w:szCs w:val="21"/>
          <w:color w:val="auto"/>
        </w:rPr>
      </w:pPr>
      <w:r>
        <w:rPr>
          <w:rFonts w:ascii="Arial" w:cs="Arial" w:eastAsia="Arial" w:hAnsi="Arial"/>
          <w:sz w:val="21"/>
          <w:szCs w:val="21"/>
          <w:color w:val="auto"/>
        </w:rPr>
        <w:t>Defend Trade Secrets Act Notice: Pursuant to 18 U.S.C. § 1833(b),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53" w:lineRule="exact"/>
        <w:rPr>
          <w:rFonts w:ascii="Arial" w:cs="Arial" w:eastAsia="Arial" w:hAnsi="Arial"/>
          <w:sz w:val="21"/>
          <w:szCs w:val="21"/>
          <w:color w:val="auto"/>
        </w:rPr>
      </w:pPr>
    </w:p>
    <w:p>
      <w:pPr>
        <w:jc w:val="both"/>
        <w:ind w:firstLine="1914"/>
        <w:spacing w:after="0" w:line="228" w:lineRule="auto"/>
        <w:tabs>
          <w:tab w:leader="none" w:pos="2530" w:val="left"/>
        </w:tabs>
        <w:numPr>
          <w:ilvl w:val="1"/>
          <w:numId w:val="73"/>
        </w:numPr>
        <w:rPr>
          <w:rFonts w:ascii="Arial" w:cs="Arial" w:eastAsia="Arial" w:hAnsi="Arial"/>
          <w:sz w:val="20"/>
          <w:szCs w:val="20"/>
          <w:color w:val="auto"/>
        </w:rPr>
      </w:pPr>
      <w:r>
        <w:rPr>
          <w:rFonts w:ascii="Arial" w:cs="Arial" w:eastAsia="Arial" w:hAnsi="Arial"/>
          <w:sz w:val="20"/>
          <w:szCs w:val="20"/>
          <w:color w:val="auto"/>
        </w:rPr>
        <w:t>Executive understands that except as set forth in Section 5(a)(iv) above, Executive may not use or disclose (or threaten to use or disclose) any of the Collective Group’s trade secrets without the Collective Group’s consent. This obligation means, among other things, that Executive may not use the Collective Group’s trade secrets, whether directly or indirectly or on behalf of Executive or others, to attempt to call on, solicit, or obtain business from any actual or prospective client, customer, or business partner of the Company or any of the Collective Group, including without limitation any Customer (as such term is defined below), other than for authorized Collective Group business activities. This prohibition applies during and after Executive’s employment, so long as the information remains a trade secret. Executive agrees to take all reasonable steps to maintain the confidentiality of the Collective Group’s trade secrets and other Confidential Information.</w:t>
      </w:r>
    </w:p>
    <w:p>
      <w:pPr>
        <w:spacing w:after="0" w:line="160" w:lineRule="exact"/>
        <w:rPr>
          <w:rFonts w:ascii="Arial" w:cs="Arial" w:eastAsia="Arial" w:hAnsi="Arial"/>
          <w:sz w:val="20"/>
          <w:szCs w:val="20"/>
          <w:color w:val="auto"/>
        </w:rPr>
      </w:pPr>
    </w:p>
    <w:p>
      <w:pPr>
        <w:jc w:val="both"/>
        <w:ind w:firstLine="1914"/>
        <w:spacing w:after="0" w:line="238" w:lineRule="auto"/>
        <w:tabs>
          <w:tab w:leader="none" w:pos="2537" w:val="left"/>
        </w:tabs>
        <w:numPr>
          <w:ilvl w:val="1"/>
          <w:numId w:val="73"/>
        </w:numPr>
        <w:rPr>
          <w:rFonts w:ascii="Arial" w:cs="Arial" w:eastAsia="Arial" w:hAnsi="Arial"/>
          <w:sz w:val="19"/>
          <w:szCs w:val="19"/>
          <w:color w:val="auto"/>
        </w:rPr>
      </w:pPr>
      <w:r>
        <w:rPr>
          <w:rFonts w:ascii="Arial" w:cs="Arial" w:eastAsia="Arial" w:hAnsi="Arial"/>
          <w:sz w:val="19"/>
          <w:szCs w:val="19"/>
          <w:color w:val="auto"/>
        </w:rPr>
        <w:t>Executive acknowledges and understands that Executive has the right under federal law to certain protections for cooperating with or reporting legal violations to the Securities and Exchange Commission (the “SEC”) and/or its Office of the Whistleblower, as well as certain other governmental entities and self-regulatory organizations. As such, Executive acknowledges and understands that nothing in this Agreement or otherwise prohibits or limits Executive from disclosing this Agreement to, or from cooperating with or reporting violations to or initiating communications with, the SEC or any other such governmental entity or self-regulatory organization, and Executive may do so without notifying the Company or any of the Collective Group. Executive further acknowledges and understands that (a) neither the Company nor any of its subsidiaries or affiliates may retaliate against Executive for any of these activities, and nothing in this Agreement or otherwise requires Executive to waive any monetary award or other payment that Executive might become entitled to from the SEC or any other governmental entity or self-regulatory organization, and (b) nothing in this Agreement or otherwise prohibits Executive from notifying the Company or any of the Collective Group that Executive will make a report or disclosure to law enforcement.</w:t>
      </w:r>
    </w:p>
    <w:p>
      <w:pPr>
        <w:spacing w:after="0" w:line="160" w:lineRule="exact"/>
        <w:rPr>
          <w:rFonts w:ascii="Arial" w:cs="Arial" w:eastAsia="Arial" w:hAnsi="Arial"/>
          <w:sz w:val="19"/>
          <w:szCs w:val="19"/>
          <w:color w:val="auto"/>
        </w:rPr>
      </w:pPr>
    </w:p>
    <w:p>
      <w:pPr>
        <w:jc w:val="both"/>
        <w:ind w:firstLine="1278"/>
        <w:spacing w:after="0" w:line="241" w:lineRule="auto"/>
        <w:tabs>
          <w:tab w:leader="none" w:pos="1903"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Covenant Not to Compete</w:t>
      </w:r>
      <w:r>
        <w:rPr>
          <w:rFonts w:ascii="Arial" w:cs="Arial" w:eastAsia="Arial" w:hAnsi="Arial"/>
          <w:sz w:val="19"/>
          <w:szCs w:val="19"/>
          <w:color w:val="auto"/>
        </w:rPr>
        <w:t>. For a period of twenty-four (24) consecutive months beginning on the Separation Date, Executive shall not engage in the performance or attempted performance (whether for Executive’s own benefit or for, on behalf of, as an employee of, as an independent contractor of, or at the request of any other entity or individual) of any material activities performed in the course and scope of Executive’s duties for the Company during the Prior Period (as such term is defined below), in a manner or role that directly competes with, or directly and materially assists others in competing with, the business of the Company, which business includes without limitation the Services (as such term is defined below), as of the Separation Date (the “Restricted Activity”): (i) in the Restricted Territory (as such term is defined below); or (ii) for any Competitor (as such term is defined below), but only to the extent that such Restricted Activity is directed toward competing with the business of the</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5 of 13</w:t>
      </w:r>
    </w:p>
    <w:p>
      <w:pPr>
        <w:sectPr>
          <w:pgSz w:w="11900" w:h="16838" w:orient="portrait"/>
          <w:cols w:equalWidth="0" w:num="1">
            <w:col w:w="11240"/>
          </w:cols>
          <w:pgMar w:left="320" w:top="1377" w:right="339" w:bottom="1440" w:gutter="0" w:footer="0" w:header="0"/>
        </w:sectPr>
      </w:pPr>
    </w:p>
    <w:bookmarkStart w:id="130" w:name="page131"/>
    <w:bookmarkEnd w:id="130"/>
    <w:p>
      <w:pPr>
        <w:spacing w:after="0" w:line="239" w:lineRule="auto"/>
        <w:rPr>
          <w:sz w:val="20"/>
          <w:szCs w:val="20"/>
          <w:color w:val="auto"/>
        </w:rPr>
      </w:pPr>
      <w:r>
        <w:rPr>
          <w:rFonts w:ascii="Arial" w:cs="Arial" w:eastAsia="Arial" w:hAnsi="Arial"/>
          <w:sz w:val="21"/>
          <w:szCs w:val="21"/>
          <w:color w:val="auto"/>
        </w:rPr>
        <w:t>Company inside the United States of America, or directly and materially assists others in competing with the business of the Company inside the United States of America.</w:t>
      </w:r>
    </w:p>
    <w:p>
      <w:pPr>
        <w:spacing w:after="0" w:line="155" w:lineRule="exact"/>
        <w:rPr>
          <w:sz w:val="20"/>
          <w:szCs w:val="20"/>
          <w:color w:val="auto"/>
        </w:rPr>
      </w:pPr>
    </w:p>
    <w:p>
      <w:pPr>
        <w:jc w:val="both"/>
        <w:ind w:firstLine="1914"/>
        <w:spacing w:after="0" w:line="241" w:lineRule="auto"/>
        <w:tabs>
          <w:tab w:leader="none" w:pos="2537" w:val="left"/>
        </w:tabs>
        <w:numPr>
          <w:ilvl w:val="0"/>
          <w:numId w:val="75"/>
        </w:numPr>
        <w:rPr>
          <w:rFonts w:ascii="Arial" w:cs="Arial" w:eastAsia="Arial" w:hAnsi="Arial"/>
          <w:sz w:val="19"/>
          <w:szCs w:val="19"/>
          <w:color w:val="auto"/>
        </w:rPr>
      </w:pPr>
      <w:r>
        <w:rPr>
          <w:rFonts w:ascii="Arial" w:cs="Arial" w:eastAsia="Arial" w:hAnsi="Arial"/>
          <w:sz w:val="19"/>
          <w:szCs w:val="19"/>
          <w:color w:val="auto"/>
        </w:rPr>
        <w:t>Executive understands and acknowledges that the Company’s business includes, without limitation, the provision of the Services for entities in a number of different industries, including but not limited to lenders in the residential mortgage industry. Executive further understands and acknowledges that those entities who purchase Services from the Company, including without limitation leads, to the extent that those entities are themselves engaged in internal electronic and internet-based lead-generation activities to obtain prospective customers directly and not through the purchase of Services from the Company, are direct competitors of the Company with regard to the Services. Therefore, to protect the Company’s legitimate business interests, Executive agrees that for a period of twenty-four (24) consecutive months beginning on the Separation Date, regardless of the reason for such cessation, Executive shall not engage in the Restricted Activity for any of the following entities:</w:t>
      </w:r>
    </w:p>
    <w:p>
      <w:pPr>
        <w:spacing w:after="0" w:line="152" w:lineRule="exact"/>
        <w:rPr>
          <w:rFonts w:ascii="Arial" w:cs="Arial" w:eastAsia="Arial" w:hAnsi="Arial"/>
          <w:sz w:val="19"/>
          <w:szCs w:val="19"/>
          <w:color w:val="auto"/>
        </w:rPr>
      </w:pPr>
    </w:p>
    <w:p>
      <w:pPr>
        <w:ind w:left="3180" w:hanging="630"/>
        <w:spacing w:after="0"/>
        <w:tabs>
          <w:tab w:leader="none" w:pos="3180" w:val="left"/>
        </w:tabs>
        <w:numPr>
          <w:ilvl w:val="1"/>
          <w:numId w:val="75"/>
        </w:numPr>
        <w:rPr>
          <w:rFonts w:ascii="Arial" w:cs="Arial" w:eastAsia="Arial" w:hAnsi="Arial"/>
          <w:sz w:val="20"/>
          <w:szCs w:val="20"/>
          <w:color w:val="auto"/>
        </w:rPr>
      </w:pPr>
      <w:r>
        <w:rPr>
          <w:rFonts w:ascii="Arial" w:cs="Arial" w:eastAsia="Arial" w:hAnsi="Arial"/>
          <w:sz w:val="20"/>
          <w:szCs w:val="20"/>
          <w:color w:val="auto"/>
        </w:rPr>
        <w:t>Any entity that purchased Services from the Company, including without limitation leads, at</w:t>
      </w:r>
    </w:p>
    <w:p>
      <w:pPr>
        <w:spacing w:after="0"/>
        <w:rPr>
          <w:rFonts w:ascii="Arial" w:cs="Arial" w:eastAsia="Arial" w:hAnsi="Arial"/>
          <w:sz w:val="20"/>
          <w:szCs w:val="20"/>
          <w:color w:val="auto"/>
        </w:rPr>
      </w:pPr>
      <w:r>
        <w:rPr>
          <w:rFonts w:ascii="Arial" w:cs="Arial" w:eastAsia="Arial" w:hAnsi="Arial"/>
          <w:sz w:val="21"/>
          <w:szCs w:val="21"/>
          <w:color w:val="auto"/>
        </w:rPr>
        <w:t>any time during the Prior Period; or</w:t>
      </w:r>
    </w:p>
    <w:p>
      <w:pPr>
        <w:spacing w:after="0" w:line="164" w:lineRule="exact"/>
        <w:rPr>
          <w:rFonts w:ascii="Arial" w:cs="Arial" w:eastAsia="Arial" w:hAnsi="Arial"/>
          <w:sz w:val="20"/>
          <w:szCs w:val="20"/>
          <w:color w:val="auto"/>
        </w:rPr>
      </w:pPr>
    </w:p>
    <w:p>
      <w:pPr>
        <w:ind w:firstLine="2550"/>
        <w:spacing w:after="0" w:line="239" w:lineRule="auto"/>
        <w:tabs>
          <w:tab w:leader="none" w:pos="3175" w:val="left"/>
        </w:tabs>
        <w:numPr>
          <w:ilvl w:val="1"/>
          <w:numId w:val="75"/>
        </w:numPr>
        <w:rPr>
          <w:rFonts w:ascii="Arial" w:cs="Arial" w:eastAsia="Arial" w:hAnsi="Arial"/>
          <w:sz w:val="21"/>
          <w:szCs w:val="21"/>
          <w:color w:val="auto"/>
        </w:rPr>
      </w:pPr>
      <w:r>
        <w:rPr>
          <w:rFonts w:ascii="Arial" w:cs="Arial" w:eastAsia="Arial" w:hAnsi="Arial"/>
          <w:sz w:val="21"/>
          <w:szCs w:val="21"/>
          <w:color w:val="auto"/>
        </w:rPr>
        <w:t>Any residential mortgage lender that purchased Services from the Company, including without limitation leads, at any time during the Prior Period.</w:t>
      </w:r>
    </w:p>
    <w:p>
      <w:pPr>
        <w:spacing w:after="0" w:line="155" w:lineRule="exact"/>
        <w:rPr>
          <w:rFonts w:ascii="Arial" w:cs="Arial" w:eastAsia="Arial" w:hAnsi="Arial"/>
          <w:sz w:val="21"/>
          <w:szCs w:val="21"/>
          <w:color w:val="auto"/>
        </w:rPr>
      </w:pPr>
    </w:p>
    <w:p>
      <w:pPr>
        <w:jc w:val="both"/>
        <w:ind w:firstLine="1914"/>
        <w:spacing w:after="0" w:line="222" w:lineRule="auto"/>
        <w:tabs>
          <w:tab w:leader="none" w:pos="2543" w:val="left"/>
        </w:tabs>
        <w:numPr>
          <w:ilvl w:val="0"/>
          <w:numId w:val="75"/>
        </w:numPr>
        <w:rPr>
          <w:rFonts w:ascii="Arial" w:cs="Arial" w:eastAsia="Arial" w:hAnsi="Arial"/>
          <w:sz w:val="21"/>
          <w:szCs w:val="21"/>
          <w:color w:val="auto"/>
        </w:rPr>
      </w:pPr>
      <w:r>
        <w:rPr>
          <w:rFonts w:ascii="Arial" w:cs="Arial" w:eastAsia="Arial" w:hAnsi="Arial"/>
          <w:sz w:val="21"/>
          <w:szCs w:val="21"/>
          <w:color w:val="auto"/>
        </w:rPr>
        <w:t>For purposes of this Agreement, “Restricted Territory” means the largest territory which is described by one or more of the following subsections and is deemed enforceable by any court of competent jurisdiction, but only to the extent that Executive’s Restricted Activity is directed toward competing with the business of the Company inside the United States of America, or directly and materially assists others in competing with the business of the Company inside the United States of America:</w:t>
      </w:r>
    </w:p>
    <w:p>
      <w:pPr>
        <w:spacing w:after="0" w:line="155" w:lineRule="exact"/>
        <w:rPr>
          <w:rFonts w:ascii="Arial" w:cs="Arial" w:eastAsia="Arial" w:hAnsi="Arial"/>
          <w:sz w:val="21"/>
          <w:szCs w:val="21"/>
          <w:color w:val="auto"/>
        </w:rPr>
      </w:pPr>
    </w:p>
    <w:p>
      <w:pPr>
        <w:ind w:left="3180" w:hanging="630"/>
        <w:spacing w:after="0"/>
        <w:tabs>
          <w:tab w:leader="none" w:pos="3180" w:val="left"/>
        </w:tabs>
        <w:numPr>
          <w:ilvl w:val="1"/>
          <w:numId w:val="75"/>
        </w:numPr>
        <w:rPr>
          <w:rFonts w:ascii="Arial" w:cs="Arial" w:eastAsia="Arial" w:hAnsi="Arial"/>
          <w:sz w:val="21"/>
          <w:szCs w:val="21"/>
          <w:color w:val="auto"/>
        </w:rPr>
      </w:pPr>
      <w:r>
        <w:rPr>
          <w:rFonts w:ascii="Arial" w:cs="Arial" w:eastAsia="Arial" w:hAnsi="Arial"/>
          <w:sz w:val="21"/>
          <w:szCs w:val="21"/>
          <w:color w:val="auto"/>
        </w:rPr>
        <w:t>Any state, province, or similar political territory in any country;</w:t>
      </w:r>
    </w:p>
    <w:p>
      <w:pPr>
        <w:spacing w:after="0" w:line="182" w:lineRule="exact"/>
        <w:rPr>
          <w:rFonts w:ascii="Arial" w:cs="Arial" w:eastAsia="Arial" w:hAnsi="Arial"/>
          <w:sz w:val="21"/>
          <w:szCs w:val="21"/>
          <w:color w:val="auto"/>
        </w:rPr>
      </w:pPr>
    </w:p>
    <w:p>
      <w:pPr>
        <w:ind w:firstLine="2550"/>
        <w:spacing w:after="0" w:line="239" w:lineRule="auto"/>
        <w:tabs>
          <w:tab w:leader="none" w:pos="3175" w:val="left"/>
        </w:tabs>
        <w:numPr>
          <w:ilvl w:val="1"/>
          <w:numId w:val="75"/>
        </w:numPr>
        <w:rPr>
          <w:rFonts w:ascii="Arial" w:cs="Arial" w:eastAsia="Arial" w:hAnsi="Arial"/>
          <w:sz w:val="21"/>
          <w:szCs w:val="21"/>
          <w:color w:val="auto"/>
        </w:rPr>
      </w:pPr>
      <w:r>
        <w:rPr>
          <w:rFonts w:ascii="Arial" w:cs="Arial" w:eastAsia="Arial" w:hAnsi="Arial"/>
          <w:sz w:val="21"/>
          <w:szCs w:val="21"/>
          <w:color w:val="auto"/>
        </w:rPr>
        <w:t>Any state, province, or similar political territory in any country in which, as of the Separation Date, Executive worked in or was based during the Prior Period;</w:t>
      </w:r>
    </w:p>
    <w:p>
      <w:pPr>
        <w:spacing w:after="0" w:line="155" w:lineRule="exact"/>
        <w:rPr>
          <w:rFonts w:ascii="Arial" w:cs="Arial" w:eastAsia="Arial" w:hAnsi="Arial"/>
          <w:sz w:val="21"/>
          <w:szCs w:val="21"/>
          <w:color w:val="auto"/>
        </w:rPr>
      </w:pPr>
    </w:p>
    <w:p>
      <w:pPr>
        <w:ind w:firstLine="2550"/>
        <w:spacing w:after="0" w:line="263" w:lineRule="auto"/>
        <w:tabs>
          <w:tab w:leader="none" w:pos="3175" w:val="left"/>
        </w:tabs>
        <w:numPr>
          <w:ilvl w:val="1"/>
          <w:numId w:val="75"/>
        </w:numPr>
        <w:rPr>
          <w:rFonts w:ascii="Arial" w:cs="Arial" w:eastAsia="Arial" w:hAnsi="Arial"/>
          <w:sz w:val="20"/>
          <w:szCs w:val="20"/>
          <w:color w:val="auto"/>
        </w:rPr>
      </w:pPr>
      <w:r>
        <w:rPr>
          <w:rFonts w:ascii="Arial" w:cs="Arial" w:eastAsia="Arial" w:hAnsi="Arial"/>
          <w:sz w:val="20"/>
          <w:szCs w:val="20"/>
          <w:color w:val="auto"/>
        </w:rPr>
        <w:t>Any state, province, or similar political territory in any country in which Executive dealt with any Customer of the Company during the Prior Period in connection with Executive’s employment with the Company; or</w:t>
      </w:r>
    </w:p>
    <w:p>
      <w:pPr>
        <w:spacing w:after="0" w:line="131" w:lineRule="exact"/>
        <w:rPr>
          <w:rFonts w:ascii="Arial" w:cs="Arial" w:eastAsia="Arial" w:hAnsi="Arial"/>
          <w:sz w:val="20"/>
          <w:szCs w:val="20"/>
          <w:color w:val="auto"/>
        </w:rPr>
      </w:pPr>
    </w:p>
    <w:p>
      <w:pPr>
        <w:ind w:left="3180" w:hanging="630"/>
        <w:spacing w:after="0"/>
        <w:tabs>
          <w:tab w:leader="none" w:pos="3180" w:val="left"/>
        </w:tabs>
        <w:numPr>
          <w:ilvl w:val="1"/>
          <w:numId w:val="75"/>
        </w:numPr>
        <w:rPr>
          <w:rFonts w:ascii="Arial" w:cs="Arial" w:eastAsia="Arial" w:hAnsi="Arial"/>
          <w:sz w:val="21"/>
          <w:szCs w:val="21"/>
          <w:color w:val="auto"/>
        </w:rPr>
      </w:pPr>
      <w:r>
        <w:rPr>
          <w:rFonts w:ascii="Arial" w:cs="Arial" w:eastAsia="Arial" w:hAnsi="Arial"/>
          <w:sz w:val="21"/>
          <w:szCs w:val="21"/>
          <w:color w:val="auto"/>
        </w:rPr>
        <w:t>North Carolina.</w:t>
      </w:r>
    </w:p>
    <w:p>
      <w:pPr>
        <w:spacing w:after="0" w:line="182" w:lineRule="exact"/>
        <w:rPr>
          <w:rFonts w:ascii="Arial" w:cs="Arial" w:eastAsia="Arial" w:hAnsi="Arial"/>
          <w:sz w:val="21"/>
          <w:szCs w:val="21"/>
          <w:color w:val="auto"/>
        </w:rPr>
      </w:pPr>
    </w:p>
    <w:p>
      <w:pPr>
        <w:jc w:val="both"/>
        <w:ind w:firstLine="1914"/>
        <w:spacing w:after="0" w:line="236" w:lineRule="auto"/>
        <w:tabs>
          <w:tab w:leader="none" w:pos="2535" w:val="left"/>
        </w:tabs>
        <w:numPr>
          <w:ilvl w:val="0"/>
          <w:numId w:val="75"/>
        </w:numPr>
        <w:rPr>
          <w:rFonts w:ascii="Arial" w:cs="Arial" w:eastAsia="Arial" w:hAnsi="Arial"/>
          <w:sz w:val="20"/>
          <w:szCs w:val="20"/>
          <w:color w:val="auto"/>
        </w:rPr>
      </w:pPr>
      <w:r>
        <w:rPr>
          <w:rFonts w:ascii="Arial" w:cs="Arial" w:eastAsia="Arial" w:hAnsi="Arial"/>
          <w:sz w:val="20"/>
          <w:szCs w:val="20"/>
          <w:color w:val="auto"/>
        </w:rPr>
        <w:t>For purposes of this Agreement, “Competitor” shall mean any entity that is engaged in any business, including without limitation the research, development, testing, design, publishing, marketing, promotion, licensing, application, sale, or distribution of electronic and internet-based lead-generation services, that directly competes with the business of the Company, as and to the extent that such business of the Company existed as of the Separation Date.</w:t>
      </w:r>
    </w:p>
    <w:p>
      <w:pPr>
        <w:spacing w:after="0" w:line="155" w:lineRule="exact"/>
        <w:rPr>
          <w:rFonts w:ascii="Arial" w:cs="Arial" w:eastAsia="Arial" w:hAnsi="Arial"/>
          <w:sz w:val="20"/>
          <w:szCs w:val="20"/>
          <w:color w:val="auto"/>
        </w:rPr>
      </w:pPr>
    </w:p>
    <w:p>
      <w:pPr>
        <w:jc w:val="both"/>
        <w:ind w:firstLine="1914"/>
        <w:spacing w:after="0" w:line="236" w:lineRule="auto"/>
        <w:tabs>
          <w:tab w:leader="none" w:pos="2523" w:val="left"/>
        </w:tabs>
        <w:numPr>
          <w:ilvl w:val="0"/>
          <w:numId w:val="75"/>
        </w:numPr>
        <w:rPr>
          <w:rFonts w:ascii="Arial" w:cs="Arial" w:eastAsia="Arial" w:hAnsi="Arial"/>
          <w:sz w:val="20"/>
          <w:szCs w:val="20"/>
          <w:color w:val="auto"/>
        </w:rPr>
      </w:pPr>
      <w:r>
        <w:rPr>
          <w:rFonts w:ascii="Arial" w:cs="Arial" w:eastAsia="Arial" w:hAnsi="Arial"/>
          <w:sz w:val="20"/>
          <w:szCs w:val="20"/>
          <w:color w:val="auto"/>
        </w:rPr>
        <w:t>For purposes of this Agreement, “Prior Period” means the twelve (12) month period immediately preceding the Separation Date, including the Separation Date. For the avoidance of doubt, all references in this Agreement to the Prior Period calling for a “look back” of twelve (12) months are intended solely to identify the individuals or entities to which the restrictions in such sections extend, and such references are not themselves intended to</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6 of 13</w:t>
      </w:r>
    </w:p>
    <w:p>
      <w:pPr>
        <w:sectPr>
          <w:pgSz w:w="11900" w:h="16838" w:orient="portrait"/>
          <w:cols w:equalWidth="0" w:num="1">
            <w:col w:w="11240"/>
          </w:cols>
          <w:pgMar w:left="320" w:top="1377" w:right="339" w:bottom="1440" w:gutter="0" w:footer="0" w:header="0"/>
        </w:sectPr>
      </w:pPr>
    </w:p>
    <w:bookmarkStart w:id="131" w:name="page132"/>
    <w:bookmarkEnd w:id="131"/>
    <w:p>
      <w:pPr>
        <w:ind w:right="20"/>
        <w:spacing w:after="0" w:line="239" w:lineRule="auto"/>
        <w:rPr>
          <w:sz w:val="20"/>
          <w:szCs w:val="20"/>
          <w:color w:val="auto"/>
        </w:rPr>
      </w:pPr>
      <w:r>
        <w:rPr>
          <w:rFonts w:ascii="Arial" w:cs="Arial" w:eastAsia="Arial" w:hAnsi="Arial"/>
          <w:sz w:val="21"/>
          <w:szCs w:val="21"/>
          <w:color w:val="auto"/>
        </w:rPr>
        <w:t>nor shall they, under any circumstances, be construed to define the length or term of the respective period of any restriction on Executive’s activities.</w:t>
      </w:r>
    </w:p>
    <w:p>
      <w:pPr>
        <w:spacing w:after="0" w:line="155" w:lineRule="exact"/>
        <w:rPr>
          <w:sz w:val="20"/>
          <w:szCs w:val="20"/>
          <w:color w:val="auto"/>
        </w:rPr>
      </w:pPr>
    </w:p>
    <w:p>
      <w:pPr>
        <w:jc w:val="both"/>
        <w:ind w:firstLine="1914"/>
        <w:spacing w:after="0" w:line="230" w:lineRule="auto"/>
        <w:tabs>
          <w:tab w:leader="none" w:pos="2530" w:val="left"/>
        </w:tabs>
        <w:numPr>
          <w:ilvl w:val="1"/>
          <w:numId w:val="76"/>
        </w:numPr>
        <w:rPr>
          <w:rFonts w:ascii="Arial" w:cs="Arial" w:eastAsia="Arial" w:hAnsi="Arial"/>
          <w:sz w:val="21"/>
          <w:szCs w:val="21"/>
          <w:color w:val="auto"/>
        </w:rPr>
      </w:pPr>
      <w:r>
        <w:rPr>
          <w:rFonts w:ascii="Arial" w:cs="Arial" w:eastAsia="Arial" w:hAnsi="Arial"/>
          <w:sz w:val="21"/>
          <w:szCs w:val="21"/>
          <w:color w:val="auto"/>
        </w:rPr>
        <w:t>For purposes of this Agreement, “Services” means the Company’s research, development, testing, design, publishing, marketing, promotion, operation, licensing, application, and distribution of electronic and internet-based lead-generation services, as well as the sale of leads generated therefrom.</w:t>
      </w:r>
    </w:p>
    <w:p>
      <w:pPr>
        <w:spacing w:after="0" w:line="153" w:lineRule="exact"/>
        <w:rPr>
          <w:rFonts w:ascii="Arial" w:cs="Arial" w:eastAsia="Arial" w:hAnsi="Arial"/>
          <w:sz w:val="21"/>
          <w:szCs w:val="21"/>
          <w:color w:val="auto"/>
        </w:rPr>
      </w:pPr>
    </w:p>
    <w:p>
      <w:pPr>
        <w:jc w:val="both"/>
        <w:ind w:firstLine="1914"/>
        <w:spacing w:after="0" w:line="230" w:lineRule="auto"/>
        <w:tabs>
          <w:tab w:leader="none" w:pos="2537" w:val="left"/>
        </w:tabs>
        <w:numPr>
          <w:ilvl w:val="1"/>
          <w:numId w:val="76"/>
        </w:numPr>
        <w:rPr>
          <w:rFonts w:ascii="Arial" w:cs="Arial" w:eastAsia="Arial" w:hAnsi="Arial"/>
          <w:sz w:val="21"/>
          <w:szCs w:val="21"/>
          <w:color w:val="auto"/>
        </w:rPr>
      </w:pPr>
      <w:r>
        <w:rPr>
          <w:rFonts w:ascii="Arial" w:cs="Arial" w:eastAsia="Arial" w:hAnsi="Arial"/>
          <w:sz w:val="21"/>
          <w:szCs w:val="21"/>
          <w:color w:val="auto"/>
        </w:rPr>
        <w:t>For purposes of this Agreement, “Customer” means any entity that has purchased products or services from the Company, including without limitation any Services. For the avoidance of doubt, the purchase of Services from the Company includes, without limitation, the purchase of any leads.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4" w:lineRule="exact"/>
        <w:rPr>
          <w:rFonts w:ascii="Arial" w:cs="Arial" w:eastAsia="Arial" w:hAnsi="Arial"/>
          <w:sz w:val="21"/>
          <w:szCs w:val="21"/>
          <w:color w:val="auto"/>
        </w:rPr>
      </w:pPr>
    </w:p>
    <w:p>
      <w:pPr>
        <w:ind w:left="1920" w:hanging="642"/>
        <w:spacing w:after="0"/>
        <w:tabs>
          <w:tab w:leader="none" w:pos="192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Covenants not to Solicit</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914"/>
        <w:spacing w:after="0" w:line="226" w:lineRule="auto"/>
        <w:tabs>
          <w:tab w:leader="none" w:pos="2537" w:val="left"/>
        </w:tabs>
        <w:numPr>
          <w:ilvl w:val="1"/>
          <w:numId w:val="77"/>
        </w:numPr>
        <w:rPr>
          <w:rFonts w:ascii="Arial" w:cs="Arial" w:eastAsia="Arial" w:hAnsi="Arial"/>
          <w:sz w:val="20"/>
          <w:szCs w:val="20"/>
          <w:color w:val="auto"/>
        </w:rPr>
      </w:pPr>
      <w:r>
        <w:rPr>
          <w:rFonts w:ascii="Arial" w:cs="Arial" w:eastAsia="Arial" w:hAnsi="Arial"/>
          <w:sz w:val="20"/>
          <w:szCs w:val="20"/>
          <w:color w:val="auto"/>
        </w:rPr>
        <w:t>For a period of twenty-four (24) consecutive months beginning on the Separation Date, Executive shall not solicit or induce, or attempt to solicit or induce, any entity or individual that is, or was at any time during the Prior Period, a Customer of the Company, for the purposes of performing or offering to perform, or selling or offering to sell, any products or services which compete with any product or service offered by the Company, including without limitation any of the Services, as of the Separation Date, whether individually, on behalf of another entity, as an employee or prospective employee, or as an independent contractor; but only as to those Customers with whom at any time during the Prior Period: (i) Executive had material contact or dealings regarding or concerning activities that were actually performed by Executive within the course and scope of Executive’s employment with the Company, or for whom Executive performed such activities; (ii) regarding whom Executive supervised, within the course and scope of Executive’s employment with the Company, any such direct material contact or dealings by an employee, associate, or agent of the Company or Executive; or (iii) concerning whom Executive had any material knowledge of Confidential Information regarding terms or details of such Customer’s business dealings or financial arrangements with the Company.</w:t>
      </w:r>
    </w:p>
    <w:p>
      <w:pPr>
        <w:spacing w:after="0" w:line="157" w:lineRule="exact"/>
        <w:rPr>
          <w:rFonts w:ascii="Arial" w:cs="Arial" w:eastAsia="Arial" w:hAnsi="Arial"/>
          <w:sz w:val="20"/>
          <w:szCs w:val="20"/>
          <w:color w:val="auto"/>
        </w:rPr>
      </w:pPr>
    </w:p>
    <w:p>
      <w:pPr>
        <w:ind w:firstLine="1914"/>
        <w:spacing w:after="0" w:line="239" w:lineRule="auto"/>
        <w:tabs>
          <w:tab w:leader="none" w:pos="2543" w:val="left"/>
        </w:tabs>
        <w:numPr>
          <w:ilvl w:val="1"/>
          <w:numId w:val="77"/>
        </w:numPr>
        <w:rPr>
          <w:rFonts w:ascii="Arial" w:cs="Arial" w:eastAsia="Arial" w:hAnsi="Arial"/>
          <w:sz w:val="21"/>
          <w:szCs w:val="21"/>
          <w:color w:val="auto"/>
        </w:rPr>
      </w:pPr>
      <w:r>
        <w:rPr>
          <w:rFonts w:ascii="Arial" w:cs="Arial" w:eastAsia="Arial" w:hAnsi="Arial"/>
          <w:sz w:val="21"/>
          <w:szCs w:val="21"/>
          <w:color w:val="auto"/>
        </w:rPr>
        <w:t>For a period of twenty-four (24) consecutive months beginning on the Separation Date (regardless of the reason for such cessation), Executive shall not:</w:t>
      </w:r>
    </w:p>
    <w:p>
      <w:pPr>
        <w:spacing w:after="0" w:line="155" w:lineRule="exact"/>
        <w:rPr>
          <w:rFonts w:ascii="Arial" w:cs="Arial" w:eastAsia="Arial" w:hAnsi="Arial"/>
          <w:sz w:val="21"/>
          <w:szCs w:val="21"/>
          <w:color w:val="auto"/>
        </w:rPr>
      </w:pPr>
    </w:p>
    <w:p>
      <w:pPr>
        <w:jc w:val="both"/>
        <w:ind w:firstLine="2550"/>
        <w:spacing w:after="0" w:line="222" w:lineRule="auto"/>
        <w:tabs>
          <w:tab w:leader="none" w:pos="3175" w:val="left"/>
        </w:tabs>
        <w:numPr>
          <w:ilvl w:val="2"/>
          <w:numId w:val="77"/>
        </w:numPr>
        <w:rPr>
          <w:rFonts w:ascii="Arial" w:cs="Arial" w:eastAsia="Arial" w:hAnsi="Arial"/>
          <w:sz w:val="21"/>
          <w:szCs w:val="21"/>
          <w:color w:val="auto"/>
        </w:rPr>
      </w:pPr>
      <w:r>
        <w:rPr>
          <w:rFonts w:ascii="Arial" w:cs="Arial" w:eastAsia="Arial" w:hAnsi="Arial"/>
          <w:sz w:val="21"/>
          <w:szCs w:val="21"/>
          <w:color w:val="auto"/>
        </w:rPr>
        <w:t>Solicit or induce, attempt to solicit or induce, or assist any other person or entity in soliciting, inducing, or attempting to solicit or induce any employee of the Company, LTI, or any of the Subsidiaries, or any individual who was employed by the Company, LTI, or any of the Subsidiaries at any time during the Prior Period, to become employed by an entity other than the Company, LTI, or any of the Subsidiaries or to cease his/her employment with the Company, LTI, or any of the Subsidiaries; or</w:t>
      </w:r>
    </w:p>
    <w:p>
      <w:pPr>
        <w:spacing w:after="0" w:line="155" w:lineRule="exact"/>
        <w:rPr>
          <w:rFonts w:ascii="Arial" w:cs="Arial" w:eastAsia="Arial" w:hAnsi="Arial"/>
          <w:sz w:val="21"/>
          <w:szCs w:val="21"/>
          <w:color w:val="auto"/>
        </w:rPr>
      </w:pPr>
    </w:p>
    <w:p>
      <w:pPr>
        <w:jc w:val="both"/>
        <w:ind w:firstLine="2550"/>
        <w:spacing w:after="0" w:line="230" w:lineRule="auto"/>
        <w:tabs>
          <w:tab w:leader="none" w:pos="3175" w:val="left"/>
        </w:tabs>
        <w:numPr>
          <w:ilvl w:val="2"/>
          <w:numId w:val="77"/>
        </w:numPr>
        <w:rPr>
          <w:rFonts w:ascii="Arial" w:cs="Arial" w:eastAsia="Arial" w:hAnsi="Arial"/>
          <w:sz w:val="21"/>
          <w:szCs w:val="21"/>
          <w:color w:val="auto"/>
        </w:rPr>
      </w:pPr>
      <w:r>
        <w:rPr>
          <w:rFonts w:ascii="Arial" w:cs="Arial" w:eastAsia="Arial" w:hAnsi="Arial"/>
          <w:sz w:val="21"/>
          <w:szCs w:val="21"/>
          <w:color w:val="auto"/>
        </w:rPr>
        <w:t>Hire or employ, attempt to hire or employ, or assist in hiring or employing any employee of the Company, LTI, or any of the Subsidiaries, or any individual who was employed by the Company, LTI, or any of the Subsidiaries at any time during the Prior Period.</w:t>
      </w:r>
    </w:p>
    <w:p>
      <w:pPr>
        <w:spacing w:after="0" w:line="153" w:lineRule="exact"/>
        <w:rPr>
          <w:rFonts w:ascii="Arial" w:cs="Arial" w:eastAsia="Arial" w:hAnsi="Arial"/>
          <w:sz w:val="21"/>
          <w:szCs w:val="21"/>
          <w:color w:val="auto"/>
        </w:rPr>
      </w:pPr>
    </w:p>
    <w:p>
      <w:pPr>
        <w:jc w:val="both"/>
        <w:ind w:firstLine="1914"/>
        <w:spacing w:after="0" w:line="230" w:lineRule="auto"/>
        <w:tabs>
          <w:tab w:leader="none" w:pos="2535" w:val="left"/>
        </w:tabs>
        <w:numPr>
          <w:ilvl w:val="1"/>
          <w:numId w:val="77"/>
        </w:numPr>
        <w:rPr>
          <w:rFonts w:ascii="Arial" w:cs="Arial" w:eastAsia="Arial" w:hAnsi="Arial"/>
          <w:sz w:val="21"/>
          <w:szCs w:val="21"/>
          <w:color w:val="auto"/>
        </w:rPr>
      </w:pPr>
      <w:r>
        <w:rPr>
          <w:rFonts w:ascii="Arial" w:cs="Arial" w:eastAsia="Arial" w:hAnsi="Arial"/>
          <w:sz w:val="21"/>
          <w:szCs w:val="21"/>
          <w:color w:val="auto"/>
        </w:rPr>
        <w:t>For a period of twenty-four (24) consecutive months beginning on the Separation Date (regardless of the reason for such cessation, whether such cessation was with or without cause, voluntary or involuntary, or initiated by the Company or Executive), Executive</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7 of 13</w:t>
      </w:r>
    </w:p>
    <w:p>
      <w:pPr>
        <w:sectPr>
          <w:pgSz w:w="11900" w:h="16838" w:orient="portrait"/>
          <w:cols w:equalWidth="0" w:num="1">
            <w:col w:w="11240"/>
          </w:cols>
          <w:pgMar w:left="320" w:top="1377" w:right="339" w:bottom="1440" w:gutter="0" w:footer="0" w:header="0"/>
        </w:sectPr>
      </w:pPr>
    </w:p>
    <w:bookmarkStart w:id="132" w:name="page133"/>
    <w:bookmarkEnd w:id="132"/>
    <w:p>
      <w:pPr>
        <w:jc w:val="both"/>
        <w:spacing w:after="0" w:line="225" w:lineRule="auto"/>
        <w:rPr>
          <w:sz w:val="20"/>
          <w:szCs w:val="20"/>
          <w:color w:val="auto"/>
        </w:rPr>
      </w:pPr>
      <w:r>
        <w:rPr>
          <w:rFonts w:ascii="Arial" w:cs="Arial" w:eastAsia="Arial" w:hAnsi="Arial"/>
          <w:sz w:val="21"/>
          <w:szCs w:val="21"/>
          <w:color w:val="auto"/>
        </w:rPr>
        <w:t>shall not solicit or induce, or attempt to solicit or induce, any independent contractor of the Company, LTI, or any of the Subsidiaries to cease its contractual relationship with the Company, LTI, or any of the Subsidiaries, to not continue or extend its contractual relationship with the Company, LTI, or any of the Subsidiaries, or to not seek, accept or perform work for or on behalf of the Company, LTI, or any of the Subsidiaries.</w:t>
      </w:r>
    </w:p>
    <w:p>
      <w:pPr>
        <w:spacing w:after="0" w:line="154" w:lineRule="exact"/>
        <w:rPr>
          <w:sz w:val="20"/>
          <w:szCs w:val="20"/>
          <w:color w:val="auto"/>
        </w:rPr>
      </w:pPr>
    </w:p>
    <w:p>
      <w:pPr>
        <w:jc w:val="both"/>
        <w:ind w:firstLine="1914"/>
        <w:spacing w:after="0" w:line="247" w:lineRule="auto"/>
        <w:tabs>
          <w:tab w:leader="none" w:pos="2523" w:val="left"/>
        </w:tabs>
        <w:numPr>
          <w:ilvl w:val="2"/>
          <w:numId w:val="78"/>
        </w:numPr>
        <w:rPr>
          <w:rFonts w:ascii="Arial" w:cs="Arial" w:eastAsia="Arial" w:hAnsi="Arial"/>
          <w:sz w:val="19"/>
          <w:szCs w:val="19"/>
          <w:color w:val="auto"/>
        </w:rPr>
      </w:pPr>
      <w:r>
        <w:rPr>
          <w:rFonts w:ascii="Arial" w:cs="Arial" w:eastAsia="Arial" w:hAnsi="Arial"/>
          <w:sz w:val="19"/>
          <w:szCs w:val="19"/>
          <w:color w:val="auto"/>
        </w:rPr>
        <w:t>For a period of twenty-four (24) consecutive months beginning on the Separation Date (regardless of the reason for such cessation), Executive shall not solicit or induce, or attempt to solicit or induce, any marketing partner of the Company to cease any contractual relationship with the Company, to discontinue or limit its relationship with the Company in any manner, to not continue supplying products or services to the Company or otherwise alter or discontinue its relationship with the Company, or to alter in any way the terms or conditions under which such products or services are provided to the Company.</w:t>
      </w:r>
    </w:p>
    <w:p>
      <w:pPr>
        <w:spacing w:after="0" w:line="147" w:lineRule="exact"/>
        <w:rPr>
          <w:rFonts w:ascii="Arial" w:cs="Arial" w:eastAsia="Arial" w:hAnsi="Arial"/>
          <w:sz w:val="19"/>
          <w:szCs w:val="19"/>
          <w:color w:val="auto"/>
        </w:rPr>
      </w:pPr>
    </w:p>
    <w:p>
      <w:pPr>
        <w:jc w:val="both"/>
        <w:ind w:firstLine="1914"/>
        <w:spacing w:after="0" w:line="247" w:lineRule="auto"/>
        <w:tabs>
          <w:tab w:leader="none" w:pos="2530" w:val="left"/>
        </w:tabs>
        <w:numPr>
          <w:ilvl w:val="2"/>
          <w:numId w:val="78"/>
        </w:numPr>
        <w:rPr>
          <w:rFonts w:ascii="Arial" w:cs="Arial" w:eastAsia="Arial" w:hAnsi="Arial"/>
          <w:sz w:val="19"/>
          <w:szCs w:val="19"/>
          <w:color w:val="auto"/>
        </w:rPr>
      </w:pPr>
      <w:r>
        <w:rPr>
          <w:rFonts w:ascii="Arial" w:cs="Arial" w:eastAsia="Arial" w:hAnsi="Arial"/>
          <w:sz w:val="19"/>
          <w:szCs w:val="19"/>
          <w:color w:val="auto"/>
        </w:rPr>
        <w:t>For a period of twenty-four (24) consecutive months beginning on the Separation Date (regardless of the reason for such cessation), Executive shall not solicit or induce, or attempt to solicit or induce, any supplier or vendor of the Company to cease any contractual relationship with the Company, to discontinue or limit its relationship with the Company in any manner, to not continue supplying products or services to the Company or otherwise alter or discontinue its relationship with the Company, or to alter in any way the terms or conditions under which such products or services are provided to the Company.</w:t>
      </w:r>
    </w:p>
    <w:p>
      <w:pPr>
        <w:spacing w:after="0" w:line="147" w:lineRule="exact"/>
        <w:rPr>
          <w:rFonts w:ascii="Arial" w:cs="Arial" w:eastAsia="Arial" w:hAnsi="Arial"/>
          <w:sz w:val="19"/>
          <w:szCs w:val="19"/>
          <w:color w:val="auto"/>
        </w:rPr>
      </w:pPr>
    </w:p>
    <w:p>
      <w:pPr>
        <w:jc w:val="both"/>
        <w:ind w:firstLine="1278"/>
        <w:spacing w:after="0" w:line="247" w:lineRule="auto"/>
        <w:tabs>
          <w:tab w:leader="none" w:pos="1903"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Tolling of Covenants and Severability</w:t>
      </w:r>
      <w:r>
        <w:rPr>
          <w:rFonts w:ascii="Arial" w:cs="Arial" w:eastAsia="Arial" w:hAnsi="Arial"/>
          <w:sz w:val="19"/>
          <w:szCs w:val="19"/>
          <w:color w:val="auto"/>
        </w:rPr>
        <w:t>. For all restrictions and covenants set forth in this Section 5 containing a twenty-four (24)-month restriction (each, a “Restriction”), the twenty-four (24) month period of each such Restriction shall be tolled for any such Restriction, as permitted by law, and shall be increased with respect to such Restriction by and in the amount of any time during which Executive is in breach of such Restriction. Executive agrees and acknowledges that each of the foregoing covenants set forth in this Section 5 above constitutes a separate, severable, and independently enforceable restrictive covenant.</w:t>
      </w:r>
    </w:p>
    <w:p>
      <w:pPr>
        <w:spacing w:after="0" w:line="147" w:lineRule="exact"/>
        <w:rPr>
          <w:rFonts w:ascii="Arial" w:cs="Arial" w:eastAsia="Arial" w:hAnsi="Arial"/>
          <w:sz w:val="19"/>
          <w:szCs w:val="19"/>
          <w:color w:val="auto"/>
        </w:rPr>
      </w:pPr>
    </w:p>
    <w:p>
      <w:pPr>
        <w:ind w:left="1920" w:hanging="642"/>
        <w:spacing w:after="0"/>
        <w:tabs>
          <w:tab w:leader="none" w:pos="192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Acknowledgement of Reasonableness</w:t>
      </w:r>
      <w:r>
        <w:rPr>
          <w:rFonts w:ascii="Arial" w:cs="Arial" w:eastAsia="Arial" w:hAnsi="Arial"/>
          <w:sz w:val="19"/>
          <w:szCs w:val="19"/>
          <w:color w:val="auto"/>
        </w:rPr>
        <w:t>. Executive acknowledges that the restrictions and covenants contained</w:t>
      </w:r>
    </w:p>
    <w:p>
      <w:pPr>
        <w:spacing w:after="0" w:line="11" w:lineRule="exact"/>
        <w:rPr>
          <w:rFonts w:ascii="Arial" w:cs="Arial" w:eastAsia="Arial" w:hAnsi="Arial"/>
          <w:sz w:val="19"/>
          <w:szCs w:val="19"/>
          <w:color w:val="auto"/>
        </w:rPr>
      </w:pPr>
    </w:p>
    <w:p>
      <w:pPr>
        <w:jc w:val="both"/>
        <w:spacing w:after="0" w:line="227" w:lineRule="auto"/>
        <w:rPr>
          <w:rFonts w:ascii="Arial" w:cs="Arial" w:eastAsia="Arial" w:hAnsi="Arial"/>
          <w:sz w:val="19"/>
          <w:szCs w:val="19"/>
          <w:color w:val="auto"/>
        </w:rPr>
      </w:pPr>
      <w:r>
        <w:rPr>
          <w:rFonts w:ascii="Arial" w:cs="Arial" w:eastAsia="Arial" w:hAnsi="Arial"/>
          <w:sz w:val="20"/>
          <w:szCs w:val="20"/>
          <w:color w:val="auto"/>
        </w:rPr>
        <w:t>in this Section 5: (i) are fair and necessary to protect the Company’s legitimate business interests; (ii) are narrowly tailored to protect such interests and so as not to offend public policy; (iii) are reasonable as to function and duration; and (iv) will not unduly restrict Executive’s ability to obtain employment or earn a living. Executive further acknowledges that in connection with Executive’s employment with the Company, Executive has been exposed to Confidential Information and has had material interaction with employees and independent contractors of not only the Company, but of LTI and the Subsidiaries as well, such that the restrictions in this Section 5, inclusive, are reasonable, fair, and necessary for the protection of the legitimate business interests of the Company, LTI, and the Subsidiaries, all of which constitute legitimate business interests of the Company.</w:t>
      </w:r>
    </w:p>
    <w:p>
      <w:pPr>
        <w:spacing w:after="0" w:line="155" w:lineRule="exact"/>
        <w:rPr>
          <w:rFonts w:ascii="Arial" w:cs="Arial" w:eastAsia="Arial" w:hAnsi="Arial"/>
          <w:sz w:val="19"/>
          <w:szCs w:val="19"/>
          <w:color w:val="auto"/>
        </w:rPr>
      </w:pPr>
    </w:p>
    <w:p>
      <w:pPr>
        <w:ind w:firstLine="1278"/>
        <w:spacing w:after="0" w:line="239" w:lineRule="auto"/>
        <w:tabs>
          <w:tab w:leader="none" w:pos="1908" w:val="left"/>
        </w:tabs>
        <w:numPr>
          <w:ilvl w:val="1"/>
          <w:numId w:val="79"/>
        </w:numPr>
        <w:rPr>
          <w:rFonts w:ascii="Arial" w:cs="Arial" w:eastAsia="Arial" w:hAnsi="Arial"/>
          <w:sz w:val="21"/>
          <w:szCs w:val="21"/>
          <w:color w:val="auto"/>
        </w:rPr>
      </w:pPr>
      <w:r>
        <w:rPr>
          <w:rFonts w:ascii="Arial" w:cs="Arial" w:eastAsia="Arial" w:hAnsi="Arial"/>
          <w:sz w:val="21"/>
          <w:szCs w:val="21"/>
          <w:color w:val="auto"/>
        </w:rPr>
        <w:t>Each of the restrictive covenants contained in this Section 5 shall be considered to be a “restrictive covenant” as such term is used in and applies to the Plan.</w:t>
      </w:r>
    </w:p>
    <w:p>
      <w:pPr>
        <w:spacing w:after="0" w:line="155" w:lineRule="exact"/>
        <w:rPr>
          <w:rFonts w:ascii="Arial" w:cs="Arial" w:eastAsia="Arial" w:hAnsi="Arial"/>
          <w:sz w:val="21"/>
          <w:szCs w:val="21"/>
          <w:color w:val="auto"/>
        </w:rPr>
      </w:pPr>
    </w:p>
    <w:p>
      <w:pPr>
        <w:jc w:val="both"/>
        <w:ind w:firstLine="642"/>
        <w:spacing w:after="0" w:line="230" w:lineRule="auto"/>
        <w:tabs>
          <w:tab w:leader="none" w:pos="127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Confidentiality of Agreement</w:t>
      </w:r>
      <w:r>
        <w:rPr>
          <w:rFonts w:ascii="Arial" w:cs="Arial" w:eastAsia="Arial" w:hAnsi="Arial"/>
          <w:sz w:val="20"/>
          <w:szCs w:val="20"/>
          <w:color w:val="auto"/>
        </w:rPr>
        <w:t xml:space="preserve">. Executive must keep this Agreement strictly confidential. Executive shall not disclose, directly or indirectly (such as through anyone acting at the direction or on behalf of Executive), to any other persons or entities the existence of this Agreement, the contents or terms of this Agreement, or the monetary consideration paid by the Company Group pursuant to this Agreement, except that Executive may disclose such information to: (a) Executive’s spouse or registered domestic/civil union partner, and/or (b) Executive’s attorney or accountant (solely in order for such individuals to render personal services to Executive), and only so long as any such individual(s) agrees </w:t>
      </w:r>
      <w:r>
        <w:rPr>
          <w:rFonts w:ascii="Arial" w:cs="Arial" w:eastAsia="Arial" w:hAnsi="Arial"/>
          <w:sz w:val="20"/>
          <w:szCs w:val="20"/>
          <w:i w:val="1"/>
          <w:iCs w:val="1"/>
          <w:color w:val="auto"/>
        </w:rPr>
        <w:t>in advance</w:t>
      </w:r>
      <w:r>
        <w:rPr>
          <w:rFonts w:ascii="Arial" w:cs="Arial" w:eastAsia="Arial" w:hAnsi="Arial"/>
          <w:sz w:val="20"/>
          <w:szCs w:val="20"/>
          <w:color w:val="auto"/>
        </w:rPr>
        <w:t xml:space="preserve"> of the disclosure to keep such information confidential. In the event the prior agreement to be bound</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8 of 13</w:t>
      </w:r>
    </w:p>
    <w:p>
      <w:pPr>
        <w:sectPr>
          <w:pgSz w:w="11900" w:h="16838" w:orient="portrait"/>
          <w:cols w:equalWidth="0" w:num="1">
            <w:col w:w="11240"/>
          </w:cols>
          <w:pgMar w:left="320" w:top="1377" w:right="339" w:bottom="1440" w:gutter="0" w:footer="0" w:header="0"/>
        </w:sectPr>
      </w:pPr>
    </w:p>
    <w:bookmarkStart w:id="133" w:name="page134"/>
    <w:bookmarkEnd w:id="133"/>
    <w:p>
      <w:pPr>
        <w:jc w:val="both"/>
        <w:spacing w:after="0" w:line="216" w:lineRule="auto"/>
        <w:rPr>
          <w:sz w:val="20"/>
          <w:szCs w:val="20"/>
          <w:color w:val="auto"/>
        </w:rPr>
      </w:pPr>
      <w:r>
        <w:rPr>
          <w:rFonts w:ascii="Arial" w:cs="Arial" w:eastAsia="Arial" w:hAnsi="Arial"/>
          <w:sz w:val="21"/>
          <w:szCs w:val="21"/>
          <w:color w:val="auto"/>
        </w:rPr>
        <w:t>by the terms of this confidentiality provision is not obtained from such individuals, then Executive will be deemed to have breached the confidentiality provision of this Agreement if Executive discloses such information. Nothing in this Section or elsewhere in this Agreement is intended to prevent or prohibit Executive from: (a) providing information regarding Executive’s former employment relationship with the Company or this Agreement, in the event required by law or lawful legal process; or (b) cooperating, participating or assisting in any investigation or proceeding conducted by a government entity or Regulators. Should Executive be required by law, legal process, or subpoena to provide information related to his employment with the Company, and only as permitted by law, Executive shall, in advance of providing any response, and within three (3) calendar days of his receipt of notice of such law, legal process or subpoena, provide written notice to the Company’s Chief Human Resources Officer via certified/registered U.S. Mail or via email, so that the Company and/or the Releasees may seek to assert its or their rights and interests in connection therewith.</w:t>
      </w:r>
    </w:p>
    <w:p>
      <w:pPr>
        <w:spacing w:after="0" w:line="159" w:lineRule="exact"/>
        <w:rPr>
          <w:sz w:val="20"/>
          <w:szCs w:val="20"/>
          <w:color w:val="auto"/>
        </w:rPr>
      </w:pPr>
    </w:p>
    <w:p>
      <w:pPr>
        <w:jc w:val="both"/>
        <w:ind w:right="20" w:firstLine="642"/>
        <w:spacing w:after="0" w:line="230" w:lineRule="auto"/>
        <w:tabs>
          <w:tab w:leader="none" w:pos="1272"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References</w:t>
      </w:r>
      <w:r>
        <w:rPr>
          <w:rFonts w:ascii="Arial" w:cs="Arial" w:eastAsia="Arial" w:hAnsi="Arial"/>
          <w:sz w:val="21"/>
          <w:szCs w:val="21"/>
          <w:color w:val="auto"/>
        </w:rPr>
        <w:t>. Executive shall direct any inquiries by potential future employers or persons/entities seeking references to the Company’s Human Resources Department, which shall communicate only Executive’s fact of employment, last position, and dates of employment.</w:t>
      </w:r>
    </w:p>
    <w:p>
      <w:pPr>
        <w:spacing w:after="0" w:line="153" w:lineRule="exact"/>
        <w:rPr>
          <w:rFonts w:ascii="Arial" w:cs="Arial" w:eastAsia="Arial" w:hAnsi="Arial"/>
          <w:sz w:val="21"/>
          <w:szCs w:val="21"/>
          <w:color w:val="auto"/>
        </w:rPr>
      </w:pPr>
    </w:p>
    <w:p>
      <w:pPr>
        <w:jc w:val="both"/>
        <w:ind w:firstLine="642"/>
        <w:spacing w:after="0" w:line="244" w:lineRule="auto"/>
        <w:tabs>
          <w:tab w:leader="none" w:pos="1272"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Acknowledgment of Receipt of Wages Due</w:t>
      </w:r>
      <w:r>
        <w:rPr>
          <w:rFonts w:ascii="Arial" w:cs="Arial" w:eastAsia="Arial" w:hAnsi="Arial"/>
          <w:sz w:val="19"/>
          <w:szCs w:val="19"/>
          <w:color w:val="auto"/>
        </w:rPr>
        <w:t xml:space="preserve">. Executive understands and agrees that Executive has been paid any and all wages due and owing by the Company Group through the Separation Date, and that the payment of any wages concededly due and owed is not in any way conditioned upon Executive signing this Agreement. This Agreement includes a compromise of any potential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and good faith dispute regarding claimed wages by Executive and by signing this Agreement, Executive acknowledges and agrees that with respect to any potential claim for wages by Executive, the Company Group and other Releasees have defenses, based in law or fact that, if successful would preclude any recovery on the part of Executive.</w:t>
      </w:r>
    </w:p>
    <w:p>
      <w:pPr>
        <w:spacing w:after="0" w:line="151" w:lineRule="exact"/>
        <w:rPr>
          <w:rFonts w:ascii="Arial" w:cs="Arial" w:eastAsia="Arial" w:hAnsi="Arial"/>
          <w:sz w:val="19"/>
          <w:szCs w:val="19"/>
          <w:color w:val="auto"/>
        </w:rPr>
      </w:pPr>
    </w:p>
    <w:p>
      <w:pPr>
        <w:jc w:val="both"/>
        <w:ind w:firstLine="642"/>
        <w:spacing w:after="0" w:line="231" w:lineRule="auto"/>
        <w:tabs>
          <w:tab w:leader="none" w:pos="1272"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 Voluntary Cooperation in Third Party Claims</w:t>
      </w:r>
      <w:r>
        <w:rPr>
          <w:rFonts w:ascii="Arial" w:cs="Arial" w:eastAsia="Arial" w:hAnsi="Arial"/>
          <w:sz w:val="20"/>
          <w:szCs w:val="20"/>
          <w:color w:val="auto"/>
        </w:rPr>
        <w:t>. Executive agrees that Executive will not voluntarily cooperate, directly or indirectly (such as through anyone acting at the direction or on behalf of Executive, including without limitation Executive’s spouse), with any third party, including without limitation any former employee of the Company Group, in any actual or threatened lawsuit of any nature whatsoever against the Company Group, except as required by law or by any government agency. Nothing in this provision shall be construed as preventing Executive from providing complete and truthful testimony in connection with any formal legal proceeding (</w:t>
      </w:r>
      <w:r>
        <w:rPr>
          <w:rFonts w:ascii="Arial" w:cs="Arial" w:eastAsia="Arial" w:hAnsi="Arial"/>
          <w:sz w:val="20"/>
          <w:szCs w:val="20"/>
          <w:i w:val="1"/>
          <w:iCs w:val="1"/>
          <w:color w:val="auto"/>
        </w:rPr>
        <w:t>e.g.</w:t>
      </w:r>
      <w:r>
        <w:rPr>
          <w:rFonts w:ascii="Arial" w:cs="Arial" w:eastAsia="Arial" w:hAnsi="Arial"/>
          <w:sz w:val="20"/>
          <w:szCs w:val="20"/>
          <w:color w:val="auto"/>
        </w:rPr>
        <w:t>, a deposition or testimony in court or arbitration).</w:t>
      </w:r>
    </w:p>
    <w:p>
      <w:pPr>
        <w:spacing w:after="0" w:line="155" w:lineRule="exact"/>
        <w:rPr>
          <w:rFonts w:ascii="Arial" w:cs="Arial" w:eastAsia="Arial" w:hAnsi="Arial"/>
          <w:sz w:val="20"/>
          <w:szCs w:val="20"/>
          <w:color w:val="auto"/>
        </w:rPr>
      </w:pPr>
    </w:p>
    <w:p>
      <w:pPr>
        <w:jc w:val="both"/>
        <w:ind w:firstLine="642"/>
        <w:spacing w:after="0" w:line="244" w:lineRule="auto"/>
        <w:tabs>
          <w:tab w:leader="none" w:pos="1272"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No Pending Actions</w:t>
      </w:r>
      <w:r>
        <w:rPr>
          <w:rFonts w:ascii="Arial" w:cs="Arial" w:eastAsia="Arial" w:hAnsi="Arial"/>
          <w:sz w:val="19"/>
          <w:szCs w:val="19"/>
          <w:color w:val="auto"/>
        </w:rPr>
        <w:t>. Executive represents and certifies that neither Executive nor any person, agent, or entity acting on Executive’s behalf has filed or instituted any complaints, lawsuits, actions, claims, administrative charges, grievances, and/or proceedings against the Company Group or any of the Releasees, in any forum, and to the extent any such claims, charges, complaints have been filed or instituted on behalf of Executive, Executive agrees to dismiss such claims, complaints, charges with prejudice. The dismissal with prejudice of any such pending claims, complaints, or charges shall be a condition precedent to Company Group’s obligation to provide the severance payments and benefits to the Executive under this Agreement.</w:t>
      </w:r>
    </w:p>
    <w:p>
      <w:pPr>
        <w:spacing w:after="0" w:line="151" w:lineRule="exact"/>
        <w:rPr>
          <w:rFonts w:ascii="Arial" w:cs="Arial" w:eastAsia="Arial" w:hAnsi="Arial"/>
          <w:sz w:val="19"/>
          <w:szCs w:val="19"/>
          <w:color w:val="auto"/>
        </w:rPr>
      </w:pPr>
    </w:p>
    <w:p>
      <w:pPr>
        <w:jc w:val="both"/>
        <w:ind w:firstLine="642"/>
        <w:spacing w:after="0" w:line="220" w:lineRule="auto"/>
        <w:tabs>
          <w:tab w:leader="none" w:pos="1256" w:val="left"/>
        </w:tabs>
        <w:numPr>
          <w:ilvl w:val="0"/>
          <w:numId w:val="81"/>
        </w:numPr>
        <w:rPr>
          <w:rFonts w:ascii="Arial" w:cs="Arial" w:eastAsia="Arial" w:hAnsi="Arial"/>
          <w:sz w:val="19"/>
          <w:szCs w:val="19"/>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If the Company Group so requests, then Executive will cooperate with the Company Group about any legal matter, including matters that started after Executive leaves the Company Group. Executive agrees to provide the Company Group with cooperation and reasonable assistance in the preparation, defense, or prosecution of any legal matters involving the Company Group about which Executive has personal knowledge, including any matters which may be filed after the Separation Date. Executive agrees that the consideration in Section 2 is compensation in full for such cooperation or assistance. Executive acknowledges</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9 of 13</w:t>
      </w:r>
    </w:p>
    <w:p>
      <w:pPr>
        <w:sectPr>
          <w:pgSz w:w="11900" w:h="16838" w:orient="portrait"/>
          <w:cols w:equalWidth="0" w:num="1">
            <w:col w:w="11240"/>
          </w:cols>
          <w:pgMar w:left="320" w:top="1377" w:right="339" w:bottom="1440" w:gutter="0" w:footer="0" w:header="0"/>
        </w:sectPr>
      </w:pPr>
    </w:p>
    <w:bookmarkStart w:id="134" w:name="page135"/>
    <w:bookmarkEnd w:id="134"/>
    <w:p>
      <w:pPr>
        <w:spacing w:after="0" w:line="239" w:lineRule="auto"/>
        <w:rPr>
          <w:sz w:val="20"/>
          <w:szCs w:val="20"/>
          <w:color w:val="auto"/>
        </w:rPr>
      </w:pPr>
      <w:r>
        <w:rPr>
          <w:rFonts w:ascii="Arial" w:cs="Arial" w:eastAsia="Arial" w:hAnsi="Arial"/>
          <w:sz w:val="21"/>
          <w:szCs w:val="21"/>
          <w:color w:val="auto"/>
        </w:rPr>
        <w:t>that Executive will not receive any pay for time spent testifying as a witness or in other circumstances where applicable law may otherwise prohibit compensation.</w:t>
      </w:r>
    </w:p>
    <w:p>
      <w:pPr>
        <w:spacing w:after="0" w:line="155" w:lineRule="exact"/>
        <w:rPr>
          <w:sz w:val="20"/>
          <w:szCs w:val="20"/>
          <w:color w:val="auto"/>
        </w:rPr>
      </w:pPr>
    </w:p>
    <w:p>
      <w:pPr>
        <w:jc w:val="both"/>
        <w:ind w:firstLine="642"/>
        <w:spacing w:after="0" w:line="230" w:lineRule="auto"/>
        <w:tabs>
          <w:tab w:leader="none" w:pos="1272"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ADEA Waiver; Consideration &amp; Revocation Periods; Effective Date</w:t>
      </w:r>
      <w:r>
        <w:rPr>
          <w:rFonts w:ascii="Arial" w:cs="Arial" w:eastAsia="Arial" w:hAnsi="Arial"/>
          <w:sz w:val="21"/>
          <w:szCs w:val="21"/>
          <w:color w:val="auto"/>
        </w:rPr>
        <w:t>. Executive acknowledges that Executive is waiving and releasing any claims that Executive may have under the ADEA against Releasees, and Executive represents that this waiver and release is knowing and voluntary.</w:t>
      </w:r>
    </w:p>
    <w:p>
      <w:pPr>
        <w:spacing w:after="0" w:line="153" w:lineRule="exact"/>
        <w:rPr>
          <w:rFonts w:ascii="Arial" w:cs="Arial" w:eastAsia="Arial" w:hAnsi="Arial"/>
          <w:sz w:val="21"/>
          <w:szCs w:val="21"/>
          <w:color w:val="auto"/>
        </w:rPr>
      </w:pPr>
    </w:p>
    <w:p>
      <w:pPr>
        <w:jc w:val="both"/>
        <w:ind w:firstLine="1278"/>
        <w:spacing w:after="0" w:line="230" w:lineRule="auto"/>
        <w:tabs>
          <w:tab w:leader="none" w:pos="1905"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Consideration Period</w:t>
      </w:r>
      <w:r>
        <w:rPr>
          <w:rFonts w:ascii="Arial" w:cs="Arial" w:eastAsia="Arial" w:hAnsi="Arial"/>
          <w:sz w:val="20"/>
          <w:szCs w:val="20"/>
          <w:color w:val="auto"/>
        </w:rPr>
        <w:t>. Executive has twenty-one (21) calendar days after the date Executive received this Agreement (the “Consideration Period”) in order (i) to read and consider it; (ii) to consult with an attorney of Executive’s own choosing (and cost) regarding whether Executive should sign this Agreement, which consultation the Company Group hereby advises Executive to undertake; and (iii) to sign this Agreement if that is what Executive decides to do; provided, however, that Executive may not sign this Agreement prior to the Separation Date. In the event Executive signs this Agreement on or after the Separation Date, but before expiration of the Consideration Period, Executive hereby acknowledges that Executive has freely and voluntarily chosen to waive the remainder of the Consideration Period.</w:t>
      </w:r>
    </w:p>
    <w:p>
      <w:pPr>
        <w:spacing w:after="0" w:line="153" w:lineRule="exact"/>
        <w:rPr>
          <w:rFonts w:ascii="Arial" w:cs="Arial" w:eastAsia="Arial" w:hAnsi="Arial"/>
          <w:sz w:val="20"/>
          <w:szCs w:val="20"/>
          <w:color w:val="auto"/>
        </w:rPr>
      </w:pPr>
    </w:p>
    <w:p>
      <w:pPr>
        <w:jc w:val="both"/>
        <w:ind w:firstLine="1278"/>
        <w:spacing w:after="0" w:line="222" w:lineRule="auto"/>
        <w:tabs>
          <w:tab w:leader="none" w:pos="1903"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Revocation Period</w:t>
      </w:r>
      <w:r>
        <w:rPr>
          <w:rFonts w:ascii="Arial" w:cs="Arial" w:eastAsia="Arial" w:hAnsi="Arial"/>
          <w:sz w:val="21"/>
          <w:szCs w:val="21"/>
          <w:i w:val="1"/>
          <w:iCs w:val="1"/>
          <w:color w:val="auto"/>
        </w:rPr>
        <w:t>.</w:t>
      </w:r>
      <w:r>
        <w:rPr>
          <w:rFonts w:ascii="Arial" w:cs="Arial" w:eastAsia="Arial" w:hAnsi="Arial"/>
          <w:sz w:val="21"/>
          <w:szCs w:val="21"/>
          <w:color w:val="auto"/>
        </w:rPr>
        <w:t xml:space="preserve"> If Executive timely signed this Agreement during the Consideration Period, Executive can change his mind about having signed the Agreement during the seven (7) days after the date Executive signed the Agreement (“Revocation Period”). If Executive changes his mind in this regard, Executive must deliver notice to the Company Group of the revocation by midnight on the seventh day to LendingTree, Inc., Attn: Chief Human Resources Officer, 1415 Vantage Park Drive, Suite 700, Charlotte, NC 28203.</w:t>
      </w:r>
    </w:p>
    <w:p>
      <w:pPr>
        <w:spacing w:after="0" w:line="155" w:lineRule="exact"/>
        <w:rPr>
          <w:rFonts w:ascii="Arial" w:cs="Arial" w:eastAsia="Arial" w:hAnsi="Arial"/>
          <w:sz w:val="21"/>
          <w:szCs w:val="21"/>
          <w:color w:val="auto"/>
        </w:rPr>
      </w:pPr>
    </w:p>
    <w:p>
      <w:pPr>
        <w:jc w:val="both"/>
        <w:ind w:firstLine="1278"/>
        <w:spacing w:after="0" w:line="230" w:lineRule="auto"/>
        <w:tabs>
          <w:tab w:leader="none" w:pos="1905"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The “Effective Date” of the Agreement will be the eighth (8th) day after the date Executive timely signed the Agreement,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Executive returned Executive’s signed Agreement to the Company Group and did not timely revoke the Agreement during the Revocation Period.</w:t>
      </w:r>
    </w:p>
    <w:p>
      <w:pPr>
        <w:spacing w:after="0" w:line="153" w:lineRule="exact"/>
        <w:rPr>
          <w:rFonts w:ascii="Arial" w:cs="Arial" w:eastAsia="Arial" w:hAnsi="Arial"/>
          <w:sz w:val="21"/>
          <w:szCs w:val="21"/>
          <w:color w:val="auto"/>
        </w:rPr>
      </w:pPr>
    </w:p>
    <w:p>
      <w:pPr>
        <w:jc w:val="both"/>
        <w:ind w:firstLine="642"/>
        <w:spacing w:after="0" w:line="238" w:lineRule="auto"/>
        <w:tabs>
          <w:tab w:leader="none" w:pos="127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further acknowledges and agrees that following the execution of this Agreement, Executive will not make any negative, derogatory, defamatory, slanderous, or disparaging comments, references, or characterizations, either verbally or in writing, regarding any of the Releasees, including without limitation the services, products, business models, personnel, officers, affiliates, management, and financial status of the Company Group, to any of the following: former or existing employees of the Company Group, customers or business partners of the Company Group, the media, the general public, on the Internet, or any other entity, for any purpose whatsoever, unless a legal duty to do so is imposed. Notwithstanding the foregoing, nothing in this Agreement is intended to prohibit or shall prohibit Executive from engaging in any conduct set forth in Section 4 above, or otherwise providing truthful information or testimony in connection with any legal or regulatory investigation or proceeding. Executive agrees that in the event of any breach or threatened breach of this Section 13, the Company Group (in addition to any other remedies at law or in equity it may have) shall be entitled, without the requirement of posting a bond or other security, to equitable relief, including without limitation injunctive relief and specific performance.</w:t>
      </w:r>
    </w:p>
    <w:p>
      <w:pPr>
        <w:spacing w:after="0" w:line="160" w:lineRule="exact"/>
        <w:rPr>
          <w:rFonts w:ascii="Arial" w:cs="Arial" w:eastAsia="Arial" w:hAnsi="Arial"/>
          <w:sz w:val="19"/>
          <w:szCs w:val="19"/>
          <w:color w:val="auto"/>
        </w:rPr>
      </w:pPr>
    </w:p>
    <w:p>
      <w:pPr>
        <w:ind w:left="1280" w:hanging="638"/>
        <w:spacing w:after="0"/>
        <w:tabs>
          <w:tab w:leader="none" w:pos="1280"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General Terms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right="20" w:firstLine="1278"/>
        <w:spacing w:after="0" w:line="239" w:lineRule="auto"/>
        <w:tabs>
          <w:tab w:leader="none" w:pos="1905" w:val="left"/>
        </w:tabs>
        <w:numPr>
          <w:ilvl w:val="1"/>
          <w:numId w:val="82"/>
        </w:numPr>
        <w:rPr>
          <w:rFonts w:ascii="Arial" w:cs="Arial" w:eastAsia="Arial" w:hAnsi="Arial"/>
          <w:sz w:val="21"/>
          <w:szCs w:val="21"/>
          <w:color w:val="auto"/>
        </w:rPr>
      </w:pPr>
      <w:r>
        <w:rPr>
          <w:rFonts w:ascii="Arial" w:cs="Arial" w:eastAsia="Arial" w:hAnsi="Arial"/>
          <w:sz w:val="21"/>
          <w:szCs w:val="21"/>
          <w:color w:val="auto"/>
        </w:rPr>
        <w:t>Nothing contained in this Agreement shall constitute or be treated as an admission by Executive or by Company Group or the Releasees of any liability, or any wrongdoing, or of any violation of law.</w:t>
      </w:r>
    </w:p>
    <w:p>
      <w:pPr>
        <w:spacing w:after="0" w:line="155" w:lineRule="exact"/>
        <w:rPr>
          <w:rFonts w:ascii="Arial" w:cs="Arial" w:eastAsia="Arial" w:hAnsi="Arial"/>
          <w:sz w:val="21"/>
          <w:szCs w:val="21"/>
          <w:color w:val="auto"/>
        </w:rPr>
      </w:pPr>
    </w:p>
    <w:p>
      <w:pPr>
        <w:ind w:firstLine="1278"/>
        <w:spacing w:after="0" w:line="239" w:lineRule="auto"/>
        <w:tabs>
          <w:tab w:leader="none" w:pos="1903"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Company Group advises Executive to consult with an attorney of Executive’s own choosing before signing this Agreement.</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10 of 13</w:t>
      </w:r>
    </w:p>
    <w:p>
      <w:pPr>
        <w:sectPr>
          <w:pgSz w:w="11900" w:h="16838" w:orient="portrait"/>
          <w:cols w:equalWidth="0" w:num="1">
            <w:col w:w="11240"/>
          </w:cols>
          <w:pgMar w:left="320" w:top="1377" w:right="339" w:bottom="1440" w:gutter="0" w:footer="0" w:header="0"/>
        </w:sectPr>
      </w:pPr>
    </w:p>
    <w:bookmarkStart w:id="135" w:name="page136"/>
    <w:bookmarkEnd w:id="135"/>
    <w:p>
      <w:pPr>
        <w:ind w:firstLine="1278"/>
        <w:spacing w:after="0" w:line="239" w:lineRule="auto"/>
        <w:tabs>
          <w:tab w:leader="none" w:pos="1905"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Executive and the Company Group shall each bear their own respective costs and fees and expenses incurred in connection with the review and signing of this Agreement.</w:t>
      </w:r>
    </w:p>
    <w:p>
      <w:pPr>
        <w:spacing w:after="0" w:line="155" w:lineRule="exact"/>
        <w:rPr>
          <w:rFonts w:ascii="Arial" w:cs="Arial" w:eastAsia="Arial" w:hAnsi="Arial"/>
          <w:sz w:val="21"/>
          <w:szCs w:val="21"/>
          <w:color w:val="auto"/>
        </w:rPr>
      </w:pPr>
    </w:p>
    <w:p>
      <w:pPr>
        <w:jc w:val="both"/>
        <w:ind w:firstLine="1278"/>
        <w:spacing w:after="0" w:line="230" w:lineRule="auto"/>
        <w:tabs>
          <w:tab w:leader="none" w:pos="1903"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Company Group reserves the right after receiving the signed Agreement from Executive to reject it and decline to accept it in the event it is untimely or if it has been modified in any way by Executive. In the event the Agreement is rejected and not accepted by the Company Group, it will be void and unenforceable.</w:t>
      </w:r>
    </w:p>
    <w:p>
      <w:pPr>
        <w:spacing w:after="0" w:line="153" w:lineRule="exact"/>
        <w:rPr>
          <w:rFonts w:ascii="Arial" w:cs="Arial" w:eastAsia="Arial" w:hAnsi="Arial"/>
          <w:sz w:val="21"/>
          <w:szCs w:val="21"/>
          <w:color w:val="auto"/>
        </w:rPr>
      </w:pPr>
    </w:p>
    <w:p>
      <w:pPr>
        <w:jc w:val="both"/>
        <w:ind w:firstLine="1278"/>
        <w:spacing w:after="0" w:line="242" w:lineRule="auto"/>
        <w:tabs>
          <w:tab w:leader="none" w:pos="1905" w:val="left"/>
        </w:tabs>
        <w:numPr>
          <w:ilvl w:val="0"/>
          <w:numId w:val="83"/>
        </w:numPr>
        <w:rPr>
          <w:rFonts w:ascii="Arial" w:cs="Arial" w:eastAsia="Arial" w:hAnsi="Arial"/>
          <w:sz w:val="19"/>
          <w:szCs w:val="19"/>
          <w:color w:val="auto"/>
        </w:rPr>
      </w:pPr>
      <w:r>
        <w:rPr>
          <w:rFonts w:ascii="Arial" w:cs="Arial" w:eastAsia="Arial" w:hAnsi="Arial"/>
          <w:sz w:val="19"/>
          <w:szCs w:val="19"/>
          <w:color w:val="auto"/>
        </w:rPr>
        <w:t>Executive and the Company Group intend that this Agreement be construed to give the Releasees the full benefit of the waiver and release provisions. Should any provision of this Agreement be determined by an arbitrator or a court of competent jurisdiction to be wholly or partially invalid or unenforceable, such provision(s) shall be modified to comply with current applicable law. In addition, if any one or more provisions contained in this Agreement shall be held to be excessively broad as to duration, geographical scope, activity, subject, or otherwise, it shall be construed by limiting or reducing it, so as to be enforceable with applicable law. If any provision(s) cannot be modified to comply with current applicable law, such provision(s) shall be severed and the enforceability of the remaining parts, terms, or provisions shall remain in full force and effect.</w:t>
      </w:r>
    </w:p>
    <w:p>
      <w:pPr>
        <w:spacing w:after="0" w:line="153" w:lineRule="exact"/>
        <w:rPr>
          <w:rFonts w:ascii="Arial" w:cs="Arial" w:eastAsia="Arial" w:hAnsi="Arial"/>
          <w:sz w:val="19"/>
          <w:szCs w:val="19"/>
          <w:color w:val="auto"/>
        </w:rPr>
      </w:pPr>
    </w:p>
    <w:p>
      <w:pPr>
        <w:jc w:val="both"/>
        <w:ind w:firstLine="1278"/>
        <w:spacing w:after="0" w:line="226" w:lineRule="auto"/>
        <w:tabs>
          <w:tab w:leader="none" w:pos="1908" w:val="left"/>
        </w:tabs>
        <w:numPr>
          <w:ilvl w:val="0"/>
          <w:numId w:val="83"/>
        </w:numPr>
        <w:rPr>
          <w:rFonts w:ascii="Arial" w:cs="Arial" w:eastAsia="Arial" w:hAnsi="Arial"/>
          <w:sz w:val="20"/>
          <w:szCs w:val="20"/>
          <w:color w:val="auto"/>
        </w:rPr>
      </w:pPr>
      <w:r>
        <w:rPr>
          <w:rFonts w:ascii="Arial" w:cs="Arial" w:eastAsia="Arial" w:hAnsi="Arial"/>
          <w:sz w:val="20"/>
          <w:szCs w:val="20"/>
          <w:color w:val="auto"/>
        </w:rPr>
        <w:t>Except as specified below, this Agreement and the Plan supersede any and all other agreements or understandings, whether oral, implied, or in writing, between the Parties with respect to the subject matter hereof and contain all of the covenants and agreements between the Parties with respect to such matters in their entirety; provided, however, Executive’s post-employment obligations under the Employment Agreement between the Parties dated January 2, 2018 (the “Employment Agreement,” which Employment Agreement expired on October 22, 2021), Exhibit A attached thereto, the Confidentiality, Work-Product and Restrictive Covenant Agreement between the Parties of even date therewith, and any other written agreement(s) between Executive and any of the Company Group relating to the protection of any of the Company Group’s confidentiality, proprietary information, intellectual property, or trade secrets, shall remain in full force and effect. Except as set forth herein, this Agreement shall constitute the full, complete, and exclusive agreement between Executive and the Company Group regarding all of the subject matter covered by this Agreement, and neither the Executive nor the Company Group is relying on any representation or promise that is not expressly stated in this Agreement.</w:t>
      </w:r>
    </w:p>
    <w:p>
      <w:pPr>
        <w:spacing w:after="0" w:line="161" w:lineRule="exact"/>
        <w:rPr>
          <w:rFonts w:ascii="Arial" w:cs="Arial" w:eastAsia="Arial" w:hAnsi="Arial"/>
          <w:sz w:val="20"/>
          <w:szCs w:val="20"/>
          <w:color w:val="auto"/>
        </w:rPr>
      </w:pPr>
    </w:p>
    <w:p>
      <w:pPr>
        <w:ind w:left="1900" w:hanging="622"/>
        <w:spacing w:after="0"/>
        <w:tabs>
          <w:tab w:leader="none" w:pos="19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This Agreement may only be amended by a written agreement signed by Executive and an Officer of the</w:t>
      </w:r>
    </w:p>
    <w:p>
      <w:pPr>
        <w:spacing w:after="0"/>
        <w:rPr>
          <w:rFonts w:ascii="Arial" w:cs="Arial" w:eastAsia="Arial" w:hAnsi="Arial"/>
          <w:sz w:val="20"/>
          <w:szCs w:val="20"/>
          <w:color w:val="auto"/>
        </w:rPr>
      </w:pPr>
      <w:r>
        <w:rPr>
          <w:rFonts w:ascii="Arial" w:cs="Arial" w:eastAsia="Arial" w:hAnsi="Arial"/>
          <w:sz w:val="21"/>
          <w:szCs w:val="21"/>
          <w:color w:val="auto"/>
        </w:rPr>
        <w:t>Company Group.</w:t>
      </w:r>
    </w:p>
    <w:p>
      <w:pPr>
        <w:spacing w:after="0" w:line="164" w:lineRule="exact"/>
        <w:rPr>
          <w:rFonts w:ascii="Arial" w:cs="Arial" w:eastAsia="Arial" w:hAnsi="Arial"/>
          <w:sz w:val="20"/>
          <w:szCs w:val="20"/>
          <w:color w:val="auto"/>
        </w:rPr>
      </w:pPr>
    </w:p>
    <w:p>
      <w:pPr>
        <w:jc w:val="both"/>
        <w:ind w:firstLine="1278"/>
        <w:spacing w:after="0" w:line="228" w:lineRule="auto"/>
        <w:tabs>
          <w:tab w:leader="none" w:pos="1903"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rights and remedies of the Company Group in this Agreement shall be deemed cumulative, and the exercise of one of such remedies shall not operate to bar the exercise of any other rights and remedies reserved to the Company Group or available at law or in equity. The failure of the Company Group to insist upon strict adherence to any term of this Agreement on any occasion shall not be considered a waiver thereof, or deprive the Company Group of the right thereafter to insist upon strict adherence to that term or any other term of this Agreement. Any waiver must be in writing, and no waiver of any breach of any provision of this Agreement shall constitute a continuing waiver, a waiver of any other breach of that provision, or a waiver of any other provision hereof. Additionally, no delay or failure by the Company Group to exercise any right under this Agreement, and no partial or single exercise of such right, shall constitute a waiver of that or any other right.</w:t>
      </w:r>
    </w:p>
    <w:p>
      <w:pPr>
        <w:spacing w:after="0" w:line="160" w:lineRule="exact"/>
        <w:rPr>
          <w:rFonts w:ascii="Arial" w:cs="Arial" w:eastAsia="Arial" w:hAnsi="Arial"/>
          <w:sz w:val="20"/>
          <w:szCs w:val="20"/>
          <w:color w:val="auto"/>
        </w:rPr>
      </w:pPr>
    </w:p>
    <w:p>
      <w:pPr>
        <w:jc w:val="both"/>
        <w:ind w:firstLine="1278"/>
        <w:spacing w:after="0" w:line="230" w:lineRule="auto"/>
        <w:tabs>
          <w:tab w:leader="none" w:pos="1896"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This Agreement and all rights hereunder shall be governed by and construed in accordance with the terms of the Plan and the Employee Retirement Income Security Act of 1974, as amended (“ERISA”) and, to the extent not preempted by ERISA or</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 of 13</w:t>
      </w:r>
    </w:p>
    <w:p>
      <w:pPr>
        <w:sectPr>
          <w:pgSz w:w="11900" w:h="16838" w:orient="portrait"/>
          <w:cols w:equalWidth="0" w:num="1">
            <w:col w:w="11240"/>
          </w:cols>
          <w:pgMar w:left="320" w:top="1377" w:right="339" w:bottom="1440" w:gutter="0" w:footer="0" w:header="0"/>
        </w:sectPr>
      </w:pPr>
    </w:p>
    <w:bookmarkStart w:id="136" w:name="page137"/>
    <w:bookmarkEnd w:id="136"/>
    <w:p>
      <w:pPr>
        <w:jc w:val="both"/>
        <w:spacing w:after="0" w:line="225" w:lineRule="auto"/>
        <w:rPr>
          <w:sz w:val="20"/>
          <w:szCs w:val="20"/>
          <w:color w:val="auto"/>
        </w:rPr>
      </w:pPr>
      <w:r>
        <w:rPr>
          <w:rFonts w:ascii="Arial" w:cs="Arial" w:eastAsia="Arial" w:hAnsi="Arial"/>
          <w:sz w:val="21"/>
          <w:szCs w:val="21"/>
          <w:color w:val="auto"/>
        </w:rPr>
        <w:t>otherwise governed by federal law, the laws of the State of North Carolina, without regard to the conflicts of laws provisions thereof. The Parties agree that any rule of construction of contracts resolving any ambiguities against the drafting party shall be inapplicable to this Agreement. In addition, and to the extent permitted by applicable law, the Parties irrevocably waive any right to a trial by jury in any such action related to this Agreement.</w:t>
      </w:r>
    </w:p>
    <w:p>
      <w:pPr>
        <w:spacing w:after="0" w:line="154" w:lineRule="exact"/>
        <w:rPr>
          <w:sz w:val="20"/>
          <w:szCs w:val="20"/>
          <w:color w:val="auto"/>
        </w:rPr>
      </w:pPr>
    </w:p>
    <w:p>
      <w:pPr>
        <w:jc w:val="both"/>
        <w:ind w:firstLine="1278"/>
        <w:spacing w:after="0" w:line="228" w:lineRule="auto"/>
        <w:tabs>
          <w:tab w:leader="none" w:pos="1896"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This Agreement may be signed in counterparts. The Parties hereby expressly agree, pursuant to Article 40 of Chapter 66 of the North Carolina General Statutes, that either or both of the Parties may execute this Agreement using an electronic signature (as such term is defined in that statute). If and to the extent that separate signature pages are signed by the Parties, each separate signature page shall be affixed to this Agreement and shall constitute one (1) Agreement binding on the Parties, notwithstanding that the signatories are not signing the same page. Facsimile transmissions (including transmission by e-mail in PDF format) of any executed original document shall be deemed the same as a delivered, executed original. Each Party agrees that the electronic signatures, whether digital or encrypted, of the Parties included in this Agreement are intended to authenticate this writing and to have the same force and effect as manual signatures.</w:t>
      </w:r>
    </w:p>
    <w:p>
      <w:pPr>
        <w:spacing w:after="0" w:line="160" w:lineRule="exact"/>
        <w:rPr>
          <w:rFonts w:ascii="Arial" w:cs="Arial" w:eastAsia="Arial" w:hAnsi="Arial"/>
          <w:sz w:val="20"/>
          <w:szCs w:val="20"/>
          <w:color w:val="auto"/>
        </w:rPr>
      </w:pPr>
    </w:p>
    <w:p>
      <w:pPr>
        <w:jc w:val="both"/>
        <w:ind w:firstLine="1278"/>
        <w:spacing w:after="0" w:line="220" w:lineRule="auto"/>
        <w:tabs>
          <w:tab w:leader="none" w:pos="1903" w:val="left"/>
        </w:tabs>
        <w:numPr>
          <w:ilvl w:val="0"/>
          <w:numId w:val="84"/>
        </w:numPr>
        <w:rPr>
          <w:rFonts w:ascii="Arial" w:cs="Arial" w:eastAsia="Arial" w:hAnsi="Arial"/>
          <w:sz w:val="21"/>
          <w:szCs w:val="21"/>
          <w:color w:val="auto"/>
        </w:rPr>
      </w:pPr>
      <w:r>
        <w:rPr>
          <w:rFonts w:ascii="Arial" w:cs="Arial" w:eastAsia="Arial" w:hAnsi="Arial"/>
          <w:sz w:val="21"/>
          <w:szCs w:val="21"/>
          <w:color w:val="auto"/>
        </w:rPr>
        <w:t>Executive acknowledges that the services rendered by Executive during the course of Executive’s employment were of a special, unique, and extraordinary character, and a breach by Executive of any provision of this Agreement will cause irreparable injury and damage to the Company Group for which money damages alone would be an inadequate and insufficient remedy. Therefore, the Company Group shall be entitled to any and all available remedies, including but not limited to injunctive and equitable relief, without the requirement of posting a bond or other security, in order to prevent a breach of this Agreement, or any part of this Agreement, or to secure its enforcement.</w:t>
      </w:r>
    </w:p>
    <w:p>
      <w:pPr>
        <w:spacing w:after="0" w:line="155" w:lineRule="exact"/>
        <w:rPr>
          <w:rFonts w:ascii="Arial" w:cs="Arial" w:eastAsia="Arial" w:hAnsi="Arial"/>
          <w:sz w:val="21"/>
          <w:szCs w:val="21"/>
          <w:color w:val="auto"/>
        </w:rPr>
      </w:pPr>
    </w:p>
    <w:p>
      <w:pPr>
        <w:jc w:val="both"/>
        <w:ind w:firstLine="1278"/>
        <w:spacing w:after="0" w:line="220" w:lineRule="auto"/>
        <w:tabs>
          <w:tab w:leader="none" w:pos="1896"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The Company and (as applicable) LTI may each assign their rights and obligations under this Agreement to any successor to all or substantially all the assets of the Company and/or (as applicable) LTI by merger, sale of assets, or otherwise, and all such rights shall inure to and be enforceable by any such assignee to the fullest extent permitted by applicable law. Executive is not permitted to assign or encumber this Agreement, voluntarily or involuntarily, and any such purported assignment shall be void </w:t>
      </w:r>
      <w:r>
        <w:rPr>
          <w:rFonts w:ascii="Arial" w:cs="Arial" w:eastAsia="Arial" w:hAnsi="Arial"/>
          <w:sz w:val="21"/>
          <w:szCs w:val="21"/>
          <w:i w:val="1"/>
          <w:iCs w:val="1"/>
          <w:color w:val="auto"/>
        </w:rPr>
        <w:t>ab initio</w:t>
      </w:r>
      <w:r>
        <w:rPr>
          <w:rFonts w:ascii="Arial" w:cs="Arial" w:eastAsia="Arial" w:hAnsi="Arial"/>
          <w:sz w:val="21"/>
          <w:szCs w:val="21"/>
          <w:color w:val="auto"/>
        </w:rPr>
        <w:t>. This Agreement shall be binding upon the heirs, executors, administrators, and other legal representatives and assigns of Executive.</w:t>
      </w:r>
    </w:p>
    <w:p>
      <w:pPr>
        <w:spacing w:after="0" w:line="155" w:lineRule="exact"/>
        <w:rPr>
          <w:rFonts w:ascii="Arial" w:cs="Arial" w:eastAsia="Arial" w:hAnsi="Arial"/>
          <w:sz w:val="21"/>
          <w:szCs w:val="21"/>
          <w:color w:val="auto"/>
        </w:rPr>
      </w:pPr>
    </w:p>
    <w:p>
      <w:pPr>
        <w:jc w:val="both"/>
        <w:ind w:firstLine="1278"/>
        <w:spacing w:after="0" w:line="220" w:lineRule="auto"/>
        <w:tabs>
          <w:tab w:leader="none" w:pos="1896" w:val="left"/>
        </w:tabs>
        <w:numPr>
          <w:ilvl w:val="0"/>
          <w:numId w:val="84"/>
        </w:numPr>
        <w:rPr>
          <w:rFonts w:ascii="Arial" w:cs="Arial" w:eastAsia="Arial" w:hAnsi="Arial"/>
          <w:sz w:val="21"/>
          <w:szCs w:val="21"/>
          <w:color w:val="auto"/>
        </w:rPr>
      </w:pPr>
      <w:r>
        <w:rPr>
          <w:rFonts w:ascii="Arial" w:cs="Arial" w:eastAsia="Arial" w:hAnsi="Arial"/>
          <w:sz w:val="21"/>
          <w:szCs w:val="21"/>
          <w:color w:val="auto"/>
        </w:rPr>
        <w:t>Executive, by signing this Agreement, acknowledges that Executive has had a full and fair opportunity to review, consider and negotiate the terms of this Agreement, has been advised to seek the advice of an attorney in connection with the decision whether to accept the benefits that have been offered under this Agreement, has had a reasonable period of time to consider whether to enter this Agreement, has reviewed this Agreement with advisors of Executive’s choice, has read and understands this Agreement, and has signed this Agreement freely and voluntarily, without duress, coercion or undue influence and with full and free understanding of its terms.</w:t>
      </w:r>
    </w:p>
    <w:p>
      <w:pPr>
        <w:spacing w:after="0" w:line="150" w:lineRule="exact"/>
        <w:rPr>
          <w:sz w:val="20"/>
          <w:szCs w:val="20"/>
          <w:color w:val="auto"/>
        </w:rPr>
      </w:pPr>
    </w:p>
    <w:p>
      <w:pPr>
        <w:spacing w:after="0" w:line="245" w:lineRule="auto"/>
        <w:rPr>
          <w:sz w:val="20"/>
          <w:szCs w:val="20"/>
          <w:color w:val="auto"/>
        </w:rPr>
      </w:pPr>
      <w:r>
        <w:rPr>
          <w:rFonts w:ascii="Arial" w:cs="Arial" w:eastAsia="Arial" w:hAnsi="Arial"/>
          <w:sz w:val="21"/>
          <w:szCs w:val="21"/>
          <w:b w:val="1"/>
          <w:bCs w:val="1"/>
          <w:color w:val="auto"/>
        </w:rPr>
        <w:t>I HAVE READ THIS AGREEMENT AND UNDERSTAND IT. I RECOGNIZE THAT I AM GIVING UP IMPORTANT RIGHTS AND THAT AT NO TIME IN THE FUTURE</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12 of 13</w:t>
      </w:r>
    </w:p>
    <w:p>
      <w:pPr>
        <w:sectPr>
          <w:pgSz w:w="11900" w:h="16838" w:orient="portrait"/>
          <w:cols w:equalWidth="0" w:num="1">
            <w:col w:w="11240"/>
          </w:cols>
          <w:pgMar w:left="320" w:top="1377" w:right="339" w:bottom="1440" w:gutter="0" w:footer="0" w:header="0"/>
        </w:sectPr>
      </w:pPr>
    </w:p>
    <w:bookmarkStart w:id="137" w:name="page138"/>
    <w:bookmarkEnd w:id="137"/>
    <w:p>
      <w:pPr>
        <w:spacing w:after="0"/>
        <w:rPr>
          <w:sz w:val="20"/>
          <w:szCs w:val="20"/>
          <w:color w:val="auto"/>
        </w:rPr>
      </w:pPr>
      <w:r>
        <w:rPr>
          <w:rFonts w:ascii="Arial" w:cs="Arial" w:eastAsia="Arial" w:hAnsi="Arial"/>
          <w:sz w:val="21"/>
          <w:szCs w:val="21"/>
          <w:b w:val="1"/>
          <w:bCs w:val="1"/>
          <w:color w:val="auto"/>
        </w:rPr>
        <w:t>MAY I PURSUE ANY OF THE RIGHTS I HAVE WAIVED AND RELEASED IN THIS AGREEMENT.</w:t>
      </w:r>
    </w:p>
    <w:p>
      <w:pPr>
        <w:sectPr>
          <w:pgSz w:w="11900" w:h="16838" w:orient="portrait"/>
          <w:cols w:equalWidth="0" w:num="1">
            <w:col w:w="10139"/>
          </w:cols>
          <w:pgMar w:left="320" w:top="13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Dated: __ _February 1______, 2022</w:t>
      </w: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5"/>
          <w:szCs w:val="15"/>
          <w:color w:val="auto"/>
        </w:rPr>
        <w:t>Dated: ___February 28_____,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5"/>
          <w:szCs w:val="15"/>
          <w:color w:val="auto"/>
        </w:rPr>
        <w:t>Dated: ___February 28______,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NEIL SALVAGE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35591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1">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Neil Salvage</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LENDINGTREE, INC.</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Jill Olmstead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35591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2">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35591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3">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3559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4">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Title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 JILL OLMSTEAD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35591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5">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LENDINGTREE, LLC</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Jill Olmstead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35591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6">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35591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7">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3559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8">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Title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 JILL OLMSTEAD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3559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9">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Signature</w:t>
      </w:r>
    </w:p>
    <w:p>
      <w:pPr>
        <w:spacing w:after="0" w:line="200" w:lineRule="exact"/>
        <w:rPr>
          <w:sz w:val="20"/>
          <w:szCs w:val="20"/>
          <w:color w:val="auto"/>
        </w:rPr>
      </w:pPr>
    </w:p>
    <w:p>
      <w:pPr>
        <w:sectPr>
          <w:pgSz w:w="11900" w:h="16838" w:orient="portrait"/>
          <w:cols w:equalWidth="0" w:num="2">
            <w:col w:w="4940" w:space="720"/>
            <w:col w:w="4479"/>
          </w:cols>
          <w:pgMar w:left="320" w:top="1371" w:right="1440"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9"/>
          <w:szCs w:val="19"/>
          <w:color w:val="auto"/>
        </w:rPr>
        <w:t>13 of 13</w:t>
      </w:r>
    </w:p>
    <w:p>
      <w:pPr>
        <w:sectPr>
          <w:pgSz w:w="11900" w:h="16838" w:orient="portrait"/>
          <w:cols w:equalWidth="0" w:num="1">
            <w:col w:w="10139"/>
          </w:cols>
          <w:pgMar w:left="320" w:top="1371" w:right="1440"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7920" w:type="dxa"/>
            <w:vAlign w:val="bottom"/>
            <w:gridSpan w:val="2"/>
          </w:tcPr>
          <w:p>
            <w:pPr>
              <w:ind w:left="700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901"/>
        </w:trPr>
        <w:tc>
          <w:tcPr>
            <w:tcW w:w="3280" w:type="dxa"/>
            <w:vAlign w:val="bottom"/>
          </w:tcPr>
          <w:p>
            <w:pPr>
              <w:spacing w:after="0"/>
              <w:rPr>
                <w:sz w:val="24"/>
                <w:szCs w:val="24"/>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b w:val="1"/>
                <w:bCs w:val="1"/>
                <w:color w:val="auto"/>
              </w:rPr>
              <w:t>SUBSIDIARIES OF LENDINGTREE, INC.</w:t>
            </w:r>
          </w:p>
        </w:tc>
        <w:tc>
          <w:tcPr>
            <w:tcW w:w="0" w:type="dxa"/>
            <w:vAlign w:val="bottom"/>
          </w:tcPr>
          <w:p>
            <w:pPr>
              <w:spacing w:after="0"/>
              <w:rPr>
                <w:sz w:val="1"/>
                <w:szCs w:val="1"/>
                <w:color w:val="auto"/>
              </w:rPr>
            </w:pPr>
          </w:p>
        </w:tc>
      </w:tr>
      <w:tr>
        <w:trPr>
          <w:trHeight w:val="240"/>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920" w:type="dxa"/>
            <w:vAlign w:val="bottom"/>
            <w:gridSpan w:val="2"/>
          </w:tcPr>
          <w:p>
            <w:pPr>
              <w:jc w:val="center"/>
              <w:ind w:left="6394"/>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85"/>
        </w:trPr>
        <w:tc>
          <w:tcPr>
            <w:tcW w:w="3280" w:type="dxa"/>
            <w:vAlign w:val="bottom"/>
            <w:vMerge w:val="continue"/>
          </w:tcPr>
          <w:p>
            <w:pPr>
              <w:spacing w:after="0"/>
              <w:rPr>
                <w:sz w:val="16"/>
                <w:szCs w:val="16"/>
                <w:color w:val="auto"/>
              </w:rPr>
            </w:pPr>
          </w:p>
        </w:tc>
        <w:tc>
          <w:tcPr>
            <w:tcW w:w="7920" w:type="dxa"/>
            <w:vAlign w:val="bottom"/>
            <w:gridSpan w:val="2"/>
          </w:tcPr>
          <w:p>
            <w:pPr>
              <w:jc w:val="center"/>
              <w:ind w:left="6394"/>
              <w:spacing w:after="0"/>
              <w:rPr>
                <w:sz w:val="20"/>
                <w:szCs w:val="20"/>
                <w:color w:val="auto"/>
              </w:rPr>
            </w:pPr>
            <w:r>
              <w:rPr>
                <w:rFonts w:ascii="Arial" w:cs="Arial" w:eastAsia="Arial" w:hAnsi="Arial"/>
                <w:sz w:val="14"/>
                <w:szCs w:val="14"/>
                <w:b w:val="1"/>
                <w:bCs w:val="1"/>
                <w:color w:val="auto"/>
                <w:w w:val="93"/>
              </w:rPr>
              <w:t>Formation</w:t>
            </w:r>
          </w:p>
        </w:tc>
        <w:tc>
          <w:tcPr>
            <w:tcW w:w="0" w:type="dxa"/>
            <w:vAlign w:val="bottom"/>
          </w:tcPr>
          <w:p>
            <w:pPr>
              <w:spacing w:after="0"/>
              <w:rPr>
                <w:sz w:val="1"/>
                <w:szCs w:val="1"/>
                <w:color w:val="auto"/>
              </w:rPr>
            </w:pPr>
          </w:p>
        </w:tc>
      </w:tr>
      <w:tr>
        <w:trPr>
          <w:trHeight w:val="219"/>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LendingTree, LLC</w:t>
            </w:r>
          </w:p>
        </w:tc>
        <w:tc>
          <w:tcPr>
            <w:tcW w:w="7900" w:type="dxa"/>
            <w:vAlign w:val="bottom"/>
            <w:tcBorders>
              <w:top w:val="single" w:sz="8" w:color="auto"/>
            </w:tcBorders>
            <w:shd w:val="clear" w:color="auto" w:fill="CCEEFF"/>
          </w:tcPr>
          <w:p>
            <w:pPr>
              <w:jc w:val="center"/>
              <w:ind w:left="6414"/>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Tree.com BU Holding Company, Inc.</w:t>
            </w:r>
          </w:p>
        </w:tc>
        <w:tc>
          <w:tcPr>
            <w:tcW w:w="7920" w:type="dxa"/>
            <w:vAlign w:val="bottom"/>
            <w:gridSpan w:val="2"/>
          </w:tcPr>
          <w:p>
            <w:pPr>
              <w:jc w:val="center"/>
              <w:ind w:left="6394"/>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2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DegreeTree, Inc.</w:t>
            </w:r>
          </w:p>
        </w:tc>
        <w:tc>
          <w:tcPr>
            <w:tcW w:w="7900" w:type="dxa"/>
            <w:vAlign w:val="bottom"/>
            <w:shd w:val="clear" w:color="auto" w:fill="CCEEFF"/>
          </w:tcPr>
          <w:p>
            <w:pPr>
              <w:jc w:val="center"/>
              <w:ind w:left="6414"/>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Home Loan Center, Inc.</w:t>
            </w:r>
          </w:p>
        </w:tc>
        <w:tc>
          <w:tcPr>
            <w:tcW w:w="7920" w:type="dxa"/>
            <w:vAlign w:val="bottom"/>
            <w:gridSpan w:val="2"/>
          </w:tcPr>
          <w:p>
            <w:pPr>
              <w:jc w:val="center"/>
              <w:ind w:left="6394"/>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2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HLC Escrow, Inc.</w:t>
            </w:r>
          </w:p>
        </w:tc>
        <w:tc>
          <w:tcPr>
            <w:tcW w:w="7900" w:type="dxa"/>
            <w:vAlign w:val="bottom"/>
            <w:shd w:val="clear" w:color="auto" w:fill="CCEEFF"/>
          </w:tcPr>
          <w:p>
            <w:pPr>
              <w:jc w:val="center"/>
              <w:ind w:left="6414"/>
              <w:spacing w:after="0"/>
              <w:rPr>
                <w:sz w:val="20"/>
                <w:szCs w:val="20"/>
                <w:color w:val="auto"/>
              </w:rPr>
            </w:pPr>
            <w:r>
              <w:rPr>
                <w:rFonts w:ascii="Arial" w:cs="Arial" w:eastAsia="Arial" w:hAnsi="Arial"/>
                <w:sz w:val="18"/>
                <w:szCs w:val="18"/>
                <w:color w:val="auto"/>
                <w:w w:val="95"/>
              </w:rPr>
              <w:t>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LT India Holding Company, LLC</w:t>
            </w:r>
          </w:p>
        </w:tc>
        <w:tc>
          <w:tcPr>
            <w:tcW w:w="7920" w:type="dxa"/>
            <w:vAlign w:val="bottom"/>
            <w:gridSpan w:val="2"/>
          </w:tcPr>
          <w:p>
            <w:pPr>
              <w:jc w:val="center"/>
              <w:ind w:left="6394"/>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2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LendingTree Research Services LLP</w:t>
            </w:r>
          </w:p>
        </w:tc>
        <w:tc>
          <w:tcPr>
            <w:tcW w:w="7900" w:type="dxa"/>
            <w:vAlign w:val="bottom"/>
            <w:shd w:val="clear" w:color="auto" w:fill="CCEEFF"/>
          </w:tcPr>
          <w:p>
            <w:pPr>
              <w:jc w:val="center"/>
              <w:ind w:left="6414"/>
              <w:spacing w:after="0"/>
              <w:rPr>
                <w:sz w:val="20"/>
                <w:szCs w:val="20"/>
                <w:color w:val="auto"/>
              </w:rPr>
            </w:pPr>
            <w:r>
              <w:rPr>
                <w:rFonts w:ascii="Arial" w:cs="Arial" w:eastAsia="Arial" w:hAnsi="Arial"/>
                <w:sz w:val="18"/>
                <w:szCs w:val="18"/>
                <w:color w:val="auto"/>
                <w:w w:val="92"/>
              </w:rPr>
              <w:t>India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Ovation Credit Services, Inc.</w:t>
            </w:r>
          </w:p>
        </w:tc>
        <w:tc>
          <w:tcPr>
            <w:tcW w:w="7920" w:type="dxa"/>
            <w:vAlign w:val="bottom"/>
            <w:gridSpan w:val="2"/>
          </w:tcPr>
          <w:p>
            <w:pPr>
              <w:jc w:val="center"/>
              <w:ind w:left="6394"/>
              <w:spacing w:after="0"/>
              <w:rPr>
                <w:sz w:val="20"/>
                <w:szCs w:val="20"/>
                <w:color w:val="auto"/>
              </w:rPr>
            </w:pPr>
            <w:r>
              <w:rPr>
                <w:rFonts w:ascii="Arial" w:cs="Arial" w:eastAsia="Arial" w:hAnsi="Arial"/>
                <w:sz w:val="18"/>
                <w:szCs w:val="18"/>
                <w:color w:val="auto"/>
                <w:w w:val="94"/>
              </w:rPr>
              <w:t>FL</w:t>
            </w:r>
          </w:p>
        </w:tc>
        <w:tc>
          <w:tcPr>
            <w:tcW w:w="0" w:type="dxa"/>
            <w:vAlign w:val="bottom"/>
          </w:tcPr>
          <w:p>
            <w:pPr>
              <w:spacing w:after="0"/>
              <w:rPr>
                <w:sz w:val="1"/>
                <w:szCs w:val="1"/>
                <w:color w:val="auto"/>
              </w:rPr>
            </w:pPr>
          </w:p>
        </w:tc>
      </w:tr>
      <w:tr>
        <w:trPr>
          <w:trHeight w:val="22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CM LT Holdings, LLC</w:t>
            </w:r>
          </w:p>
        </w:tc>
        <w:tc>
          <w:tcPr>
            <w:tcW w:w="7900" w:type="dxa"/>
            <w:vAlign w:val="bottom"/>
            <w:shd w:val="clear" w:color="auto" w:fill="CCEEFF"/>
          </w:tcPr>
          <w:p>
            <w:pPr>
              <w:jc w:val="center"/>
              <w:ind w:left="6414"/>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QuoteWizard.com, LLC</w:t>
            </w:r>
          </w:p>
        </w:tc>
        <w:tc>
          <w:tcPr>
            <w:tcW w:w="7920" w:type="dxa"/>
            <w:vAlign w:val="bottom"/>
            <w:gridSpan w:val="2"/>
          </w:tcPr>
          <w:p>
            <w:pPr>
              <w:jc w:val="center"/>
              <w:ind w:left="6394"/>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2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QW Insurance Solutions, LLC</w:t>
            </w:r>
          </w:p>
        </w:tc>
        <w:tc>
          <w:tcPr>
            <w:tcW w:w="7900" w:type="dxa"/>
            <w:vAlign w:val="bottom"/>
            <w:shd w:val="clear" w:color="auto" w:fill="CCEEFF"/>
          </w:tcPr>
          <w:p>
            <w:pPr>
              <w:jc w:val="center"/>
              <w:ind w:left="6414"/>
              <w:spacing w:after="0"/>
              <w:rPr>
                <w:sz w:val="20"/>
                <w:szCs w:val="20"/>
                <w:color w:val="auto"/>
              </w:rPr>
            </w:pPr>
            <w:r>
              <w:rPr>
                <w:rFonts w:ascii="Arial" w:cs="Arial" w:eastAsia="Arial" w:hAnsi="Arial"/>
                <w:sz w:val="18"/>
                <w:szCs w:val="18"/>
                <w:color w:val="auto"/>
                <w:w w:val="96"/>
              </w:rPr>
              <w:t>WA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LT Intermediate Company, LLC</w:t>
            </w:r>
          </w:p>
        </w:tc>
        <w:tc>
          <w:tcPr>
            <w:tcW w:w="7920" w:type="dxa"/>
            <w:vAlign w:val="bottom"/>
            <w:gridSpan w:val="2"/>
          </w:tcPr>
          <w:p>
            <w:pPr>
              <w:jc w:val="center"/>
              <w:ind w:left="6394"/>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2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LTIM, LLC</w:t>
            </w:r>
          </w:p>
        </w:tc>
        <w:tc>
          <w:tcPr>
            <w:tcW w:w="7900" w:type="dxa"/>
            <w:vAlign w:val="bottom"/>
            <w:shd w:val="clear" w:color="auto" w:fill="CCEEFF"/>
          </w:tcPr>
          <w:p>
            <w:pPr>
              <w:jc w:val="center"/>
              <w:ind w:left="6414"/>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333-233034) and Form S-8 (No. 333-233035, No. 333-218747, No. 333-197952) of LendingTree, Inc. of our report dated February 28,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51" w:lineRule="exact"/>
        <w:rPr>
          <w:sz w:val="20"/>
          <w:szCs w:val="20"/>
          <w:color w:val="auto"/>
        </w:rPr>
      </w:pPr>
    </w:p>
    <w:p>
      <w:pPr>
        <w:ind w:left="320" w:hanging="314"/>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2021 of LendingTree, Inc.;</w:t>
      </w:r>
    </w:p>
    <w:p>
      <w:pPr>
        <w:spacing w:after="0" w:line="150" w:lineRule="exact"/>
        <w:rPr>
          <w:rFonts w:ascii="Arial" w:cs="Arial" w:eastAsia="Arial" w:hAnsi="Arial"/>
          <w:sz w:val="18"/>
          <w:szCs w:val="18"/>
          <w:color w:val="auto"/>
        </w:rPr>
      </w:pPr>
    </w:p>
    <w:p>
      <w:pPr>
        <w:ind w:left="640" w:hanging="634"/>
        <w:spacing w:after="0" w:line="255" w:lineRule="auto"/>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640" w:hanging="634"/>
        <w:spacing w:after="0" w:line="294" w:lineRule="auto"/>
        <w:tabs>
          <w:tab w:leader="none" w:pos="411"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7"/>
          <w:szCs w:val="17"/>
          <w:color w:val="auto"/>
        </w:rPr>
      </w:pPr>
    </w:p>
    <w:p>
      <w:pPr>
        <w:ind w:left="640" w:hanging="634"/>
        <w:spacing w:after="0" w:line="255" w:lineRule="auto"/>
        <w:tabs>
          <w:tab w:leader="none" w:pos="4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ind w:left="1280" w:hanging="638"/>
        <w:spacing w:after="0" w:line="255" w:lineRule="auto"/>
        <w:tabs>
          <w:tab w:leader="none" w:pos="100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280" w:hanging="638"/>
        <w:spacing w:after="0" w:line="255" w:lineRule="auto"/>
        <w:tabs>
          <w:tab w:leader="none" w:pos="107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280" w:hanging="638"/>
        <w:spacing w:after="0" w:line="365" w:lineRule="auto"/>
        <w:tabs>
          <w:tab w:leader="none" w:pos="1100" w:val="left"/>
        </w:tabs>
        <w:numPr>
          <w:ilvl w:val="1"/>
          <w:numId w:val="8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1280" w:hanging="638"/>
        <w:spacing w:after="0" w:line="255" w:lineRule="auto"/>
        <w:tabs>
          <w:tab w:leader="none" w:pos="101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40" w:hanging="634"/>
        <w:spacing w:after="0" w:line="294" w:lineRule="auto"/>
        <w:tabs>
          <w:tab w:leader="none" w:pos="367"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Arial" w:cs="Arial" w:eastAsia="Arial" w:hAnsi="Arial"/>
          <w:sz w:val="17"/>
          <w:szCs w:val="17"/>
          <w:color w:val="auto"/>
        </w:rPr>
      </w:pPr>
    </w:p>
    <w:p>
      <w:pPr>
        <w:ind w:left="1280" w:hanging="638"/>
        <w:spacing w:after="0" w:line="294" w:lineRule="auto"/>
        <w:tabs>
          <w:tab w:leader="none" w:pos="978"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7"/>
          <w:szCs w:val="17"/>
          <w:color w:val="auto"/>
        </w:rPr>
      </w:pPr>
    </w:p>
    <w:p>
      <w:pPr>
        <w:ind w:left="1280" w:hanging="638"/>
        <w:spacing w:after="0" w:line="264" w:lineRule="auto"/>
        <w:tabs>
          <w:tab w:leader="none" w:pos="981"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pacing w:after="0" w:line="185"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14605</wp:posOffset>
            </wp:positionV>
            <wp:extent cx="3416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0">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8"/>
          <w:szCs w:val="18"/>
          <w:color w:val="auto"/>
        </w:rPr>
        <w:t>Douglas R. Lebda</w:t>
      </w:r>
    </w:p>
    <w:p>
      <w:pPr>
        <w:ind w:left="7180"/>
        <w:spacing w:after="0" w:line="199" w:lineRule="auto"/>
        <w:rPr>
          <w:sz w:val="20"/>
          <w:szCs w:val="20"/>
          <w:color w:val="auto"/>
        </w:rPr>
      </w:pPr>
      <w:r>
        <w:rPr>
          <w:rFonts w:ascii="Arial" w:cs="Arial" w:eastAsia="Arial" w:hAnsi="Arial"/>
          <w:sz w:val="18"/>
          <w:szCs w:val="18"/>
          <w:i w:val="1"/>
          <w:iCs w:val="1"/>
          <w:color w:val="auto"/>
        </w:rPr>
        <w:t>Chairman and Chief Executive Officer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Trent Ziegler, certify that:</w:t>
      </w:r>
    </w:p>
    <w:p>
      <w:pPr>
        <w:spacing w:after="0" w:line="151" w:lineRule="exact"/>
        <w:rPr>
          <w:sz w:val="20"/>
          <w:szCs w:val="20"/>
          <w:color w:val="auto"/>
        </w:rPr>
      </w:pPr>
    </w:p>
    <w:p>
      <w:pPr>
        <w:ind w:left="320" w:hanging="314"/>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2021 of LendingTree, Inc.;</w:t>
      </w:r>
    </w:p>
    <w:p>
      <w:pPr>
        <w:spacing w:after="0" w:line="150" w:lineRule="exact"/>
        <w:rPr>
          <w:rFonts w:ascii="Arial" w:cs="Arial" w:eastAsia="Arial" w:hAnsi="Arial"/>
          <w:sz w:val="18"/>
          <w:szCs w:val="18"/>
          <w:color w:val="auto"/>
        </w:rPr>
      </w:pPr>
    </w:p>
    <w:p>
      <w:pPr>
        <w:ind w:left="640" w:hanging="634"/>
        <w:spacing w:after="0" w:line="255"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640" w:hanging="634"/>
        <w:spacing w:after="0" w:line="294" w:lineRule="auto"/>
        <w:tabs>
          <w:tab w:leader="none" w:pos="411"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7"/>
          <w:szCs w:val="17"/>
          <w:color w:val="auto"/>
        </w:rPr>
      </w:pPr>
    </w:p>
    <w:p>
      <w:pPr>
        <w:ind w:left="640" w:hanging="634"/>
        <w:spacing w:after="0" w:line="255" w:lineRule="auto"/>
        <w:tabs>
          <w:tab w:leader="none" w:pos="4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ind w:left="1280" w:hanging="638"/>
        <w:spacing w:after="0" w:line="255" w:lineRule="auto"/>
        <w:tabs>
          <w:tab w:leader="none" w:pos="10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280" w:hanging="638"/>
        <w:spacing w:after="0" w:line="255" w:lineRule="auto"/>
        <w:tabs>
          <w:tab w:leader="none" w:pos="107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280" w:hanging="638"/>
        <w:spacing w:after="0" w:line="365" w:lineRule="auto"/>
        <w:tabs>
          <w:tab w:leader="none" w:pos="1100" w:val="left"/>
        </w:tabs>
        <w:numPr>
          <w:ilvl w:val="1"/>
          <w:numId w:val="8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1280" w:hanging="638"/>
        <w:spacing w:after="0" w:line="255" w:lineRule="auto"/>
        <w:tabs>
          <w:tab w:leader="none" w:pos="1014"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40" w:hanging="634"/>
        <w:spacing w:after="0" w:line="294" w:lineRule="auto"/>
        <w:tabs>
          <w:tab w:leader="none" w:pos="367"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Arial" w:cs="Arial" w:eastAsia="Arial" w:hAnsi="Arial"/>
          <w:sz w:val="17"/>
          <w:szCs w:val="17"/>
          <w:color w:val="auto"/>
        </w:rPr>
      </w:pPr>
    </w:p>
    <w:p>
      <w:pPr>
        <w:ind w:left="1280" w:hanging="638"/>
        <w:spacing w:after="0" w:line="294" w:lineRule="auto"/>
        <w:tabs>
          <w:tab w:leader="none" w:pos="978"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7"/>
          <w:szCs w:val="17"/>
          <w:color w:val="auto"/>
        </w:rPr>
      </w:pPr>
    </w:p>
    <w:p>
      <w:pPr>
        <w:ind w:left="1280" w:hanging="638"/>
        <w:spacing w:after="0" w:line="264" w:lineRule="auto"/>
        <w:tabs>
          <w:tab w:leader="none" w:pos="981"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pacing w:after="0" w:line="185"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14605</wp:posOffset>
            </wp:positionV>
            <wp:extent cx="3416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8"/>
          <w:szCs w:val="18"/>
          <w:color w:val="auto"/>
        </w:rPr>
        <w:t>Trent Ziegler</w:t>
      </w:r>
    </w:p>
    <w:p>
      <w:pPr>
        <w:ind w:left="772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28" w:lineRule="exact"/>
        <w:rPr>
          <w:sz w:val="20"/>
          <w:szCs w:val="20"/>
          <w:color w:val="auto"/>
        </w:rPr>
      </w:pPr>
    </w:p>
    <w:p>
      <w:pPr>
        <w:ind w:left="640" w:hanging="316"/>
        <w:spacing w:after="0" w:line="365" w:lineRule="auto"/>
        <w:tabs>
          <w:tab w:leader="none" w:pos="634"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Annual Report on Form 10-K for the fiscal year ended December 31, 2021 of LendingTree, Inc. (the "Report") which this statement accompanies fully complies with the requirements of Section 13(a) or 15(d) of the Securities Exchange Act of 1934 (15 U.S.C. 78m or 78o(d)); and</w:t>
      </w:r>
    </w:p>
    <w:p>
      <w:pPr>
        <w:spacing w:after="0" w:line="137" w:lineRule="exact"/>
        <w:rPr>
          <w:rFonts w:ascii="Arial" w:cs="Arial" w:eastAsia="Arial" w:hAnsi="Arial"/>
          <w:sz w:val="15"/>
          <w:szCs w:val="15"/>
          <w:color w:val="auto"/>
        </w:rPr>
      </w:pPr>
    </w:p>
    <w:p>
      <w:pPr>
        <w:ind w:left="640" w:hanging="316"/>
        <w:spacing w:after="0"/>
        <w:tabs>
          <w:tab w:leader="none" w:pos="6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pacing w:after="0" w:line="30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9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2">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ind w:left="7760"/>
        <w:spacing w:after="0"/>
        <w:rPr>
          <w:sz w:val="20"/>
          <w:szCs w:val="20"/>
          <w:color w:val="auto"/>
        </w:rPr>
      </w:pPr>
      <w:r>
        <w:rPr>
          <w:rFonts w:ascii="Arial" w:cs="Arial" w:eastAsia="Arial" w:hAnsi="Arial"/>
          <w:sz w:val="18"/>
          <w:szCs w:val="18"/>
          <w:color w:val="auto"/>
        </w:rPr>
        <w:t>Douglas R. Lebda</w:t>
      </w:r>
    </w:p>
    <w:p>
      <w:pPr>
        <w:ind w:left="7060"/>
        <w:spacing w:after="0" w:line="199" w:lineRule="auto"/>
        <w:rPr>
          <w:sz w:val="20"/>
          <w:szCs w:val="20"/>
          <w:color w:val="auto"/>
        </w:rPr>
      </w:pPr>
      <w:r>
        <w:rPr>
          <w:rFonts w:ascii="Arial" w:cs="Arial" w:eastAsia="Arial" w:hAnsi="Arial"/>
          <w:sz w:val="18"/>
          <w:szCs w:val="18"/>
          <w:i w:val="1"/>
          <w:iCs w:val="1"/>
          <w:color w:val="auto"/>
        </w:rPr>
        <w:t>Chairman and Chief Executive Officer</w:t>
      </w:r>
    </w:p>
    <w:p>
      <w:pPr>
        <w:spacing w:after="0" w:line="1"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 Trent Ziegler, certify, pursuant to 18 U.S.C. Section 1350, as adopted pursuant to Section 906 of the Sarbanes-Oxley Act of 2002, that to my knowledge:</w:t>
      </w:r>
    </w:p>
    <w:p>
      <w:pPr>
        <w:spacing w:after="0" w:line="128" w:lineRule="exact"/>
        <w:rPr>
          <w:sz w:val="20"/>
          <w:szCs w:val="20"/>
          <w:color w:val="auto"/>
        </w:rPr>
      </w:pPr>
    </w:p>
    <w:p>
      <w:pPr>
        <w:ind w:left="640" w:hanging="316"/>
        <w:spacing w:after="0" w:line="365" w:lineRule="auto"/>
        <w:tabs>
          <w:tab w:leader="none" w:pos="634"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Annual Report on Form 10-K for the fiscal year ended December 31, 2021 of LendingTree, Inc. (the "Report") which this statement accompanies fully complies with the requirements of Section 13(a) or 15(d) of the Securities Exchange Act of 1934 (15 U.S.C. 78m or 78o(d)); and</w:t>
      </w:r>
    </w:p>
    <w:p>
      <w:pPr>
        <w:spacing w:after="0" w:line="137" w:lineRule="exact"/>
        <w:rPr>
          <w:rFonts w:ascii="Arial" w:cs="Arial" w:eastAsia="Arial" w:hAnsi="Arial"/>
          <w:sz w:val="15"/>
          <w:szCs w:val="15"/>
          <w:color w:val="auto"/>
        </w:rPr>
      </w:pPr>
    </w:p>
    <w:p>
      <w:pPr>
        <w:ind w:left="640" w:hanging="316"/>
        <w:spacing w:after="0"/>
        <w:tabs>
          <w:tab w:leader="none" w:pos="6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pacing w:after="0" w:line="304"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9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3">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jc w:val="center"/>
        <w:ind w:left="5540"/>
        <w:spacing w:after="0"/>
        <w:rPr>
          <w:sz w:val="20"/>
          <w:szCs w:val="20"/>
          <w:color w:val="auto"/>
        </w:rPr>
      </w:pPr>
      <w:r>
        <w:rPr>
          <w:rFonts w:ascii="Arial" w:cs="Arial" w:eastAsia="Arial" w:hAnsi="Arial"/>
          <w:sz w:val="18"/>
          <w:szCs w:val="18"/>
          <w:color w:val="auto"/>
        </w:rPr>
        <w:t>Trent Ziegler</w:t>
      </w:r>
    </w:p>
    <w:p>
      <w:pPr>
        <w:ind w:left="760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1)"/>
      <w:numFmt w:val="decimal"/>
      <w:start w:val="4"/>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1)"/>
      <w:numFmt w:val="lowerLetter"/>
      <w:start w:val="1"/>
    </w:lvl>
  </w:abstractNum>
  <w:abstractNum w:abstractNumId="41">
    <w:nsid w:val="2F305DEF"/>
    <w:multiLevelType w:val="hybridMultilevel"/>
    <w:lvl w:ilvl="0">
      <w:lvlJc w:val="left"/>
      <w:lvlText w:val="%1"/>
      <w:numFmt w:val="decimal"/>
      <w:start w:val="104"/>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decimal"/>
      <w:start w:val="1"/>
    </w:lvl>
    <w:lvl w:ilvl="1">
      <w:lvlJc w:val="left"/>
      <w:lvlText w:val="(%2)"/>
      <w:numFmt w:val="lowerLetter"/>
      <w:start w:val="1"/>
    </w:lvl>
  </w:abstractNum>
  <w:abstractNum w:abstractNumId="46">
    <w:nsid w:val="1381823A"/>
    <w:multiLevelType w:val="hybridMultilevel"/>
    <w:lvl w:ilvl="0">
      <w:lvlJc w:val="left"/>
      <w:lvlText w:val="%1."/>
      <w:numFmt w:val="decimal"/>
      <w:start w:val="3"/>
    </w:lvl>
    <w:lvl w:ilvl="1">
      <w:lvlJc w:val="left"/>
      <w:lvlText w:val="(%2)"/>
      <w:numFmt w:val="lowerLetter"/>
      <w:start w:val="1"/>
    </w:lvl>
  </w:abstractNum>
  <w:abstractNum w:abstractNumId="47">
    <w:nsid w:val="5DB70AE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8">
    <w:nsid w:val="100F8FC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9">
    <w:nsid w:val="6590700B"/>
    <w:multiLevelType w:val="hybridMultilevel"/>
    <w:lvl w:ilvl="0">
      <w:lvlJc w:val="left"/>
      <w:lvlText w:val="%1."/>
      <w:numFmt w:val="decimal"/>
      <w:start w:val="1"/>
    </w:lvl>
    <w:lvl w:ilvl="1">
      <w:lvlJc w:val="left"/>
      <w:lvlText w:val="(%2)"/>
      <w:numFmt w:val="lowerLetter"/>
      <w:start w:val="1"/>
    </w:lvl>
  </w:abstractNum>
  <w:abstractNum w:abstractNumId="50">
    <w:nsid w:val="15014ACB"/>
    <w:multiLevelType w:val="hybridMultilevel"/>
    <w:lvl w:ilvl="0">
      <w:lvlJc w:val="left"/>
      <w:lvlText w:val="(%1)"/>
      <w:numFmt w:val="decimal"/>
      <w:start w:val="60"/>
    </w:lvl>
    <w:lvl w:ilvl="1">
      <w:lvlJc w:val="left"/>
      <w:lvlText w:val="%2."/>
      <w:numFmt w:val="decimal"/>
      <w:start w:val="1"/>
    </w:lvl>
    <w:lvl w:ilvl="2">
      <w:lvlJc w:val="left"/>
      <w:lvlText w:val="(%3)"/>
      <w:numFmt w:val="lowerLetter"/>
      <w:start w:val="5"/>
    </w:lvl>
  </w:abstractNum>
  <w:abstractNum w:abstractNumId="51">
    <w:nsid w:val="5F5E7FD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2">
    <w:nsid w:val="98A3148"/>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53">
    <w:nsid w:val="799D0247"/>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4">
    <w:nsid w:val="6B94764"/>
    <w:multiLevelType w:val="hybridMultilevel"/>
    <w:lvl w:ilvl="0">
      <w:lvlJc w:val="left"/>
      <w:lvlText w:val="%1."/>
      <w:numFmt w:val="decimal"/>
      <w:start w:val="5"/>
    </w:lvl>
  </w:abstractNum>
  <w:abstractNum w:abstractNumId="55">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6">
    <w:nsid w:val="168E121F"/>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57">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8">
    <w:nsid w:val="661E3F1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9">
    <w:nsid w:val="5DC79EA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60">
    <w:nsid w:val="540A471C"/>
    <w:multiLevelType w:val="hybridMultilevel"/>
    <w:lvl w:ilvl="0">
      <w:lvlJc w:val="left"/>
      <w:lvlText w:val="%1."/>
      <w:numFmt w:val="decimal"/>
      <w:start w:val="11"/>
    </w:lvl>
  </w:abstractNum>
  <w:abstractNum w:abstractNumId="61">
    <w:nsid w:val="7BD3EE7B"/>
    <w:multiLevelType w:val="hybridMultilevel"/>
    <w:lvl w:ilvl="0">
      <w:lvlJc w:val="left"/>
      <w:lvlText w:val="%1."/>
      <w:numFmt w:val="decimal"/>
      <w:start w:val="15"/>
    </w:lvl>
  </w:abstractNum>
  <w:abstractNum w:abstractNumId="62">
    <w:nsid w:val="51D9C564"/>
    <w:multiLevelType w:val="hybridMultilevel"/>
    <w:lvl w:ilvl="0">
      <w:lvlJc w:val="left"/>
      <w:lvlText w:val="%1."/>
      <w:numFmt w:val="decimal"/>
      <w:start w:val="16"/>
    </w:lvl>
    <w:lvl w:ilvl="1">
      <w:lvlJc w:val="left"/>
      <w:lvlText w:val="(%2)"/>
      <w:numFmt w:val="lowerLetter"/>
      <w:start w:val="1"/>
    </w:lvl>
  </w:abstractNum>
  <w:abstractNum w:abstractNumId="63">
    <w:nsid w:val="613EFDC5"/>
    <w:multiLevelType w:val="hybridMultilevel"/>
    <w:lvl w:ilvl="0">
      <w:lvlJc w:val="left"/>
      <w:lvlText w:val="%1."/>
      <w:numFmt w:val="decimal"/>
      <w:start w:val="19"/>
    </w:lvl>
  </w:abstractNum>
  <w:abstractNum w:abstractNumId="64">
    <w:nsid w:val="BF72B14"/>
    <w:multiLevelType w:val="hybridMultilevel"/>
    <w:lvl w:ilvl="0">
      <w:lvlJc w:val="left"/>
      <w:lvlText w:val="%1."/>
      <w:numFmt w:val="decimal"/>
      <w:start w:val="20"/>
    </w:lvl>
  </w:abstractNum>
  <w:abstractNum w:abstractNumId="65">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
    <w:nsid w:val="42963E5A"/>
    <w:multiLevelType w:val="hybridMultilevel"/>
    <w:lvl w:ilvl="0">
      <w:lvlJc w:val="left"/>
      <w:lvlText w:val="%1"/>
      <w:numFmt w:val="decimal"/>
      <w:start w:val="1"/>
    </w:lvl>
    <w:lvl w:ilvl="1">
      <w:lvlJc w:val="left"/>
      <w:lvlText w:val="(%2)"/>
      <w:numFmt w:val="lowerLetter"/>
      <w:start w:val="4"/>
    </w:lvl>
  </w:abstractNum>
  <w:abstractNum w:abstractNumId="67">
    <w:nsid w:val="A0382C5"/>
    <w:multiLevelType w:val="hybridMultilevel"/>
    <w:lvl w:ilvl="0">
      <w:lvlJc w:val="left"/>
      <w:lvlText w:val="%1."/>
      <w:numFmt w:val="decimal"/>
      <w:start w:val="3"/>
    </w:lvl>
    <w:lvl w:ilvl="1">
      <w:lvlJc w:val="left"/>
      <w:lvlText w:val="(%2)"/>
      <w:numFmt w:val="lowerLetter"/>
      <w:start w:val="1"/>
    </w:lvl>
  </w:abstractNum>
  <w:abstractNum w:abstractNumId="68">
    <w:nsid w:val="8F2B15E"/>
    <w:multiLevelType w:val="hybridMultilevel"/>
    <w:lvl w:ilvl="0">
      <w:lvlJc w:val="left"/>
      <w:lvlText w:val="(%1)"/>
      <w:numFmt w:val="lowerLetter"/>
      <w:start w:val="5"/>
    </w:lvl>
  </w:abstractNum>
  <w:abstractNum w:abstractNumId="69">
    <w:nsid w:val="1A32234B"/>
    <w:multiLevelType w:val="hybridMultilevel"/>
    <w:lvl w:ilvl="0">
      <w:lvlJc w:val="left"/>
      <w:lvlText w:val="%1."/>
      <w:numFmt w:val="decimal"/>
      <w:start w:val="4"/>
    </w:lvl>
    <w:lvl w:ilvl="1">
      <w:lvlJc w:val="left"/>
      <w:lvlText w:val="(%2)"/>
      <w:numFmt w:val="lowerLetter"/>
      <w:start w:val="1"/>
    </w:lvl>
  </w:abstractNum>
  <w:abstractNum w:abstractNumId="70">
    <w:nsid w:val="3B0FD379"/>
    <w:multiLevelType w:val="hybridMultilevel"/>
    <w:lvl w:ilvl="0">
      <w:lvlJc w:val="left"/>
      <w:lvlText w:val="%1"/>
      <w:numFmt w:val="lowerRoman"/>
      <w:start w:val="1"/>
    </w:lvl>
    <w:lvl w:ilvl="1">
      <w:lvlJc w:val="left"/>
      <w:lvlText w:val="%2."/>
      <w:numFmt w:val="lowerRoman"/>
      <w:start w:val="1"/>
    </w:lvl>
  </w:abstractNum>
  <w:abstractNum w:abstractNumId="71">
    <w:nsid w:val="68EB2F63"/>
    <w:multiLevelType w:val="hybridMultilevel"/>
    <w:lvl w:ilvl="0">
      <w:lvlJc w:val="left"/>
      <w:lvlText w:val="(%1)"/>
      <w:numFmt w:val="lowerRoman"/>
      <w:start w:val="2"/>
    </w:lvl>
    <w:lvl w:ilvl="1">
      <w:lvlJc w:val="left"/>
      <w:lvlText w:val="%2."/>
      <w:numFmt w:val="lowerRoman"/>
      <w:start w:val="2"/>
    </w:lvl>
  </w:abstractNum>
  <w:abstractNum w:abstractNumId="72">
    <w:nsid w:val="4962813B"/>
    <w:multiLevelType w:val="hybridMultilevel"/>
    <w:lvl w:ilvl="0">
      <w:lvlJc w:val="left"/>
      <w:lvlText w:val="%1"/>
      <w:numFmt w:val="lowerLetter"/>
      <w:start w:val="1"/>
    </w:lvl>
    <w:lvl w:ilvl="1">
      <w:lvlJc w:val="left"/>
      <w:lvlText w:val="%2."/>
      <w:numFmt w:val="lowerRoman"/>
      <w:start w:val="4"/>
    </w:lvl>
  </w:abstractNum>
  <w:abstractNum w:abstractNumId="73">
    <w:nsid w:val="60B6DF70"/>
    <w:multiLevelType w:val="hybridMultilevel"/>
    <w:lvl w:ilvl="0">
      <w:lvlJc w:val="left"/>
      <w:lvlText w:val="(%1)"/>
      <w:numFmt w:val="lowerLetter"/>
      <w:start w:val="2"/>
    </w:lvl>
    <w:lvl w:ilvl="1">
      <w:lvlJc w:val="left"/>
      <w:lvlText w:val="%2"/>
      <w:numFmt w:val="lowerRoman"/>
      <w:start w:val="1"/>
    </w:lvl>
  </w:abstractNum>
  <w:abstractNum w:abstractNumId="74">
    <w:nsid w:val="6A5EE64"/>
    <w:multiLevelType w:val="hybridMultilevel"/>
    <w:lvl w:ilvl="0">
      <w:lvlJc w:val="left"/>
      <w:lvlText w:val="%1."/>
      <w:numFmt w:val="lowerRoman"/>
      <w:start w:val="1"/>
    </w:lvl>
    <w:lvl w:ilvl="1">
      <w:lvlJc w:val="left"/>
      <w:lvlText w:val="(%2)"/>
      <w:numFmt w:val="decimal"/>
      <w:start w:val="1"/>
    </w:lvl>
  </w:abstractNum>
  <w:abstractNum w:abstractNumId="75">
    <w:nsid w:val="14330624"/>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76">
    <w:nsid w:val="7FFFCA11"/>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77">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8">
    <w:nsid w:val="71EA110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9">
    <w:nsid w:val="100F59D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0">
    <w:nsid w:val="7FB7E0AA"/>
    <w:multiLevelType w:val="hybridMultilevel"/>
    <w:lvl w:ilvl="0">
      <w:lvlJc w:val="left"/>
      <w:lvlText w:val="%1."/>
      <w:numFmt w:val="decimal"/>
      <w:start w:val="7"/>
    </w:lvl>
  </w:abstractNum>
  <w:abstractNum w:abstractNumId="81">
    <w:nsid w:val="6EB5BD4"/>
    <w:multiLevelType w:val="hybridMultilevel"/>
    <w:lvl w:ilvl="0">
      <w:lvlJc w:val="left"/>
      <w:lvlText w:val="%1."/>
      <w:numFmt w:val="decimal"/>
      <w:start w:val="12"/>
    </w:lvl>
    <w:lvl w:ilvl="1">
      <w:lvlJc w:val="left"/>
      <w:lvlText w:val="(%2)"/>
      <w:numFmt w:val="lowerLetter"/>
      <w:start w:val="1"/>
    </w:lvl>
  </w:abstractNum>
  <w:abstractNum w:abstractNumId="82">
    <w:nsid w:val="6F6DD9AC"/>
    <w:multiLevelType w:val="hybridMultilevel"/>
    <w:lvl w:ilvl="0">
      <w:lvlJc w:val="left"/>
      <w:lvlText w:val="(%1)"/>
      <w:numFmt w:val="lowerLetter"/>
      <w:start w:val="3"/>
    </w:lvl>
  </w:abstractNum>
  <w:abstractNum w:abstractNumId="83">
    <w:nsid w:val="94211F2"/>
    <w:multiLevelType w:val="hybridMultilevel"/>
    <w:lvl w:ilvl="0">
      <w:lvlJc w:val="left"/>
      <w:lvlText w:val="(%1)"/>
      <w:numFmt w:val="lowerLetter"/>
      <w:start w:val="10"/>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85" Type="http://schemas.openxmlformats.org/officeDocument/2006/relationships/image" Target="media/image116.png"/><Relationship Id="rId186" Type="http://schemas.openxmlformats.org/officeDocument/2006/relationships/image" Target="media/image117.png"/><Relationship Id="rId187" Type="http://schemas.openxmlformats.org/officeDocument/2006/relationships/image" Target="media/image118.png"/><Relationship Id="rId188" Type="http://schemas.openxmlformats.org/officeDocument/2006/relationships/image" Target="media/image119.png"/><Relationship Id="rId189" Type="http://schemas.openxmlformats.org/officeDocument/2006/relationships/image" Target="media/image120.png"/><Relationship Id="rId190" Type="http://schemas.openxmlformats.org/officeDocument/2006/relationships/image" Target="media/image121.png"/><Relationship Id="rId191" Type="http://schemas.openxmlformats.org/officeDocument/2006/relationships/image" Target="media/image122.png"/><Relationship Id="rId192" Type="http://schemas.openxmlformats.org/officeDocument/2006/relationships/image" Target="media/image123.png"/><Relationship Id="rId193" Type="http://schemas.openxmlformats.org/officeDocument/2006/relationships/image" Target="media/image124.png"/><Relationship Id="rId194" Type="http://schemas.openxmlformats.org/officeDocument/2006/relationships/image" Target="media/image125.png"/><Relationship Id="rId195" Type="http://schemas.openxmlformats.org/officeDocument/2006/relationships/image" Target="media/image126.png"/><Relationship Id="rId196" Type="http://schemas.openxmlformats.org/officeDocument/2006/relationships/image" Target="media/image127.png"/><Relationship Id="rId197" Type="http://schemas.openxmlformats.org/officeDocument/2006/relationships/image" Target="media/image128.png"/><Relationship Id="rId198" Type="http://schemas.openxmlformats.org/officeDocument/2006/relationships/image" Target="media/image129.png"/><Relationship Id="rId199" Type="http://schemas.openxmlformats.org/officeDocument/2006/relationships/image" Target="media/image130.png"/><Relationship Id="rId200" Type="http://schemas.openxmlformats.org/officeDocument/2006/relationships/image" Target="media/image131.png"/><Relationship Id="rId201" Type="http://schemas.openxmlformats.org/officeDocument/2006/relationships/image" Target="media/image132.png"/><Relationship Id="rId202" Type="http://schemas.openxmlformats.org/officeDocument/2006/relationships/image" Target="media/image133.png"/><Relationship Id="rId203" Type="http://schemas.openxmlformats.org/officeDocument/2006/relationships/image" Target="media/image134.png"/><Relationship Id="rId117" Type="http://schemas.openxmlformats.org/officeDocument/2006/relationships/hyperlink" Target="http://www.sec.gov/Archives/edgar/data/1434621/000104746908008622/a2187113zex-2_1.htm" TargetMode="External"/><Relationship Id="rId118" Type="http://schemas.openxmlformats.org/officeDocument/2006/relationships/hyperlink" Target="http://www.sec.gov/Archives/edgar/data/1434621/000110465908054882/a08-22125_1ex10d2.htm" TargetMode="External"/><Relationship Id="rId119" Type="http://schemas.openxmlformats.org/officeDocument/2006/relationships/hyperlink" Target="http://www.sec.gov/Archives/edgar/data/1434621/000110465908054882/a08-22125_1ex10d3.htm" TargetMode="External"/><Relationship Id="rId120" Type="http://schemas.openxmlformats.org/officeDocument/2006/relationships/hyperlink" Target="http://www.sec.gov/Archives/edgar/data/1434621/000110465908054882/a08-22125_1ex10d4.htm" TargetMode="External"/><Relationship Id="rId121" Type="http://schemas.openxmlformats.org/officeDocument/2006/relationships/hyperlink" Target="http://www.sec.gov/Archives/edgar/data/1434621/000110465908054882/a08-22125_1ex10d6.htm" TargetMode="External"/><Relationship Id="rId122" Type="http://schemas.openxmlformats.org/officeDocument/2006/relationships/hyperlink" Target="http://www.sec.gov/Archives/edgar/data/1434621/000110465910058747/a10-21366_1ex2d1.htm" TargetMode="External"/><Relationship Id="rId123" Type="http://schemas.openxmlformats.org/officeDocument/2006/relationships/hyperlink" Target="http://www.sec.gov/Archives/edgar/data/1434621/000110465911015602/a11-8401_1ex2d1.htm" TargetMode="External"/><Relationship Id="rId124" Type="http://schemas.openxmlformats.org/officeDocument/2006/relationships/hyperlink" Target="http://www.sec.gov/Archives/edgar/data/1434621/000110465911015602/a11-8401_1ex2d2.htm" TargetMode="External"/><Relationship Id="rId125" Type="http://schemas.openxmlformats.org/officeDocument/2006/relationships/hyperlink" Target="http://www.sec.gov/Archives/edgar/data/1434621/000110465911029396/a11-12364_1ex2d1.htm" TargetMode="External"/><Relationship Id="rId128" Type="http://schemas.openxmlformats.org/officeDocument/2006/relationships/hyperlink" Target="http://www.sec.gov/Archives/edgar/data/1434621/000110465911052643/a11-26750_1ex2d1.htm" TargetMode="External"/><Relationship Id="rId129" Type="http://schemas.openxmlformats.org/officeDocument/2006/relationships/hyperlink" Target="http://www.sec.gov/Archives/edgar/data/1434621/000110465912007840/a12-4544_1ex2d1.htm" TargetMode="External"/><Relationship Id="rId130" Type="http://schemas.openxmlformats.org/officeDocument/2006/relationships/hyperlink" Target="http://www.sec.gov/Archives/edgar/data/1434621/000143462116000102/ex21ironhorsepurchaseagree.htm" TargetMode="External"/><Relationship Id="rId131" Type="http://schemas.openxmlformats.org/officeDocument/2006/relationships/hyperlink" Target="http://www.sec.gov/Archives/edgar/data/1355096/000110465917066108/a17-25170_1ex99d7d.htm" TargetMode="External"/><Relationship Id="rId132" Type="http://schemas.openxmlformats.org/officeDocument/2006/relationships/hyperlink" Target="http://www.sec.gov/Archives/edgar/data/1434621/000143462118000036/exhibit21-quotewizardpurch.htm" TargetMode="External"/><Relationship Id="rId133" Type="http://schemas.openxmlformats.org/officeDocument/2006/relationships/hyperlink" Target="http://www.sec.gov/Archives/edgar/data/1434621/000143462118000054/exhibit21-valuepenguinpurc.htm" TargetMode="External"/><Relationship Id="rId134" Type="http://schemas.openxmlformats.org/officeDocument/2006/relationships/hyperlink" Target="http://www.sec.gov/Archives/edgar/data/1434621/000110465908054882/a08-22125_1ex3d1.htm" TargetMode="External"/><Relationship Id="rId135" Type="http://schemas.openxmlformats.org/officeDocument/2006/relationships/hyperlink" Target="http://www.sec.gov/Archives/edgar/data/1434621/000143462117000080/fourthamendedandrestatedby.htm" TargetMode="External"/><Relationship Id="rId136" Type="http://schemas.openxmlformats.org/officeDocument/2006/relationships/hyperlink" Target="http://www.sec.gov/Archives/edgar/data/891103/000104746903023716/a2111938zex-99_4.htm" TargetMode="External"/><Relationship Id="rId137" Type="http://schemas.openxmlformats.org/officeDocument/2006/relationships/hyperlink" Target="http://www.sec.gov/Archives/edgar/data/1434621/000110465908054882/a08-22125_1ex10d5.htm" TargetMode="External"/><Relationship Id="rId138" Type="http://schemas.openxmlformats.org/officeDocument/2006/relationships/hyperlink" Target="http://www.sec.gov/Archives/edgar/data/1434621/000143462117000036/exhibit41-indenture.htm" TargetMode="External"/><Relationship Id="rId139" Type="http://schemas.openxmlformats.org/officeDocument/2006/relationships/hyperlink" Target="http://www.sec.gov/Archives/edgar/data/1434621/000143462117000036/exhibit991-purchaseagreeme.htm" TargetMode="External"/><Relationship Id="rId140" Type="http://schemas.openxmlformats.org/officeDocument/2006/relationships/hyperlink" Target="http://www.sec.gov/Archives/edgar/data/1434621/000143462117000036/exhibit994-basewarrantconf.htm" TargetMode="External"/><Relationship Id="rId141" Type="http://schemas.openxmlformats.org/officeDocument/2006/relationships/hyperlink" Target="http://www.sec.gov/Archives/edgar/data/1434621/000143462117000036/exhibit995-additionalwarra.htm" TargetMode="External"/><Relationship Id="rId142" Type="http://schemas.openxmlformats.org/officeDocument/2006/relationships/hyperlink" Target="https://www.sec.gov/Archives/edgar/data/1434621/000143462120000015/tree-12312019xex47.htm" TargetMode="External"/><Relationship Id="rId143" Type="http://schemas.openxmlformats.org/officeDocument/2006/relationships/hyperlink" Target="https://www.sec.gov/Archives/edgar/data/1434621/000095010320014161/dp132751_ex0401.htm" TargetMode="External"/><Relationship Id="rId144" Type="http://schemas.openxmlformats.org/officeDocument/2006/relationships/hyperlink" Target="https://www.sec.gov/Archives/edgar/data/1434621/000143462117000078/tree-2017930x10qexx103.htm" TargetMode="External"/><Relationship Id="rId145" Type="http://schemas.openxmlformats.org/officeDocument/2006/relationships/hyperlink" Target="https://www.sec.gov/Archives/edgar/data/1434621/000143462121000002/tree-12312020xex102.htm" TargetMode="External"/><Relationship Id="rId146" Type="http://schemas.openxmlformats.org/officeDocument/2006/relationships/hyperlink" Target="http://www.sec.gov/Archives/edgar/data/1434621/000143462117000039/exhibit43a-fifthamendedand.htm" TargetMode="External"/><Relationship Id="rId149" Type="http://schemas.openxmlformats.org/officeDocument/2006/relationships/hyperlink" Target="http://www.sec.gov/Archives/edgar/data/1434621/000110465909020996/a09-8855_1ex10d6.htm" TargetMode="External"/><Relationship Id="rId150" Type="http://schemas.openxmlformats.org/officeDocument/2006/relationships/hyperlink" Target="http://www.sec.gov/Archives/edgar/data/1434621/000143462114000030/ex103-noticeofrsuaward.htm" TargetMode="External"/><Relationship Id="rId151" Type="http://schemas.openxmlformats.org/officeDocument/2006/relationships/hyperlink" Target="http://www.sec.gov/Archives/edgar/data/1434621/000143462114000030/ex104-noticeofrsaward.htm" TargetMode="External"/><Relationship Id="rId152" Type="http://schemas.openxmlformats.org/officeDocument/2006/relationships/hyperlink" Target="http://www.sec.gov/Archives/edgar/data/1434621/000143462114000030/ex105-noticeofoptionaward.htm" TargetMode="External"/><Relationship Id="rId153" Type="http://schemas.openxmlformats.org/officeDocument/2006/relationships/hyperlink" Target="http://www.sec.gov/Archives/edgar/data/1434621/000143462117000039/exhibit44a-2017inducementg.htm" TargetMode="External"/><Relationship Id="rId154" Type="http://schemas.openxmlformats.org/officeDocument/2006/relationships/hyperlink" Target="http://www.sec.gov/Archives/edgar/data/1434621/000143462117000039/exhibit44b-formofnoticeofr.htm" TargetMode="External"/><Relationship Id="rId155" Type="http://schemas.openxmlformats.org/officeDocument/2006/relationships/hyperlink" Target="http://www.sec.gov/Archives/edgar/data/1434621/000143462117000039/exhibit44c-formofnoticeofr.htm" TargetMode="External"/><Relationship Id="rId156" Type="http://schemas.openxmlformats.org/officeDocument/2006/relationships/hyperlink" Target="http://www.sec.gov/Archives/edgar/data/1434621/000143462115000024/tree-deferredcompplanbodex.htm" TargetMode="External"/><Relationship Id="rId157" Type="http://schemas.openxmlformats.org/officeDocument/2006/relationships/hyperlink" Target="http://www.sec.gov/Archives/edgar/data/1434621/000104746908008622/a2187113zex-10_15.htm" TargetMode="External"/><Relationship Id="rId158" Type="http://schemas.openxmlformats.org/officeDocument/2006/relationships/hyperlink" Target="http://www.sec.gov/Archives/edgar/data/1434621/000110465911004845/a11-5223_1ex10d2.htm" TargetMode="External"/><Relationship Id="rId159" Type="http://schemas.openxmlformats.org/officeDocument/2006/relationships/hyperlink" Target="http://www.sec.gov/Archives/edgar/data/1434621/000104746912007188/a2209872zex-10_86b.htm" TargetMode="External"/><Relationship Id="rId160" Type="http://schemas.openxmlformats.org/officeDocument/2006/relationships/hyperlink" Target="http://www.sec.gov/Archives/edgar/data/1434621/000104746912007188/a2209872zex-10_86c.htm" TargetMode="External"/><Relationship Id="rId161" Type="http://schemas.openxmlformats.org/officeDocument/2006/relationships/hyperlink" Target="http://www.sec.gov/Archives/edgar/data/1434621/000104746912007188/a2209872zex-10_86d.htm" TargetMode="External"/><Relationship Id="rId162" Type="http://schemas.openxmlformats.org/officeDocument/2006/relationships/hyperlink" Target="http://www.sec.gov/Archives/edgar/data/1434621/000104746910005187/a2198626zex-10_13.htm" TargetMode="External"/><Relationship Id="rId163" Type="http://schemas.openxmlformats.org/officeDocument/2006/relationships/hyperlink" Target="http://www.sec.gov/Archives/edgar/data/1434621/000143462117000036/exhibit992-formofbasebondh.htm" TargetMode="External"/><Relationship Id="rId164" Type="http://schemas.openxmlformats.org/officeDocument/2006/relationships/hyperlink" Target="http://www.sec.gov/Archives/edgar/data/1434621/000143462117000036/exhibit993-additionalbondh.htm" TargetMode="External"/><Relationship Id="rId165" Type="http://schemas.openxmlformats.org/officeDocument/2006/relationships/hyperlink" Target="https://www.sec.gov/Archives/edgar/data/1434621/000095010321014050/dp157935_ex9901.htm" TargetMode="External"/><Relationship Id="rId166" Type="http://schemas.openxmlformats.org/officeDocument/2006/relationships/hyperlink" Target="http://www.sec.gov/Archives/edgar/data/1434621/000143462117000017/tree-12312016xex1031.htm" TargetMode="External"/><Relationship Id="rId167" Type="http://schemas.openxmlformats.org/officeDocument/2006/relationships/hyperlink" Target="http://www.sec.gov/Archives/edgar/data/1434621/000143462117000017/tree-12312016xex1032.htm" TargetMode="External"/><Relationship Id="rId168" Type="http://schemas.openxmlformats.org/officeDocument/2006/relationships/hyperlink" Target="http://www.sec.gov/Archives/edgar/data/1434621/000143462118000017/tree-2018331x10qexx101.htm" TargetMode="External"/><Relationship Id="rId169" Type="http://schemas.openxmlformats.org/officeDocument/2006/relationships/hyperlink" Target="http://www.sec.gov/Archives/edgar/data/1434621/000143462118000017/tree-2018331x10qexx102.htm" TargetMode="External"/><Relationship Id="rId170" Type="http://schemas.openxmlformats.org/officeDocument/2006/relationships/hyperlink" Target="http://www.sec.gov/Archives/edgar/data/1434621/000143462119000055/exhibit43a-sixthamendedand.htm" TargetMode="External"/><Relationship Id="rId173" Type="http://schemas.openxmlformats.org/officeDocument/2006/relationships/hyperlink" Target="https://www.sec.gov/Archives/edgar/data/1434621/000143462120000030/tree-2020630x10qexx101.htm" TargetMode="External"/><Relationship Id="rId174" Type="http://schemas.openxmlformats.org/officeDocument/2006/relationships/hyperlink" Target="https://www.sec.gov/Archives/edgar/data/1434621/000143462120000030/tree-2020630x10qexx102.htm" TargetMode="External"/><Relationship Id="rId175" Type="http://schemas.openxmlformats.org/officeDocument/2006/relationships/hyperlink" Target="https://www.sec.gov/Archives/edgar/data/1434621/000143462120000030/tree-2020630x10qexx103.htm" TargetMode="External"/><Relationship Id="rId176" Type="http://schemas.openxmlformats.org/officeDocument/2006/relationships/hyperlink" Target="https://www.sec.gov/Archives/edgar/data/1434621/000143462120000030/tree-2020630x10qexx104.htm" TargetMode="External"/><Relationship Id="rId177" Type="http://schemas.openxmlformats.org/officeDocument/2006/relationships/hyperlink" Target="https://www.sec.gov/Archives/edgar/data/1434621/000095010320014161/dp132751_ex9902.htm" TargetMode="External"/><Relationship Id="rId178" Type="http://schemas.openxmlformats.org/officeDocument/2006/relationships/hyperlink" Target="https://www.sec.gov/Archives/edgar/data/1434621/000095010320014161/dp132751_ex9903.htm" TargetMode="External"/><Relationship Id="rId179" Type="http://schemas.openxmlformats.org/officeDocument/2006/relationships/hyperlink" Target="https://www.sec.gov/Archives/edgar/data/1434621/000095010320014161/dp132751_ex9904.htm" TargetMode="External"/><Relationship Id="rId180" Type="http://schemas.openxmlformats.org/officeDocument/2006/relationships/hyperlink" Target="https://www.sec.gov/Archives/edgar/data/1434621/000095010320014161/dp132751_ex9905.htm" TargetMode="External"/><Relationship Id="rId181" Type="http://schemas.openxmlformats.org/officeDocument/2006/relationships/hyperlink" Target="https://www.sec.gov/Archives/edgar/data/1434621/000143462121000002/tree-12312020xex1041.htm" TargetMode="External"/><Relationship Id="rId182" Type="http://schemas.openxmlformats.org/officeDocument/2006/relationships/hyperlink" Target="https://www.sec.gov/Archives/edgar/data/0001434621/000143462121000019/tree-20210630x10qexx101.htm" TargetMode="External"/><Relationship Id="rId183" Type="http://schemas.openxmlformats.org/officeDocument/2006/relationships/hyperlink" Target="https://www.sec.gov/Archives/edgar/data/1434621/000114036121014919/nc10023359x1_def14a.htm" TargetMode="External"/><Relationship Id="rId184" Type="http://schemas.openxmlformats.org/officeDocument/2006/relationships/hyperlink" Target="https://www.sec.gov/Archives/edgar/data/1434621/000095010321011752/dp155487_ex99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2022-03-01T11:40:26Z</dcterms:created>
  <dcterms:modified xsi:type="dcterms:W3CDTF">2022-03-01T11:40:26Z</dcterms:modified>
</cp:coreProperties>
</file>