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68834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169545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5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183515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left="3860" w:right="1180" w:hanging="3494"/>
        <w:spacing w:after="0" w:line="266" w:lineRule="auto"/>
        <w:tabs>
          <w:tab w:leader="none" w:pos="91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March 31, 2020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920" w:hanging="554"/>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104140</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335280</wp:posOffset>
            </wp:positionV>
            <wp:extent cx="128587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spacing w:after="0"/>
              <w:rPr>
                <w:sz w:val="18"/>
                <w:szCs w:val="18"/>
                <w:color w:val="auto"/>
              </w:rPr>
            </w:pPr>
          </w:p>
        </w:tc>
        <w:tc>
          <w:tcPr>
            <w:tcW w:w="2160" w:type="dxa"/>
            <w:vAlign w:val="bottom"/>
            <w:gridSpan w:val="3"/>
          </w:tcPr>
          <w:p>
            <w:pPr>
              <w:ind w:left="860"/>
              <w:spacing w:after="0"/>
              <w:rPr>
                <w:sz w:val="20"/>
                <w:szCs w:val="20"/>
                <w:color w:val="auto"/>
              </w:rPr>
            </w:pPr>
            <w:r>
              <w:rPr>
                <w:rFonts w:ascii="Arial" w:cs="Arial" w:eastAsia="Arial" w:hAnsi="Arial"/>
                <w:sz w:val="16"/>
                <w:szCs w:val="16"/>
                <w:b w:val="1"/>
                <w:bCs w:val="1"/>
                <w:color w:val="auto"/>
              </w:rPr>
              <w:t>Delaware</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20" w:type="dxa"/>
            <w:vAlign w:val="bottom"/>
            <w:gridSpan w:val="3"/>
          </w:tcPr>
          <w:p>
            <w:pPr>
              <w:jc w:val="right"/>
              <w:ind w:right="1740"/>
              <w:spacing w:after="0"/>
              <w:rPr>
                <w:sz w:val="20"/>
                <w:szCs w:val="20"/>
                <w:color w:val="auto"/>
              </w:rPr>
            </w:pPr>
            <w:r>
              <w:rPr>
                <w:rFonts w:ascii="Arial" w:cs="Arial" w:eastAsia="Arial" w:hAnsi="Arial"/>
                <w:sz w:val="16"/>
                <w:szCs w:val="16"/>
                <w:b w:val="1"/>
                <w:bCs w:val="1"/>
                <w:color w:val="auto"/>
              </w:rPr>
              <w:t>26-2414818</w:t>
            </w:r>
          </w:p>
        </w:tc>
      </w:tr>
      <w:tr>
        <w:trPr>
          <w:trHeight w:val="270"/>
        </w:trPr>
        <w:tc>
          <w:tcPr>
            <w:tcW w:w="7360" w:type="dxa"/>
            <w:vAlign w:val="bottom"/>
            <w:gridSpan w:val="7"/>
          </w:tcPr>
          <w:p>
            <w:pPr>
              <w:ind w:left="780"/>
              <w:spacing w:after="0"/>
              <w:rPr>
                <w:sz w:val="20"/>
                <w:szCs w:val="20"/>
                <w:color w:val="auto"/>
              </w:rPr>
            </w:pPr>
            <w:r>
              <w:rPr>
                <w:rFonts w:ascii="Arial" w:cs="Arial" w:eastAsia="Arial" w:hAnsi="Arial"/>
                <w:sz w:val="16"/>
                <w:szCs w:val="16"/>
                <w:color w:val="auto"/>
              </w:rPr>
              <w:t>(State or other jurisdiction of incorporation or organization)</w:t>
            </w:r>
          </w:p>
        </w:tc>
        <w:tc>
          <w:tcPr>
            <w:tcW w:w="3320" w:type="dxa"/>
            <w:vAlign w:val="bottom"/>
            <w:gridSpan w:val="3"/>
          </w:tcPr>
          <w:p>
            <w:pPr>
              <w:jc w:val="center"/>
              <w:ind w:right="940"/>
              <w:spacing w:after="0"/>
              <w:rPr>
                <w:sz w:val="20"/>
                <w:szCs w:val="20"/>
                <w:color w:val="auto"/>
              </w:rPr>
            </w:pPr>
            <w:r>
              <w:rPr>
                <w:rFonts w:ascii="Arial" w:cs="Arial" w:eastAsia="Arial" w:hAnsi="Arial"/>
                <w:sz w:val="16"/>
                <w:szCs w:val="16"/>
                <w:color w:val="auto"/>
                <w:w w:val="94"/>
              </w:rPr>
              <w:t>(I.R.S. Employer Identification No.)</w:t>
            </w:r>
          </w:p>
        </w:tc>
      </w:tr>
      <w:tr>
        <w:trPr>
          <w:trHeight w:val="339"/>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gridSpan w:val="7"/>
          </w:tcPr>
          <w:p>
            <w:pPr>
              <w:ind w:left="400"/>
              <w:spacing w:after="0"/>
              <w:rPr>
                <w:sz w:val="20"/>
                <w:szCs w:val="20"/>
                <w:color w:val="auto"/>
              </w:rPr>
            </w:pPr>
            <w:r>
              <w:rPr>
                <w:rFonts w:ascii="Arial" w:cs="Arial" w:eastAsia="Arial" w:hAnsi="Arial"/>
                <w:sz w:val="18"/>
                <w:szCs w:val="18"/>
                <w:b w:val="1"/>
                <w:bCs w:val="1"/>
                <w:color w:val="auto"/>
              </w:rPr>
              <w:t>11115 Rushmore Drive, Charlotte, North Carolina 28277</w:t>
            </w: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10"/>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gridSpan w:val="2"/>
          </w:tcPr>
          <w:p>
            <w:pPr>
              <w:jc w:val="center"/>
              <w:ind w:left="1113"/>
              <w:spacing w:after="0"/>
              <w:rPr>
                <w:sz w:val="20"/>
                <w:szCs w:val="20"/>
                <w:color w:val="auto"/>
              </w:rPr>
            </w:pPr>
            <w:r>
              <w:rPr>
                <w:rFonts w:ascii="Arial" w:cs="Arial" w:eastAsia="Arial" w:hAnsi="Arial"/>
                <w:sz w:val="18"/>
                <w:szCs w:val="18"/>
                <w:b w:val="1"/>
                <w:bCs w:val="1"/>
                <w:color w:val="auto"/>
                <w:w w:val="90"/>
              </w:rPr>
              <w:t>(704) 541-5351</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80" w:type="dxa"/>
            <w:vAlign w:val="bottom"/>
            <w:gridSpan w:val="6"/>
          </w:tcPr>
          <w:p>
            <w:pPr>
              <w:jc w:val="center"/>
              <w:ind w:right="3140"/>
              <w:spacing w:after="0"/>
              <w:rPr>
                <w:sz w:val="20"/>
                <w:szCs w:val="20"/>
                <w:color w:val="auto"/>
              </w:rPr>
            </w:pPr>
            <w:r>
              <w:rPr>
                <w:rFonts w:ascii="Arial" w:cs="Arial" w:eastAsia="Arial" w:hAnsi="Arial"/>
                <w:sz w:val="17"/>
                <w:szCs w:val="17"/>
                <w:color w:val="auto"/>
                <w:w w:val="90"/>
              </w:rPr>
              <w:t>(Registrant's telephone number, including area code)</w:t>
            </w:r>
          </w:p>
        </w:tc>
      </w:tr>
      <w:tr>
        <w:trPr>
          <w:trHeight w:val="146"/>
        </w:trPr>
        <w:tc>
          <w:tcPr>
            <w:tcW w:w="1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Borders>
              <w:bottom w:val="single" w:sz="8" w:color="auto"/>
            </w:tcBorders>
            <w:gridSpan w:val="2"/>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500" w:type="dxa"/>
            <w:vAlign w:val="bottom"/>
          </w:tcPr>
          <w:p>
            <w:pPr>
              <w:spacing w:after="0"/>
              <w:rPr>
                <w:sz w:val="12"/>
                <w:szCs w:val="12"/>
                <w:color w:val="auto"/>
              </w:rPr>
            </w:pPr>
          </w:p>
        </w:tc>
      </w:tr>
      <w:tr>
        <w:trPr>
          <w:trHeight w:val="320"/>
        </w:trPr>
        <w:tc>
          <w:tcPr>
            <w:tcW w:w="736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8"/>
        </w:trPr>
        <w:tc>
          <w:tcPr>
            <w:tcW w:w="1540" w:type="dxa"/>
            <w:vAlign w:val="bottom"/>
          </w:tcPr>
          <w:p>
            <w:pPr>
              <w:spacing w:after="0"/>
              <w:rPr>
                <w:sz w:val="24"/>
                <w:szCs w:val="24"/>
                <w:color w:val="auto"/>
              </w:rPr>
            </w:pPr>
          </w:p>
        </w:tc>
        <w:tc>
          <w:tcPr>
            <w:tcW w:w="2160" w:type="dxa"/>
            <w:vAlign w:val="bottom"/>
            <w:gridSpan w:val="3"/>
          </w:tcPr>
          <w:p>
            <w:pPr>
              <w:jc w:val="center"/>
              <w:ind w:right="850"/>
              <w:spacing w:after="0"/>
              <w:rPr>
                <w:sz w:val="20"/>
                <w:szCs w:val="20"/>
                <w:color w:val="auto"/>
              </w:rPr>
            </w:pPr>
            <w:r>
              <w:rPr>
                <w:rFonts w:ascii="Arial" w:cs="Arial" w:eastAsia="Arial" w:hAnsi="Arial"/>
                <w:sz w:val="17"/>
                <w:szCs w:val="17"/>
                <w:color w:val="auto"/>
                <w:w w:val="89"/>
              </w:rPr>
              <w:t>Title of each class</w:t>
            </w:r>
          </w:p>
        </w:tc>
        <w:tc>
          <w:tcPr>
            <w:tcW w:w="3660" w:type="dxa"/>
            <w:vAlign w:val="bottom"/>
            <w:gridSpan w:val="3"/>
          </w:tcPr>
          <w:p>
            <w:pPr>
              <w:jc w:val="center"/>
              <w:ind w:left="253"/>
              <w:spacing w:after="0"/>
              <w:rPr>
                <w:sz w:val="20"/>
                <w:szCs w:val="20"/>
                <w:color w:val="auto"/>
              </w:rPr>
            </w:pPr>
            <w:r>
              <w:rPr>
                <w:rFonts w:ascii="Arial" w:cs="Arial" w:eastAsia="Arial" w:hAnsi="Arial"/>
                <w:sz w:val="17"/>
                <w:szCs w:val="17"/>
                <w:color w:val="auto"/>
                <w:w w:val="92"/>
              </w:rPr>
              <w:t>Trading Symbol(s)</w:t>
            </w:r>
          </w:p>
        </w:tc>
        <w:tc>
          <w:tcPr>
            <w:tcW w:w="3320" w:type="dxa"/>
            <w:vAlign w:val="bottom"/>
            <w:gridSpan w:val="3"/>
          </w:tcPr>
          <w:p>
            <w:pPr>
              <w:jc w:val="center"/>
              <w:ind w:left="218"/>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3"/>
        </w:trPr>
        <w:tc>
          <w:tcPr>
            <w:tcW w:w="3700" w:type="dxa"/>
            <w:vAlign w:val="bottom"/>
            <w:gridSpan w:val="4"/>
          </w:tcPr>
          <w:p>
            <w:pPr>
              <w:jc w:val="center"/>
              <w:ind w:left="516"/>
              <w:spacing w:after="0"/>
              <w:rPr>
                <w:sz w:val="20"/>
                <w:szCs w:val="20"/>
                <w:color w:val="auto"/>
              </w:rPr>
            </w:pPr>
            <w:r>
              <w:rPr>
                <w:rFonts w:ascii="Arial" w:cs="Arial" w:eastAsia="Arial" w:hAnsi="Arial"/>
                <w:sz w:val="17"/>
                <w:szCs w:val="17"/>
                <w:color w:val="auto"/>
                <w:w w:val="89"/>
              </w:rPr>
              <w:t>Common Stock, $0.01 par value per share</w:t>
            </w:r>
          </w:p>
        </w:tc>
        <w:tc>
          <w:tcPr>
            <w:tcW w:w="1360" w:type="dxa"/>
            <w:vAlign w:val="bottom"/>
          </w:tcPr>
          <w:p>
            <w:pPr>
              <w:spacing w:after="0"/>
              <w:rPr>
                <w:sz w:val="23"/>
                <w:szCs w:val="23"/>
                <w:color w:val="auto"/>
              </w:rPr>
            </w:pPr>
          </w:p>
        </w:tc>
        <w:tc>
          <w:tcPr>
            <w:tcW w:w="2300" w:type="dxa"/>
            <w:vAlign w:val="bottom"/>
            <w:gridSpan w:val="2"/>
          </w:tcPr>
          <w:p>
            <w:pPr>
              <w:jc w:val="center"/>
              <w:ind w:right="1020"/>
              <w:spacing w:after="0"/>
              <w:rPr>
                <w:sz w:val="20"/>
                <w:szCs w:val="20"/>
                <w:color w:val="auto"/>
              </w:rPr>
            </w:pPr>
            <w:r>
              <w:rPr>
                <w:rFonts w:ascii="Arial" w:cs="Arial" w:eastAsia="Arial" w:hAnsi="Arial"/>
                <w:sz w:val="17"/>
                <w:szCs w:val="17"/>
                <w:color w:val="auto"/>
                <w:w w:val="96"/>
              </w:rPr>
              <w:t>TREE</w:t>
            </w:r>
          </w:p>
        </w:tc>
        <w:tc>
          <w:tcPr>
            <w:tcW w:w="30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94"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360" w:type="dxa"/>
        <w:tblCellMar>
          <w:top w:w="0" w:type="dxa"/>
          <w:left w:w="0" w:type="dxa"/>
          <w:bottom w:w="0" w:type="dxa"/>
          <w:right w:w="0" w:type="dxa"/>
        </w:tblCellMar>
      </w:tblPr>
      <w:tr>
        <w:trPr>
          <w:trHeight w:val="269"/>
        </w:trPr>
        <w:tc>
          <w:tcPr>
            <w:tcW w:w="2460" w:type="dxa"/>
            <w:vAlign w:val="bottom"/>
          </w:tcPr>
          <w:p>
            <w:pPr>
              <w:jc w:val="center"/>
              <w:ind w:right="835"/>
              <w:spacing w:after="0"/>
              <w:rPr>
                <w:sz w:val="20"/>
                <w:szCs w:val="20"/>
                <w:color w:val="auto"/>
              </w:rPr>
            </w:pPr>
            <w:r>
              <w:rPr>
                <w:rFonts w:ascii="Arial" w:cs="Arial" w:eastAsia="Arial" w:hAnsi="Arial"/>
                <w:sz w:val="17"/>
                <w:szCs w:val="17"/>
                <w:color w:val="auto"/>
                <w:w w:val="91"/>
              </w:rPr>
              <w:t>Large accelerated filer</w:t>
            </w:r>
          </w:p>
        </w:tc>
        <w:tc>
          <w:tcPr>
            <w:tcW w:w="140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120" w:type="dxa"/>
            <w:vAlign w:val="bottom"/>
          </w:tcPr>
          <w:p>
            <w:pPr>
              <w:ind w:left="320"/>
              <w:spacing w:after="0"/>
              <w:rPr>
                <w:sz w:val="20"/>
                <w:szCs w:val="20"/>
                <w:color w:val="auto"/>
              </w:rPr>
            </w:pPr>
            <w:r>
              <w:rPr>
                <w:rFonts w:ascii="Arial" w:cs="Arial" w:eastAsia="Arial" w:hAnsi="Arial"/>
                <w:sz w:val="17"/>
                <w:szCs w:val="17"/>
                <w:color w:val="auto"/>
              </w:rPr>
              <w:t>Accelerated filer</w:t>
            </w:r>
          </w:p>
        </w:tc>
        <w:tc>
          <w:tcPr>
            <w:tcW w:w="110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460" w:type="dxa"/>
            <w:vAlign w:val="bottom"/>
          </w:tcPr>
          <w:p>
            <w:pPr>
              <w:jc w:val="center"/>
              <w:ind w:right="815"/>
              <w:spacing w:after="0"/>
              <w:rPr>
                <w:sz w:val="20"/>
                <w:szCs w:val="20"/>
                <w:color w:val="auto"/>
              </w:rPr>
            </w:pPr>
            <w:r>
              <w:rPr>
                <w:rFonts w:ascii="Arial" w:cs="Arial" w:eastAsia="Arial" w:hAnsi="Arial"/>
                <w:sz w:val="17"/>
                <w:szCs w:val="17"/>
                <w:color w:val="auto"/>
                <w:w w:val="91"/>
              </w:rPr>
              <w:t>Non-accelerated filer</w:t>
            </w:r>
          </w:p>
        </w:tc>
        <w:tc>
          <w:tcPr>
            <w:tcW w:w="140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120" w:type="dxa"/>
            <w:vAlign w:val="bottom"/>
          </w:tcPr>
          <w:p>
            <w:pPr>
              <w:ind w:left="320"/>
              <w:spacing w:after="0"/>
              <w:rPr>
                <w:sz w:val="20"/>
                <w:szCs w:val="20"/>
                <w:color w:val="auto"/>
              </w:rPr>
            </w:pPr>
            <w:r>
              <w:rPr>
                <w:rFonts w:ascii="Arial" w:cs="Arial" w:eastAsia="Arial" w:hAnsi="Arial"/>
                <w:sz w:val="17"/>
                <w:szCs w:val="17"/>
                <w:color w:val="auto"/>
              </w:rPr>
              <w:t>Smaller reporting company</w:t>
            </w:r>
          </w:p>
        </w:tc>
        <w:tc>
          <w:tcPr>
            <w:tcW w:w="110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120" w:type="dxa"/>
            <w:vAlign w:val="bottom"/>
          </w:tcPr>
          <w:p>
            <w:pPr>
              <w:ind w:left="320"/>
              <w:spacing w:after="0"/>
              <w:rPr>
                <w:sz w:val="20"/>
                <w:szCs w:val="20"/>
                <w:color w:val="auto"/>
              </w:rPr>
            </w:pPr>
            <w:r>
              <w:rPr>
                <w:rFonts w:ascii="Arial" w:cs="Arial" w:eastAsia="Arial" w:hAnsi="Arial"/>
                <w:sz w:val="17"/>
                <w:szCs w:val="17"/>
                <w:color w:val="auto"/>
              </w:rPr>
              <w:t>Emerging growth company</w:t>
            </w:r>
          </w:p>
        </w:tc>
        <w:tc>
          <w:tcPr>
            <w:tcW w:w="110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4"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29, 2020, there were 13,063,927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883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34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883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29"/>
        </w:trPr>
        <w:tc>
          <w:tcPr>
            <w:tcW w:w="1060" w:type="dxa"/>
            <w:vAlign w:val="bottom"/>
            <w:vMerge w:val="restart"/>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I—FINANCIAL INFORMATION</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60" w:type="dxa"/>
            <w:vAlign w:val="bottom"/>
            <w:vMerge w:val="continue"/>
          </w:tcPr>
          <w:p>
            <w:pPr>
              <w:spacing w:after="0"/>
              <w:rPr>
                <w:sz w:val="23"/>
                <w:szCs w:val="23"/>
                <w:color w:val="auto"/>
              </w:rPr>
            </w:pPr>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
              <w:r>
                <w:rPr>
                  <w:rFonts w:ascii="Arial" w:cs="Arial" w:eastAsia="Arial" w:hAnsi="Arial"/>
                  <w:sz w:val="18"/>
                  <w:szCs w:val="18"/>
                  <w:b w:val="1"/>
                  <w:bCs w:val="1"/>
                  <w:i w:val="1"/>
                  <w:iCs w:val="1"/>
                  <w:u w:val="single" w:color="auto"/>
                  <w:color w:val="0000FF"/>
                </w:rPr>
                <w:t>Financial Statements</w:t>
              </w:r>
            </w:hyperlink>
          </w:p>
        </w:tc>
        <w:tc>
          <w:tcPr>
            <w:tcW w:w="10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EE"/>
              </w:rPr>
            </w:pPr>
            <w:hyperlink w:anchor="page28">
              <w:r>
                <w:rPr>
                  <w:rFonts w:ascii="Arial" w:cs="Arial" w:eastAsia="Arial" w:hAnsi="Arial"/>
                  <w:sz w:val="18"/>
                  <w:szCs w:val="18"/>
                  <w:b w:val="1"/>
                  <w:bCs w:val="1"/>
                  <w:i w:val="1"/>
                  <w:iCs w:val="1"/>
                  <w:u w:val="single" w:color="auto"/>
                  <w:color w:val="0000EE"/>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3.</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8">
              <w:r>
                <w:rPr>
                  <w:rFonts w:ascii="Arial" w:cs="Arial" w:eastAsia="Arial" w:hAnsi="Arial"/>
                  <w:sz w:val="18"/>
                  <w:szCs w:val="18"/>
                  <w:b w:val="1"/>
                  <w:bCs w:val="1"/>
                  <w:i w:val="1"/>
                  <w:iCs w:val="1"/>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4.</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8">
              <w:r>
                <w:rPr>
                  <w:rFonts w:ascii="Arial" w:cs="Arial" w:eastAsia="Arial" w:hAnsi="Arial"/>
                  <w:sz w:val="18"/>
                  <w:szCs w:val="18"/>
                  <w:b w:val="1"/>
                  <w:bCs w:val="1"/>
                  <w:i w:val="1"/>
                  <w:iCs w:val="1"/>
                  <w:u w:val="single" w:color="auto"/>
                  <w:color w:val="0000FF"/>
                </w:rPr>
                <w:t>Controls and Procedures</w:t>
              </w:r>
            </w:hyperlink>
          </w:p>
        </w:tc>
        <w:tc>
          <w:tcPr>
            <w:tcW w:w="10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540"/>
        </w:trPr>
        <w:tc>
          <w:tcPr>
            <w:tcW w:w="1060" w:type="dxa"/>
            <w:vAlign w:val="bottom"/>
          </w:tcPr>
          <w:p>
            <w:pPr>
              <w:spacing w:after="0"/>
              <w:rPr>
                <w:sz w:val="24"/>
                <w:szCs w:val="24"/>
                <w:color w:val="auto"/>
              </w:rPr>
            </w:pPr>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60" w:type="dxa"/>
            <w:vAlign w:val="bottom"/>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1.</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9">
              <w:r>
                <w:rPr>
                  <w:rFonts w:ascii="Arial" w:cs="Arial" w:eastAsia="Arial" w:hAnsi="Arial"/>
                  <w:sz w:val="18"/>
                  <w:szCs w:val="18"/>
                  <w:b w:val="1"/>
                  <w:bCs w:val="1"/>
                  <w:i w:val="1"/>
                  <w:iCs w:val="1"/>
                  <w:u w:val="single" w:color="auto"/>
                  <w:color w:val="0000FF"/>
                </w:rPr>
                <w:t>Legal Proceedings</w:t>
              </w:r>
            </w:hyperlink>
          </w:p>
        </w:tc>
        <w:tc>
          <w:tcPr>
            <w:tcW w:w="10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1A.</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9">
              <w:r>
                <w:rPr>
                  <w:rFonts w:ascii="Arial" w:cs="Arial" w:eastAsia="Arial" w:hAnsi="Arial"/>
                  <w:sz w:val="18"/>
                  <w:szCs w:val="18"/>
                  <w:b w:val="1"/>
                  <w:bCs w:val="1"/>
                  <w:i w:val="1"/>
                  <w:iCs w:val="1"/>
                  <w:u w:val="single" w:color="auto"/>
                  <w:color w:val="0000FF"/>
                </w:rPr>
                <w:t>Risk Factors</w:t>
              </w:r>
            </w:hyperlink>
          </w:p>
        </w:tc>
        <w:tc>
          <w:tcPr>
            <w:tcW w:w="10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9">
              <w:r>
                <w:rPr>
                  <w:rFonts w:ascii="Arial" w:cs="Arial" w:eastAsia="Arial" w:hAnsi="Arial"/>
                  <w:sz w:val="18"/>
                  <w:szCs w:val="18"/>
                  <w:b w:val="1"/>
                  <w:bCs w:val="1"/>
                  <w:i w:val="1"/>
                  <w:iCs w:val="1"/>
                  <w:u w:val="single" w:color="auto"/>
                  <w:color w:val="0000FF"/>
                </w:rPr>
                <w:t>Unregistered Sales of Equity Securities and Use of Proceeds</w:t>
              </w:r>
            </w:hyperlink>
          </w:p>
        </w:tc>
        <w:tc>
          <w:tcPr>
            <w:tcW w:w="10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5.</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0">
              <w:r>
                <w:rPr>
                  <w:rFonts w:ascii="Arial" w:cs="Arial" w:eastAsia="Arial" w:hAnsi="Arial"/>
                  <w:sz w:val="18"/>
                  <w:szCs w:val="18"/>
                  <w:b w:val="1"/>
                  <w:bCs w:val="1"/>
                  <w:i w:val="1"/>
                  <w:iCs w:val="1"/>
                  <w:u w:val="single" w:color="auto"/>
                  <w:color w:val="0000FF"/>
                </w:rPr>
                <w:t>Other Information</w:t>
              </w:r>
            </w:hyperlink>
          </w:p>
        </w:tc>
        <w:tc>
          <w:tcPr>
            <w:tcW w:w="10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Item 6.</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1">
              <w:r>
                <w:rPr>
                  <w:rFonts w:ascii="Arial" w:cs="Arial" w:eastAsia="Arial" w:hAnsi="Arial"/>
                  <w:sz w:val="18"/>
                  <w:szCs w:val="18"/>
                  <w:b w:val="1"/>
                  <w:bCs w:val="1"/>
                  <w:i w:val="1"/>
                  <w:iCs w:val="1"/>
                  <w:u w:val="single" w:color="auto"/>
                  <w:color w:val="0000FF"/>
                </w:rPr>
                <w:t>Exhibits</w:t>
              </w:r>
            </w:hyperlink>
          </w:p>
        </w:tc>
        <w:tc>
          <w:tcPr>
            <w:tcW w:w="10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459"/>
        </w:trPr>
        <w:tc>
          <w:tcPr>
            <w:tcW w:w="1060" w:type="dxa"/>
            <w:vAlign w:val="bottom"/>
          </w:tcPr>
          <w:p>
            <w:pPr>
              <w:spacing w:after="0"/>
              <w:rPr>
                <w:sz w:val="24"/>
                <w:szCs w:val="24"/>
                <w:color w:val="auto"/>
              </w:rPr>
            </w:pPr>
          </w:p>
        </w:tc>
        <w:tc>
          <w:tcPr>
            <w:tcW w:w="9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53"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13335</wp:posOffset>
            </wp:positionV>
            <wp:extent cx="2065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3"/>
          </w:tcPr>
          <w:p>
            <w:pPr>
              <w:jc w:val="right"/>
              <w:ind w:right="311"/>
              <w:spacing w:after="0"/>
              <w:rPr>
                <w:sz w:val="20"/>
                <w:szCs w:val="20"/>
                <w:color w:val="auto"/>
              </w:rPr>
            </w:pPr>
            <w:r>
              <w:rPr>
                <w:rFonts w:ascii="Arial" w:cs="Arial" w:eastAsia="Arial" w:hAnsi="Arial"/>
                <w:sz w:val="14"/>
                <w:szCs w:val="14"/>
                <w:b w:val="1"/>
                <w:bCs w:val="1"/>
                <w:i w:val="1"/>
                <w:iCs w:val="1"/>
                <w:color w:val="auto"/>
                <w:w w:val="92"/>
              </w:rPr>
              <w:t>(in thousands, except per share amounts)</w:t>
            </w: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283,084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262,390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14,252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195,538</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174,891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32,082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10,963</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10,166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3,378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13,757</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13,427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329</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6"/>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262,335</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264,192</w:t>
            </w:r>
          </w:p>
        </w:tc>
      </w:tr>
      <w:tr>
        <w:trPr>
          <w:trHeight w:val="27"/>
        </w:trPr>
        <w:tc>
          <w:tcPr>
            <w:tcW w:w="7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20,749</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7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15,915</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3,061</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7,752</w:t>
            </w:r>
          </w:p>
        </w:tc>
      </w:tr>
      <w:tr>
        <w:trPr>
          <w:trHeight w:val="27"/>
        </w:trPr>
        <w:tc>
          <w:tcPr>
            <w:tcW w:w="7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18,976</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(4,575)</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7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r>
      <w:tr>
        <w:trPr>
          <w:trHeight w:val="270"/>
        </w:trPr>
        <w:tc>
          <w:tcPr>
            <w:tcW w:w="798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12,957</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12,718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14,158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1.34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0.04</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7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56"/>
        </w:trPr>
        <w:tc>
          <w:tcPr>
            <w:tcW w:w="8660" w:type="dxa"/>
            <w:vAlign w:val="bottom"/>
          </w:tcPr>
          <w:p>
            <w:pPr>
              <w:spacing w:after="0"/>
              <w:rPr>
                <w:sz w:val="13"/>
                <w:szCs w:val="13"/>
                <w:color w:val="auto"/>
              </w:rPr>
            </w:pPr>
          </w:p>
        </w:tc>
        <w:tc>
          <w:tcPr>
            <w:tcW w:w="2580" w:type="dxa"/>
            <w:vAlign w:val="bottom"/>
            <w:gridSpan w:val="4"/>
          </w:tcPr>
          <w:p>
            <w:pPr>
              <w:jc w:val="right"/>
              <w:spacing w:after="0" w:line="156"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3"/>
          </w:tcPr>
          <w:p>
            <w:pPr>
              <w:jc w:val="right"/>
              <w:ind w:right="91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51,208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60,243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$2,021 and $1,466, respectively)</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119,559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113,487</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17,375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188,319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189,426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$19,294 and $17,979, respectively)</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31,473</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31,363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420,139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420,139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167,823</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181,580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90,725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87,664</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Equity investment (Note 7)</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28,665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9,476</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7,948</w:t>
            </w:r>
          </w:p>
        </w:tc>
      </w:tr>
      <w:tr>
        <w:trPr>
          <w:trHeight w:val="27"/>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1,016,620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270"/>
        </w:trPr>
        <w:tc>
          <w:tcPr>
            <w:tcW w:w="86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75,000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6,056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105,647</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112,755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14,183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9,028</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36,400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31,050</w:t>
            </w:r>
          </w:p>
        </w:tc>
      </w:tr>
      <w:tr>
        <w:trPr>
          <w:trHeight w:val="27"/>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292,286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230,706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267,870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264,391</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8,159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24,748</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26,110</w:t>
            </w:r>
          </w:p>
        </w:tc>
      </w:tr>
      <w:tr>
        <w:trPr>
          <w:trHeight w:val="27"/>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593,063</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545,643</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 shares authorized; 15,704,064 and 15,676,819 shares issued, respectively,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13,062,746 and 13,035,501 shares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1,184,813</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1,177,984</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(578,252)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(592,654)</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Treasury stock; 2,641,318 shares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(183,161)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(183,161)</w:t>
            </w:r>
          </w:p>
        </w:tc>
      </w:tr>
      <w:tr>
        <w:trPr>
          <w:trHeight w:val="27"/>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423,557</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402,326</w:t>
            </w:r>
          </w:p>
        </w:tc>
      </w:tr>
      <w:tr>
        <w:trPr>
          <w:trHeight w:val="236"/>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1,016,620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34"/>
        </w:trPr>
        <w:tc>
          <w:tcPr>
            <w:tcW w:w="8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86"/>
              <w:spacing w:after="0" w:line="13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80" w:type="dxa"/>
            <w:vAlign w:val="bottom"/>
            <w:vMerge w:val="restart"/>
          </w:tcPr>
          <w:p>
            <w:pPr>
              <w:jc w:val="center"/>
              <w:ind w:right="185"/>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2019</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402,326</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15,677</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1,177,984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rPr>
              <w:t>(592,654)</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14,401</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5"/>
              <w:spacing w:after="0"/>
              <w:rPr>
                <w:sz w:val="20"/>
                <w:szCs w:val="20"/>
                <w:color w:val="auto"/>
              </w:rPr>
            </w:pPr>
            <w:r>
              <w:rPr>
                <w:rFonts w:ascii="Arial" w:cs="Arial" w:eastAsia="Arial" w:hAnsi="Arial"/>
                <w:sz w:val="15"/>
                <w:szCs w:val="15"/>
                <w:color w:val="auto"/>
              </w:rPr>
              <w:t>14,401</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11,917</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rPr>
              <w:t>11,917</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(5,087)</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(5,087)</w:t>
            </w:r>
          </w:p>
        </w:tc>
        <w:tc>
          <w:tcPr>
            <w:tcW w:w="220" w:type="dxa"/>
            <w:vAlign w:val="bottom"/>
          </w:tcPr>
          <w:p>
            <w:pPr>
              <w:spacing w:after="0"/>
              <w:rPr>
                <w:sz w:val="17"/>
                <w:szCs w:val="17"/>
                <w:color w:val="auto"/>
              </w:rPr>
            </w:pPr>
          </w:p>
        </w:tc>
        <w:tc>
          <w:tcPr>
            <w:tcW w:w="118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2020</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423,557</w:t>
            </w:r>
          </w:p>
        </w:tc>
        <w:tc>
          <w:tcPr>
            <w:tcW w:w="10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15,704</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1,184,813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(578,252)</w:t>
            </w:r>
          </w:p>
        </w:tc>
        <w:tc>
          <w:tcPr>
            <w:tcW w:w="10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615"/>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86"/>
              <w:spacing w:after="0" w:line="13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80" w:type="dxa"/>
            <w:vAlign w:val="bottom"/>
            <w:vMerge w:val="restart"/>
          </w:tcPr>
          <w:p>
            <w:pPr>
              <w:jc w:val="center"/>
              <w:ind w:right="185"/>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346,208</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15,428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1,134,227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rPr>
              <w:t>(610,482)</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2,618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(512)</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05"/>
              <w:spacing w:after="0"/>
              <w:rPr>
                <w:sz w:val="20"/>
                <w:szCs w:val="20"/>
                <w:color w:val="auto"/>
              </w:rPr>
            </w:pPr>
            <w:r>
              <w:rPr>
                <w:rFonts w:ascii="Arial" w:cs="Arial" w:eastAsia="Arial" w:hAnsi="Arial"/>
                <w:sz w:val="15"/>
                <w:szCs w:val="15"/>
                <w:color w:val="auto"/>
              </w:rPr>
              <w:t>(512)</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14,053</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rPr>
              <w:t>14,053</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(3,976)</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(3,585)</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87</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(3,586)</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352,188</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15,515</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1,144,694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(610,994)</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2,636</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14,401</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4,575</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r>
      <w:tr>
        <w:trPr>
          <w:trHeight w:val="237"/>
        </w:trPr>
        <w:tc>
          <w:tcPr>
            <w:tcW w:w="82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18,976</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Loss on impairments and disposal of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530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13,757</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3,378</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11,917</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880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3,111</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 in carrying amount of ROU asset, offset by change in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(27,534)</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Current contingent consideration</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29,302</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23,269</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(4,189)</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Equity investment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(80,000)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ValuePenguin, net of cash acquired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(105,445)</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(84,189)</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(110,405)</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w w:val="90"/>
              </w:rPr>
              <w:t>Payments related to net-share settlement of stock-based compensation, net of proceeds from exercise of stock</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(5,087)</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proceeds from revolving credit facility</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55,000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46,601</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49,408</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(8,286)</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(37,728)</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(752)</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(2,827)</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restricted cash and restricted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(9,038)</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(40,555)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60,339</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105,158</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51,301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64,603</w:t>
            </w:r>
          </w:p>
        </w:tc>
      </w:tr>
      <w:tr>
        <w:trPr>
          <w:trHeight w:val="297"/>
        </w:trPr>
        <w:tc>
          <w:tcPr>
            <w:tcW w:w="8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Capital additions from tenant improvement allowance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currently the parent of LendingTree, LLC and several companies owned by LendingTree, LLC (collectively, "LendingTree" or the "Company").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accompanying unaudited interim consolidated financial statements as of March 31, 2020 and for the three months ended March 31, 2020 and 2019,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2020 are not necessarily indicative of the results to be expected for the year ending December 31, 2020, or any other period. The accompanying consolidated balance sheet as of December 31, 2019 was derived from audited financial statements included in the Company's annual report on Form 10-K for the year ended December 31, 2019 (the "2019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2019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combination; contingent consideration related to business combinations; litigation accruals; HLC ownership related claims; contract assets; various other allowances, reserves and accruals; and assumptions related to the determination of stock-based compensation.</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considered the impact of COVID-19 on the assumptions and estimates used when preparing its quarterly financial statements including, but not limited to, our allowance for doubtful accounts, valuation allowances, contract asset and contingent consideration. These assumptions and estimates may change as new events occur and additional information is obtained. If economic conditions caused by COVID-19 do not recover as currently estimated by management, such future changes may have an adverse impact on the Company's results of operations, financial position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2020,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adopted ASU 2018-15 in the first quarter of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expense related to these capitalized implementation costs are included within general and administrative expense on the consolidated statement of operations and comprehensive income. The adoption of ASU 2018-15 did not have a material impact on the consolidated financial statements as of March 31, 2020 and for the three months ended March 31, 2020.</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Accounting Standards Codification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15—Fair Value Measurements.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is evaluating the impact this ASU will have on its consolidated financial statements and whether to early adopt.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63,437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Credit cards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51,586</w:t>
            </w: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54,506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loans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31,509</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36,829</w:t>
            </w: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33,692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Consumer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119,924</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120,729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82,737</w:t>
            </w: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67,092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11,132</w:t>
            </w:r>
          </w:p>
        </w:tc>
      </w:tr>
      <w:tr>
        <w:trPr>
          <w:trHeight w:val="237"/>
        </w:trPr>
        <w:tc>
          <w:tcPr>
            <w:tcW w:w="82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283,084</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262,390</w:t>
            </w:r>
          </w:p>
        </w:tc>
      </w:tr>
      <w:tr>
        <w:trPr>
          <w:trHeight w:val="34"/>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$6.8 million and $6.5 million on March 31, 2020 and December 31, 2019, respectively.</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contract liability recorded within accrued expenses and other current liabilities on the consolidated balance sheets related to upfront fees paid by consumers in the Company's Consumer business was $0.7 million and $0.6 million at March 31, 2020 and December 31, 2019, respectively. During the first quarter of 2020, the Company recognized revenue of $0.5 million that was included in the contract liability balance at December 31, 2019. During the first quarter of 2019, the Company recognized revenue of $0.3 million that was included in the contract liability balance at December 31, 2018.</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$0.1 million and $0.9 million, respectively, in the first quarters of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57"/>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51,208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60,243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96</w:t>
            </w:r>
          </w:p>
        </w:tc>
      </w:tr>
      <w:tr>
        <w:trPr>
          <w:trHeight w:val="27"/>
        </w:trPr>
        <w:tc>
          <w:tcPr>
            <w:tcW w:w="8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51,301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60,339</w:t>
            </w:r>
          </w:p>
        </w:tc>
      </w:tr>
      <w:tr>
        <w:trPr>
          <w:trHeight w:val="27"/>
        </w:trPr>
        <w:tc>
          <w:tcPr>
            <w:tcW w:w="8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510</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Recoveries collected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8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1,370</w:t>
            </w:r>
          </w:p>
        </w:tc>
      </w:tr>
      <w:tr>
        <w:trPr>
          <w:trHeight w:val="702"/>
        </w:trPr>
        <w:tc>
          <w:tcPr>
            <w:tcW w:w="8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78"/>
        </w:trPr>
        <w:tc>
          <w:tcPr>
            <w:tcW w:w="810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24"/>
                <w:szCs w:val="24"/>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903,227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903,227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(483,088)</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420,139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420,139</w:t>
            </w:r>
          </w:p>
        </w:tc>
      </w:tr>
      <w:tr>
        <w:trPr>
          <w:trHeight w:val="324"/>
        </w:trPr>
        <w:tc>
          <w:tcPr>
            <w:tcW w:w="8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10,142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157,681</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171,438</w:t>
            </w:r>
          </w:p>
        </w:tc>
      </w:tr>
      <w:tr>
        <w:trPr>
          <w:trHeight w:val="27"/>
        </w:trPr>
        <w:tc>
          <w:tcPr>
            <w:tcW w:w="8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167,823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181,580</w:t>
            </w:r>
          </w:p>
        </w:tc>
      </w:tr>
      <w:tr>
        <w:trPr>
          <w:trHeight w:val="27"/>
        </w:trPr>
        <w:tc>
          <w:tcPr>
            <w:tcW w:w="8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March 31, 2020 and December 31, 2019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(56,032)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60,168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(13,979)</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63,321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(7,292)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(26,717)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24,283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3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(104,024)</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157,681</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2820" w:type="dxa"/>
            <w:vAlign w:val="bottom"/>
          </w:tcPr>
          <w:p>
            <w:pPr>
              <w:jc w:val="right"/>
              <w:ind w:right="8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(48,938)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(12,452)</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(22,467)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(90,267)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171,438</w:t>
            </w:r>
          </w:p>
        </w:tc>
        <w:tc>
          <w:tcPr>
            <w:tcW w:w="0" w:type="dxa"/>
            <w:vAlign w:val="bottom"/>
          </w:tcPr>
          <w:p>
            <w:pPr>
              <w:spacing w:after="0"/>
              <w:rPr>
                <w:sz w:val="1"/>
                <w:szCs w:val="1"/>
                <w:color w:val="auto"/>
              </w:rPr>
            </w:pPr>
          </w:p>
        </w:tc>
      </w:tr>
      <w:tr>
        <w:trPr>
          <w:trHeight w:val="34"/>
        </w:trPr>
        <w:tc>
          <w:tcPr>
            <w:tcW w:w="6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2020,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 Expense</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39,322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42,738</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8,602</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35,016</w:t>
            </w:r>
          </w:p>
        </w:tc>
      </w:tr>
      <w:tr>
        <w:trPr>
          <w:trHeight w:val="27"/>
        </w:trPr>
        <w:tc>
          <w:tcPr>
            <w:tcW w:w="9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157,681</w:t>
            </w:r>
          </w:p>
        </w:tc>
      </w:tr>
      <w:tr>
        <w:trPr>
          <w:trHeight w:val="27"/>
        </w:trPr>
        <w:tc>
          <w:tcPr>
            <w:tcW w:w="9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in operating income in the consolidated statement of operations. As of March 31, 2020, there have been no observable market events that would result in upward or downward adjustments in the fair value and there have been no impairments to the original cost of $80.0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(“Ovation”).</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and all of the assets of Deposits Online, LLC, which does business under the name DepositAccounts.com (“DepositAccounts”).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make an earnout payment ranging from zero to $1.0 million based on the achievement of defined milestone targets for DepositAccounts, a payment of $3.0 million based on the achievement of certain defined earnings targets for SnapCap, payments ranging from zero to $4.4 million based on the achievement of certain defined operating metrics for Ovation, and payments ranging from zero to $46.8 million based on the achievement of certain defined performance targets for QuoteWizard.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QuoteWizard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(8,262)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Ovation</w:t>
            </w:r>
          </w:p>
        </w:tc>
        <w:tc>
          <w:tcPr>
            <w:tcW w:w="32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SnapCap</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DepositAccounts</w:t>
            </w:r>
          </w:p>
        </w:tc>
        <w:tc>
          <w:tcPr>
            <w:tcW w:w="32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(8,122)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14,592</w:t>
            </w:r>
          </w:p>
        </w:tc>
      </w:tr>
      <w:tr>
        <w:trPr>
          <w:trHeight w:val="27"/>
        </w:trPr>
        <w:tc>
          <w:tcPr>
            <w:tcW w:w="8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2020, the estimated fair value of the contingent consideration for the QuoteWizard acquisition totaled $16.2 million, of which $8.0 million is included in current contingent consideration and $8.2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the estimated fair value of the contingent consideration for the Ovation acquisition totaled $3.2 million, which is included in 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the estimated fair value of the contingent consideration for the SnapCap acquisition totaled $2.9 million, which is included in current contingent consideration in the accompanying consolidated balance sheet. The estimated fair value of the contingent consideration payments is based on the $3.0 million achieved target discounted from the payment due date to March 31, 2020.</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2020, no liability has been recorded for the DepositAccounts acquisition in the accompanying consolidated balance sheet for the remaining contingent consideration payment based on Federal Funds interest rates. The estimated fair value of the portion of the contingent consideration payments based on increases in interest rates is determined using a scenario approach based on the interest rate forecasts of Federal Open Market Committee participants. The estimated value of the contingent consideration is based upon available information and certain assumptions, known at the time of this report, which management believes are reasonable.</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4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3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65,836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9,265</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10,540</w:t>
            </w:r>
          </w:p>
        </w:tc>
      </w:tr>
      <w:tr>
        <w:trPr>
          <w:trHeight w:val="27"/>
        </w:trPr>
        <w:tc>
          <w:tcPr>
            <w:tcW w:w="4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9,616</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6,920</w:t>
            </w:r>
          </w:p>
        </w:tc>
      </w:tr>
      <w:tr>
        <w:trPr>
          <w:trHeight w:val="27"/>
        </w:trPr>
        <w:tc>
          <w:tcPr>
            <w:tcW w:w="4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6,470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6,885</w:t>
            </w:r>
          </w:p>
        </w:tc>
      </w:tr>
      <w:tr>
        <w:trPr>
          <w:trHeight w:val="27"/>
        </w:trPr>
        <w:tc>
          <w:tcPr>
            <w:tcW w:w="4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15,483</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17,681</w:t>
            </w:r>
          </w:p>
        </w:tc>
      </w:tr>
      <w:tr>
        <w:trPr>
          <w:trHeight w:val="236"/>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105,647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112,755</w:t>
            </w:r>
          </w:p>
        </w:tc>
      </w:tr>
      <w:tr>
        <w:trPr>
          <w:trHeight w:val="34"/>
        </w:trPr>
        <w:tc>
          <w:tcPr>
            <w:tcW w:w="47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48"/>
        </w:trPr>
        <w:tc>
          <w:tcPr>
            <w:tcW w:w="4740" w:type="dxa"/>
            <w:vAlign w:val="bottom"/>
          </w:tcPr>
          <w:p>
            <w:pPr>
              <w:spacing w:after="0"/>
              <w:rPr>
                <w:sz w:val="24"/>
                <w:szCs w:val="24"/>
                <w:color w:val="auto"/>
              </w:rPr>
            </w:pPr>
          </w:p>
        </w:tc>
        <w:tc>
          <w:tcPr>
            <w:tcW w:w="3480" w:type="dxa"/>
            <w:vAlign w:val="bottom"/>
          </w:tcPr>
          <w:p>
            <w:pPr>
              <w:jc w:val="right"/>
              <w:ind w:right="24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12,957</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12,718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628</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686</w:t>
            </w:r>
          </w:p>
        </w:tc>
      </w:tr>
      <w:tr>
        <w:trPr>
          <w:trHeight w:val="27"/>
        </w:trPr>
        <w:tc>
          <w:tcPr>
            <w:tcW w:w="8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104</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469</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621</w:t>
            </w:r>
          </w:p>
        </w:tc>
      </w:tr>
      <w:tr>
        <w:trPr>
          <w:trHeight w:val="27"/>
        </w:trPr>
        <w:tc>
          <w:tcPr>
            <w:tcW w:w="8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14,158</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14,186</w:t>
            </w:r>
          </w:p>
        </w:tc>
      </w:tr>
      <w:tr>
        <w:trPr>
          <w:trHeight w:val="27"/>
        </w:trPr>
        <w:tc>
          <w:tcPr>
            <w:tcW w:w="89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first quarter of 2020, the weighted average shares that were anti-dilutive, and therefore excluded from the calculation of diluted income per share, included options to purchase 0.1 million shares of common stock. For the first quarter of 2019, the weighted average shares that were anti-dilutive included options to purchase 0.4 million shares of common stock.</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2017 could be converted into the Company’s common stock,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first quarter of 2019, the Company purchased 17,501 shares of its common stock for aggregate consideration of $4.0 million. At March 31, 2020, approximately $179.7 million of the previous authorizations to repurchase common stock remain available.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1,156</w:t>
            </w:r>
          </w:p>
        </w:tc>
        <w:tc>
          <w:tcPr>
            <w:tcW w:w="4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1,749</w:t>
            </w:r>
          </w:p>
        </w:tc>
      </w:tr>
      <w:tr>
        <w:trPr>
          <w:trHeight w:val="27"/>
        </w:trPr>
        <w:tc>
          <w:tcPr>
            <w:tcW w:w="40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4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9,123</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1,396</w:t>
            </w:r>
          </w:p>
        </w:tc>
        <w:tc>
          <w:tcPr>
            <w:tcW w:w="4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1,930</w:t>
            </w:r>
          </w:p>
        </w:tc>
      </w:tr>
      <w:tr>
        <w:trPr>
          <w:trHeight w:val="27"/>
        </w:trPr>
        <w:tc>
          <w:tcPr>
            <w:tcW w:w="40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4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11,917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14,053</w:t>
            </w:r>
          </w:p>
        </w:tc>
      </w:tr>
      <w:tr>
        <w:trPr>
          <w:trHeight w:val="648"/>
        </w:trPr>
        <w:tc>
          <w:tcPr>
            <w:tcW w:w="4080" w:type="dxa"/>
            <w:vAlign w:val="bottom"/>
            <w:tcBorders>
              <w:top w:val="single" w:sz="8" w:color="auto"/>
            </w:tcBorders>
          </w:tcPr>
          <w:p>
            <w:pPr>
              <w:spacing w:after="0"/>
              <w:rPr>
                <w:sz w:val="24"/>
                <w:szCs w:val="24"/>
                <w:color w:val="auto"/>
              </w:rPr>
            </w:pPr>
          </w:p>
        </w:tc>
        <w:tc>
          <w:tcPr>
            <w:tcW w:w="4140" w:type="dxa"/>
            <w:vAlign w:val="bottom"/>
            <w:tcBorders>
              <w:top w:val="single" w:sz="8" w:color="auto"/>
            </w:tcBorders>
          </w:tcPr>
          <w:p>
            <w:pPr>
              <w:jc w:val="right"/>
              <w:ind w:right="2410"/>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777,871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69.87</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69,319</w:t>
            </w:r>
          </w:p>
        </w:tc>
        <w:tc>
          <w:tcPr>
            <w:tcW w:w="32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275.82</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67.05</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332.65</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352.10</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2020</w:t>
            </w: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842,561</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86.11</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4.54</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99,017</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677,829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43.56</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3.49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98,896</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$183.39 on the last trading day of the quarter ended March 31, 2020 and the exercise price, multiplied by the number of shares covered by in-the-money options) that would have been received by the option holder had the option holder exercised these options on March 31, 2020.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three months ended March 31, 2020, the Company granted stock options to certain employees with a weighted average grant date fair value per share of $138.29, calculated using the Black-Scholes option pricing model, which vesting periods include (a) three years from grant date and (b) four years from grant date.</w:t>
      </w:r>
    </w:p>
    <w:p>
      <w:pPr>
        <w:spacing w:after="0" w:line="129"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6.00 - 6.25 years</w:t>
            </w:r>
          </w:p>
        </w:tc>
      </w:tr>
      <w:tr>
        <w:trPr>
          <w:trHeight w:val="270"/>
        </w:trPr>
        <w:tc>
          <w:tcPr>
            <w:tcW w:w="5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52 - 53%</w:t>
            </w:r>
          </w:p>
        </w:tc>
      </w:tr>
      <w:tr>
        <w:trPr>
          <w:trHeight w:val="270"/>
        </w:trPr>
        <w:tc>
          <w:tcPr>
            <w:tcW w:w="546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98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0.96%</w:t>
            </w:r>
          </w:p>
        </w:tc>
      </w:tr>
    </w:tbl>
    <w:p>
      <w:pPr>
        <w:spacing w:after="0" w:line="148" w:lineRule="exact"/>
        <w:rPr>
          <w:sz w:val="20"/>
          <w:szCs w:val="20"/>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 Market</w:t>
            </w:r>
          </w:p>
        </w:tc>
        <w:tc>
          <w:tcPr>
            <w:tcW w:w="36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463,440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204.31</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19,126</w:t>
            </w:r>
          </w:p>
        </w:tc>
        <w:tc>
          <w:tcPr>
            <w:tcW w:w="36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275.82</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2020</w:t>
            </w: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482,566</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207.14</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7.52</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$183.39 on the last trading day of the quarter ended March 31, 2020 and the exercise price, multiplied by the number of shares covered by in-the-money options) that would have been received by the option holder had the option holder exercised these options on March 31, 2020.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March 31, 2020, the Company granted stock options with a grant date fair value per share of $196.07, calculated using the Monte Carlo simulation model, which has a vesting date of March 31, 2024.</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determining stock-based compensation expense, the grant date fair value per share of the stock options was estimated using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Monte Carlo simulation model, which requires the use of various key assumptions. The assumptions used are as follows:</w:t>
      </w:r>
    </w:p>
    <w:p>
      <w:pPr>
        <w:spacing w:after="0" w:line="127"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years</w:t>
            </w:r>
          </w:p>
        </w:tc>
      </w:tr>
      <w:tr>
        <w:trPr>
          <w:trHeight w:val="270"/>
        </w:trPr>
        <w:tc>
          <w:tcPr>
            <w:tcW w:w="5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70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74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1.03%</w:t>
            </w:r>
          </w:p>
        </w:tc>
      </w:tr>
    </w:tbl>
    <w:p>
      <w:pPr>
        <w:spacing w:after="0" w:line="14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maximum of 805,885 shares may be earned for achieving superior performance up to 167% of the target number of shares. As of March 31, 2020, performance-based nonqualified stock options with a market condition of 481,669 had been earned, which have a vest date of September 30,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79"/>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144,939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267.85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97,375</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276.84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(40,676)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(4,181)</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265.80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197,457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277.42</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14,647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14,647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79"/>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47,608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(5,951)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41,657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ind w:left="5540"/>
              <w:spacing w:after="0"/>
              <w:rPr>
                <w:sz w:val="20"/>
                <w:szCs w:val="20"/>
                <w:color w:val="auto"/>
              </w:rPr>
            </w:pPr>
            <w:r>
              <w:rPr>
                <w:rFonts w:ascii="Arial" w:cs="Arial" w:eastAsia="Arial" w:hAnsi="Arial"/>
                <w:sz w:val="18"/>
                <w:szCs w:val="18"/>
                <w:color w:val="auto"/>
              </w:rPr>
              <w:t>17</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3"/>
                <w:szCs w:val="13"/>
                <w:color w:val="auto"/>
              </w:rPr>
            </w:pPr>
          </w:p>
        </w:tc>
        <w:tc>
          <w:tcPr>
            <w:tcW w:w="16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5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March 31, 2020, performance-based restricted stock awards with a market condition of 29,601 had been earned, which have a vest date of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6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205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190"/>
        </w:trPr>
        <w:tc>
          <w:tcPr>
            <w:tcW w:w="8000" w:type="dxa"/>
            <w:vAlign w:val="bottom"/>
          </w:tcPr>
          <w:p>
            <w:pPr>
              <w:spacing w:after="0"/>
              <w:rPr>
                <w:sz w:val="16"/>
                <w:szCs w:val="16"/>
                <w:color w:val="auto"/>
              </w:rPr>
            </w:pPr>
          </w:p>
        </w:tc>
        <w:tc>
          <w:tcPr>
            <w:tcW w:w="3240" w:type="dxa"/>
            <w:vAlign w:val="bottom"/>
            <w:gridSpan w:val="4"/>
          </w:tcPr>
          <w:p>
            <w:pPr>
              <w:jc w:val="right"/>
              <w:ind w:right="496"/>
              <w:spacing w:after="0"/>
              <w:rPr>
                <w:sz w:val="20"/>
                <w:szCs w:val="20"/>
                <w:color w:val="auto"/>
              </w:rPr>
            </w:pPr>
            <w:r>
              <w:rPr>
                <w:rFonts w:ascii="Arial" w:cs="Arial" w:eastAsia="Arial" w:hAnsi="Arial"/>
                <w:sz w:val="14"/>
                <w:szCs w:val="14"/>
                <w:b w:val="1"/>
                <w:bCs w:val="1"/>
                <w:i w:val="1"/>
                <w:iCs w:val="1"/>
                <w:color w:val="auto"/>
              </w:rPr>
              <w:t>(in thousands, except percentages)</w:t>
            </w:r>
          </w:p>
        </w:tc>
      </w:tr>
      <w:tr>
        <w:trPr>
          <w:trHeight w:val="66"/>
        </w:trPr>
        <w:tc>
          <w:tcPr>
            <w:tcW w:w="8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8"/>
              </w:rPr>
              <w:t>3,061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7,752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w w:val="95"/>
              </w:rPr>
              <w:t>(19.2)%</w:t>
            </w:r>
          </w:p>
        </w:tc>
        <w:tc>
          <w:tcPr>
            <w:tcW w:w="44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i w:val="1"/>
                <w:iCs w:val="1"/>
                <w:color w:val="auto"/>
                <w:w w:val="94"/>
              </w:rPr>
              <w:t>107.6%</w:t>
            </w:r>
          </w:p>
        </w:tc>
      </w:tr>
      <w:tr>
        <w:trPr>
          <w:trHeight w:val="27"/>
        </w:trPr>
        <w:tc>
          <w:tcPr>
            <w:tcW w:w="800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700" w:type="dxa"/>
            <w:vAlign w:val="bottom"/>
            <w:tcBorders>
              <w:bottom w:val="single" w:sz="8" w:color="999999"/>
            </w:tcBorders>
          </w:tcPr>
          <w:p>
            <w:pPr>
              <w:spacing w:after="0"/>
              <w:rPr>
                <w:sz w:val="2"/>
                <w:szCs w:val="2"/>
                <w:color w:val="auto"/>
              </w:rPr>
            </w:pPr>
          </w:p>
        </w:tc>
        <w:tc>
          <w:tcPr>
            <w:tcW w:w="440" w:type="dxa"/>
            <w:vAlign w:val="bottom"/>
            <w:tcBorders>
              <w:bottom w:val="single" w:sz="8" w:color="999999"/>
            </w:tcBorders>
          </w:tcPr>
          <w:p>
            <w:pPr>
              <w:spacing w:after="0"/>
              <w:rPr>
                <w:sz w:val="2"/>
                <w:szCs w:val="2"/>
                <w:color w:val="auto"/>
              </w:rPr>
            </w:pPr>
          </w:p>
        </w:tc>
        <w:tc>
          <w:tcPr>
            <w:tcW w:w="1160" w:type="dxa"/>
            <w:vAlign w:val="bottom"/>
            <w:tcBorders>
              <w:bottom w:val="single" w:sz="8" w:color="999999"/>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first quarter of 2020, the effective tax rate varied from the federal statutory rate of 21% in part due to a tax benefit of $1.1 million recognized for excess tax benefits resulting from employee exercises of stock options and vesting of restricted stock in accordance with ASU 2016-09 and the effect of state taxes, as well as a tax benefit of $6.1 million for the impact of the Coronavirus Aid, Relief, and Economic Security ("CARES") Act, as described below.</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quarter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first quarter of 2019, the effective tax rate varied from the federal statutory rate of 21% primarily due to a tax benefit of $6.0 million recognized for excess tax benefits resulting from employee exercises of stock options and vesting of restricted stock in accordance with ASU 2016-09 and the effect of state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0"/>
        </w:trPr>
        <w:tc>
          <w:tcPr>
            <w:tcW w:w="8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6"/>
                <w:szCs w:val="16"/>
                <w:color w:val="auto"/>
              </w:rPr>
            </w:pPr>
          </w:p>
        </w:tc>
      </w:tr>
      <w:tr>
        <w:trPr>
          <w:trHeight w:val="66"/>
        </w:trPr>
        <w:tc>
          <w:tcPr>
            <w:tcW w:w="8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 excluding excess tax benefit on stock compensation and CARES Act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(4,097)</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880" w:type="dxa"/>
            <w:vAlign w:val="bottom"/>
          </w:tcPr>
          <w:p>
            <w:pPr>
              <w:spacing w:after="0"/>
              <w:rPr>
                <w:sz w:val="21"/>
                <w:szCs w:val="21"/>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w w:val="97"/>
              </w:rPr>
              <w:t>1,054</w:t>
            </w:r>
          </w:p>
        </w:tc>
        <w:tc>
          <w:tcPr>
            <w:tcW w:w="5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6,003</w:t>
            </w: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CARES Act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7"/>
              </w:rPr>
              <w:t>6,104</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7"/>
              </w:rPr>
              <w:t>3,061</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7,752</w:t>
            </w:r>
          </w:p>
        </w:tc>
      </w:tr>
      <w:tr>
        <w:trPr>
          <w:trHeight w:val="34"/>
        </w:trPr>
        <w:tc>
          <w:tcPr>
            <w:tcW w:w="8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the Notes were entitled to convert the Notes during the calendar quarter ended March 31, 2020, based on the last reported sales price of the Company's common stock, for at least 20 trading days (whether or not consecutive) during the period of 30 consecutive trading days ending on December 31, 2019, being greater than or equal to 130% of the conversion price of the Notes on each applicable trading day. Holders of the Notes are not entitled to convert the Notes during the calendar quarter ended June 30, 2020 as the last reported sales price of the Company's common stock, for at least 20 trading days (whether or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consecutive) during the period of 30 consecutive trading days ending on March 31, 2020, was not greater than or equal to 130% of the conversion price of the Notes on each applicable trading day.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three months of 2020, the Company recorded interest expense on the Notes of $4.0 million which consisted of $0.5 million associated with the 0.625% coupon rate, $3.1 million associated with the accretion of the debt discount, and $0.4 million associated with the amortization of the debt issuance costs. In the first three months of 2019, the Company recorded interest expense on the Notes of $3.8 million which consisted of $0.5 million associated with the 0.625% coupon rate, $3.0 million associated with the accretion of the debt discount, and $0.3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the fair value of the Notes is estimated to be approximately $337.1 million using the Level 1 observable input of the last quoted market price on March 31, 2020.</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299,985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299,991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28,677</w:t>
            </w:r>
          </w:p>
        </w:tc>
        <w:tc>
          <w:tcPr>
            <w:tcW w:w="3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31,789</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3,438</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3,811</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267,870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264,391</w:t>
            </w:r>
          </w:p>
        </w:tc>
      </w:tr>
      <w:tr>
        <w:trPr>
          <w:trHeight w:val="34"/>
        </w:trPr>
        <w:tc>
          <w:tcPr>
            <w:tcW w:w="8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March 31, 2020, the Company had a $130.0 million, 28-day borrowing outstanding under the Amended Revolving Credit Facility bearing interest at the LIBO rate option of 2.21%. As of December 31, 2019, the Company had $75.0 million in borrowings outstanding under the Amended Revolving Credit Facility at the LIBO rate option with a weighted average interest rate of 3.01%, consisting of a $50.0 million 31-day borrowing and a $25.0 million 31-day borrowing.</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March 31, 2020 and December 31, 2019, the Company had outstanding one letter of credit issued in the amount of $0.2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94" w:lineRule="exact"/>
        <w:rPr>
          <w:sz w:val="20"/>
          <w:szCs w:val="20"/>
          <w:color w:val="auto"/>
        </w:rPr>
      </w:pPr>
    </w:p>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March 31,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and are included in prepaid and other current assets and other non-current assets in the Company's consolidated balance sheet.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three months of 2020, the Company recorded interest expense related to the Amended Revolving Credit Facility of $1.1 million which consisted of $0.6 million associated with borrowings bearing interest at the LIBO rate, $0.3 million in unused commitment fees, and $0.2 million associated with the amortization of the debt issuance costs. In the first three months of 2019, the Company recorded interest expense related to the revolving credit facility of $2.1 million which consisted of $1.9 million associated with borrowing bearing interest at the LIBO rate, $0.1 million in unused commitment fees, and $0.1 million associated with the amortization of the debt issuance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March 31, 2020, the Company had litigation settlement accruals of $0.6 million and $36.0 million in continuing operations and discontinued operations, respectively. As of December 31, 2019, the Company had litigation settlement accruals of $0.2 million and $31.0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0.625% Convertible Senior Notes and the Warrants, as well as the equity interest in Stash, the carrying amounts of the Company's financial instruments are equal to fair value at March 31,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0.625% Convertible Senior Notes and the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Contingent consideration payments related to acquisitions are measured at fair value each reporting period using Level 3 unobservable inputs. The changes in the fair value of the Company's Level 3 liabilities during the first quarters of 2020 and 2019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33,464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38,837</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2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21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6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22,342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49,429</w:t>
            </w:r>
          </w:p>
        </w:tc>
      </w:tr>
      <w:tr>
        <w:trPr>
          <w:trHeight w:val="27"/>
        </w:trPr>
        <w:tc>
          <w:tcPr>
            <w:tcW w:w="698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contingent consideration liability at March 31, 2020 is the estimated fair value of the earnout payments of the DepositAccounts, SnapCap, Ovation and QuoteWizard acquisitions.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will make earnout payments ranging from zero to $1.0 million based on the achievement of defined milestone targets for DepositAccounts, a payment of $3.0 million based on the achievement of certain defined earnings targets for SnapCap, payments ranging from zero to $4.4 million based on the achievement of certain defined operating metrics for Ovation, and payments ranging from zero to $46.8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8—Business Acquisitions for additional information on the contingent consideration for each of these respective acquisitions.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 at</w:t>
            </w:r>
          </w:p>
        </w:tc>
        <w:tc>
          <w:tcPr>
            <w:tcW w:w="2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43"/>
        </w:trPr>
        <w:tc>
          <w:tcPr>
            <w:tcW w:w="1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March 31, 2020</w:t>
            </w:r>
          </w:p>
        </w:tc>
        <w:tc>
          <w:tcPr>
            <w:tcW w:w="24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Valuation Technique(s)</w:t>
            </w:r>
          </w:p>
        </w:tc>
        <w:tc>
          <w:tcPr>
            <w:tcW w:w="31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Unobservable Input</w:t>
            </w:r>
          </w:p>
        </w:tc>
        <w:tc>
          <w:tcPr>
            <w:tcW w:w="26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r>
      <w:tr>
        <w:trPr>
          <w:trHeight w:val="184"/>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4"/>
                <w:szCs w:val="14"/>
                <w:b w:val="1"/>
                <w:bCs w:val="1"/>
                <w:i w:val="1"/>
                <w:iCs w:val="1"/>
                <w:color w:val="auto"/>
                <w:w w:val="89"/>
              </w:rPr>
              <w:t>(in thousands)</w:t>
            </w:r>
          </w:p>
        </w:tc>
        <w:tc>
          <w:tcPr>
            <w:tcW w:w="2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80"/>
        </w:trPr>
        <w:tc>
          <w:tcPr>
            <w:tcW w:w="1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2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22,342</w:t>
            </w: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pricing model</w:t>
            </w:r>
          </w:p>
        </w:tc>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results growth rate</w:t>
            </w:r>
          </w:p>
        </w:tc>
        <w:tc>
          <w:tcPr>
            <w:tcW w:w="2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 - 37.1% (22.9%)</w:t>
            </w:r>
          </w:p>
        </w:tc>
      </w:tr>
      <w:tr>
        <w:trPr>
          <w:trHeight w:val="237"/>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180" w:type="dxa"/>
            <w:vAlign w:val="bottom"/>
          </w:tcPr>
          <w:p>
            <w:pPr>
              <w:ind w:left="280"/>
              <w:spacing w:after="0"/>
              <w:rPr>
                <w:sz w:val="20"/>
                <w:szCs w:val="20"/>
                <w:color w:val="auto"/>
              </w:rPr>
            </w:pPr>
            <w:r>
              <w:rPr>
                <w:rFonts w:ascii="Arial" w:cs="Arial" w:eastAsia="Arial" w:hAnsi="Arial"/>
                <w:sz w:val="18"/>
                <w:szCs w:val="18"/>
                <w:color w:val="auto"/>
              </w:rPr>
              <w:t>Customer growth rate</w:t>
            </w:r>
          </w:p>
        </w:tc>
        <w:tc>
          <w:tcPr>
            <w:tcW w:w="26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 rate</w:t>
            </w:r>
          </w:p>
        </w:tc>
        <w:tc>
          <w:tcPr>
            <w:tcW w:w="2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 - 10.5% (10.4%)</w:t>
            </w:r>
          </w:p>
        </w:tc>
      </w:tr>
      <w:tr>
        <w:trPr>
          <w:trHeight w:val="222"/>
        </w:trPr>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4"/>
              </w:rPr>
              <w:t>Scenario approach based on interest Date and likelihood of an increase in</w:t>
            </w:r>
          </w:p>
        </w:tc>
        <w:tc>
          <w:tcPr>
            <w:tcW w:w="2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57"/>
        </w:trPr>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20" w:type="dxa"/>
            <w:vAlign w:val="bottom"/>
          </w:tcPr>
          <w:p>
            <w:pPr>
              <w:ind w:left="20"/>
              <w:spacing w:after="0" w:line="257" w:lineRule="exact"/>
              <w:rPr>
                <w:sz w:val="20"/>
                <w:szCs w:val="20"/>
                <w:color w:val="auto"/>
              </w:rPr>
            </w:pPr>
            <w:r>
              <w:rPr>
                <w:rFonts w:ascii="Arial" w:cs="Arial" w:eastAsia="Arial" w:hAnsi="Arial"/>
                <w:sz w:val="18"/>
                <w:szCs w:val="18"/>
                <w:color w:val="auto"/>
              </w:rPr>
              <w:t>rate forecasts</w:t>
            </w:r>
            <w:r>
              <w:rPr>
                <w:rFonts w:ascii="Arial" w:cs="Arial" w:eastAsia="Arial" w:hAnsi="Arial"/>
                <w:sz w:val="25"/>
                <w:szCs w:val="25"/>
                <w:color w:val="auto"/>
                <w:vertAlign w:val="superscript"/>
              </w:rPr>
              <w:t>(b)</w:t>
            </w:r>
          </w:p>
        </w:tc>
        <w:tc>
          <w:tcPr>
            <w:tcW w:w="3180" w:type="dxa"/>
            <w:vAlign w:val="bottom"/>
          </w:tcPr>
          <w:p>
            <w:pPr>
              <w:ind w:left="280"/>
              <w:spacing w:after="0"/>
              <w:rPr>
                <w:sz w:val="20"/>
                <w:szCs w:val="20"/>
                <w:color w:val="auto"/>
              </w:rPr>
            </w:pPr>
            <w:r>
              <w:rPr>
                <w:rFonts w:ascii="Arial" w:cs="Arial" w:eastAsia="Arial" w:hAnsi="Arial"/>
                <w:sz w:val="18"/>
                <w:szCs w:val="18"/>
                <w:color w:val="auto"/>
              </w:rPr>
              <w:t>interest rates</w:t>
            </w:r>
          </w:p>
        </w:tc>
        <w:tc>
          <w:tcPr>
            <w:tcW w:w="2620" w:type="dxa"/>
            <w:vAlign w:val="bottom"/>
          </w:tcPr>
          <w:p>
            <w:pPr>
              <w:spacing w:after="0"/>
              <w:rPr>
                <w:sz w:val="22"/>
                <w:szCs w:val="22"/>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 rate</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660" w:right="20" w:hanging="328"/>
        <w:spacing w:after="0" w:line="277" w:lineRule="auto"/>
        <w:tabs>
          <w:tab w:leader="none" w:pos="592"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 rates were weighted by the relative undiscounted value of expected earnout payments. Other unobservable inputs were weighted by the relative maximum potential earnout payments.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discussion over DepositAccounts within Note 8—Business Acquisitions—Changes in Contingent Consideration.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 The Company changed its reportable segments in the fourth quarter of 2019 and previously reported segment results have been revised to conform to the Company's reportable segments at March 31, 2020.</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and revenue from home improvement referrals, and the related variable marketing and advertising expenses, are included within the Other category.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4"/>
                <w:szCs w:val="14"/>
                <w:b w:val="1"/>
                <w:bCs w:val="1"/>
                <w:color w:val="auto"/>
              </w:rPr>
              <w:t>Three Months Ended March 31, 2020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i w:val="1"/>
                <w:iCs w:val="1"/>
                <w:color w:val="auto"/>
                <w:w w:val="90"/>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79,174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119,924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82,737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1,249</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283,084</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43,263</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76,825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52,204</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1,577</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173,869</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35,911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43,099</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109,215</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13,166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22,755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32,082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10,963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3,378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13,757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329</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20,749</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(4,834)</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15,915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i w:val="1"/>
                <w:iCs w:val="1"/>
                <w:color w:val="auto"/>
                <w:w w:val="90"/>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63,437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120,729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67,092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11,132</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262,390</w:t>
            </w:r>
          </w:p>
        </w:tc>
      </w:tr>
      <w:tr>
        <w:trPr>
          <w:trHeight w:val="224"/>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39,516</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66,755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39,228</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10,373</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155,872</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23,921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53,974</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27,864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759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106,518</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10,334</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26,355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31,117</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10,166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2,482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13,427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14,592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(1,802)</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(5,468)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Of the purchase price received, a portion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remains with HLC.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HLC’s filing under the Bankruptcy Code creates an automatic stay of enforcement of the judgment entered against HLC by the Minnesota court in </w:t>
      </w:r>
      <w:r>
        <w:rPr>
          <w:rFonts w:ascii="Arial" w:cs="Arial" w:eastAsia="Arial" w:hAnsi="Arial"/>
          <w:sz w:val="18"/>
          <w:szCs w:val="18"/>
          <w:i w:val="1"/>
          <w:iCs w:val="1"/>
          <w:color w:val="auto"/>
        </w:rPr>
        <w:t xml:space="preserve">ResCap Liquidating Trust v. Home Loan Center, Inc. </w:t>
      </w:r>
      <w:r>
        <w:rPr>
          <w:rFonts w:ascii="Arial" w:cs="Arial" w:eastAsia="Arial" w:hAnsi="Arial"/>
          <w:sz w:val="18"/>
          <w:szCs w:val="18"/>
          <w:color w:val="auto"/>
        </w:rPr>
        <w:t>described above and in Litigation Related to Discontinued Operations below.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 LendingTree, LLC was, as of the initial July 21, 2019</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the third quarter of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The Company is obligated to advance any expenses to the officers and directors related to these claims and to indemnify them to the maximum extent permitted by law.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reached a verbal settlement agreement in the amount of $36.0 million for the release of any and all claims against the Company defendants by HLC, including the dividend claim. LendingTree estimates the range of potential losses related to the dividend matter to be $0.0 million to $40.0 million plus a potential award of prejudgment interest. An estimated liability of $36.0 million is included in the accompanying consolidated balance sheet as of March 31, 2020 related to LendingTree LLC's ownership in HLC. HLC’s voluntary petition under the Bankruptcy Code does not represent an event of default under LendingTree, LLC’s Second Amended and Restated Credit Agreement dated as of December 10, 2019 or the Company’s indenture dated May 31, 2017 with respect to the Company’s 0.625% Convertible Senior Notes due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6"/>
          <w:szCs w:val="16"/>
          <w:i w:val="1"/>
          <w:iCs w:val="1"/>
          <w:color w:val="auto"/>
        </w:rPr>
        <w:t>ResCap Liquidating</w:t>
      </w:r>
      <w:r>
        <w:rPr>
          <w:rFonts w:ascii="Arial" w:cs="Arial" w:eastAsia="Arial" w:hAnsi="Arial"/>
          <w:sz w:val="16"/>
          <w:szCs w:val="16"/>
          <w:color w:val="auto"/>
        </w:rPr>
        <w:t xml:space="preserve"> </w:t>
      </w:r>
      <w:r>
        <w:rPr>
          <w:rFonts w:ascii="Arial" w:cs="Arial" w:eastAsia="Arial" w:hAnsi="Arial"/>
          <w:sz w:val="16"/>
          <w:szCs w:val="16"/>
          <w:i w:val="1"/>
          <w:iCs w:val="1"/>
          <w:color w:val="auto"/>
        </w:rPr>
        <w:t>Trust v. LendingTree, LCC, et al., Case No. 19-cv-2360 (U.S. Dist. Ct., Minn.)</w:t>
      </w:r>
      <w:r>
        <w:rPr>
          <w:rFonts w:ascii="Arial" w:cs="Arial" w:eastAsia="Arial" w:hAnsi="Arial"/>
          <w:sz w:val="16"/>
          <w:szCs w:val="16"/>
          <w:color w:val="auto"/>
        </w:rPr>
        <w:t>, seeking to hold the Company liable for the judgment against HLC, under</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of liability, agency and alter ego theories. The Company believes that these claims lack merit and intends to defend this action vigorously. On October 17, 2019, the Company filed a motion to dismiss the liability and agency claims, and oral arguments with respect to such motion were held on January 10, 2020. On March 20, 2020, the court denied the Company's motion to dismiss, or in the alternative, to compel arbitration, and on April 3, 2020, the Company appealed the court's findings with respect to the Company's request to compel arbitration of the first count of the lawsuit.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 HLC’s filing under the Bankruptcy Code discussed above in Home Loan Center, Inc. Bankruptcy Filing creates an automatic stay of this proceeding.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18"/>
        </w:trPr>
        <w:tc>
          <w:tcPr>
            <w:tcW w:w="8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(6,102)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1,527</w:t>
            </w:r>
          </w:p>
        </w:tc>
        <w:tc>
          <w:tcPr>
            <w:tcW w:w="4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282</w:t>
            </w:r>
          </w:p>
        </w:tc>
      </w:tr>
      <w:tr>
        <w:trPr>
          <w:trHeight w:val="27"/>
        </w:trPr>
        <w:tc>
          <w:tcPr>
            <w:tcW w:w="8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(4,575)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r>
      <w:tr>
        <w:trPr>
          <w:trHeight w:val="27"/>
        </w:trPr>
        <w:tc>
          <w:tcPr>
            <w:tcW w:w="8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2019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social distancing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 Of our three reportable segments, the Consumer segment has been and is expected to be most impacted as unsecured credit and the flow of capital in certain areas of the market have contracted. Within our Consumer segment, each of credit card, personal loan, and small business is anticipated to see reductions of as much as 60-80% in near-term lender demand for our services reflecting those lenders' uncertainty over the length and depth of the economic recession. The impact to our Home and Insurance segments is anticipated to be much less substantial. Most of our selling and marketing expenses are variable costs that we adjust dynamically in relation to revenue opportunities to profitably meet demand. Thus, as our revenue is negatively impacted during the recession, we anticipate our marketing expenses will generally decrease in line with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have three reportable segments: Home, Consumer and Insurance. We changed our reportable segments in the fourth quarter of 2019, and prior period results have been reclassified to conform with this change in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carriers and agents. This strategic acquisition positions us to achieve further scale in the insurance space as well as the broader financial services industry.</w:t>
      </w:r>
    </w:p>
    <w:p>
      <w:pPr>
        <w:spacing w:after="0" w:line="134"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we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May 2019, we sold these buildings to an unrelated third party for a sale price of $24.4 million.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8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According to Freddie Mac, 30-year mortgage interest rates declined during 2020 to a monthly average of 3.45% in March 2020. On a quarterly basis, 30-year mortgage interest rates in the first quarter of 2020 averaged 3.51%, compared to 4.37% in the first quarter of 2019 and 3.70% in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91440</wp:posOffset>
            </wp:positionV>
            <wp:extent cx="4843780" cy="3128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437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as mortgage interest rates decline, there are more consumers in the marketplace seeking refinancings and, accordingly, the mix of mortgage origination dollars will move towards refinance mortgages. According to Mortgage Bankers Association ("MBA") data, total refinance origination dollars remained relatively consistent at 54% of total mortgage origination dollars in the first quarter of 2020 compared to 55% in the fourth quarter of 2019. In the first quarter of 2020, total refinance origination dollars increased 215% from the first quarter of 2019 and decreased 20% from the fourth quarter of 2019.</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April 2020, the MBA projected 30-year mortgage interest rates to remain relatively consistent through the end of the year. According to MBA projections, the refinance share of total mortgage origination dollars is projected to represent approximately 49% for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National Association of Realtors ("NAR"), the COVID-19 pandemic contributed to a slowdown in existing-home sales at the end of the first quarter of 2020. Existing-home sales increased minimally in the first quarter of 2020 over the fourth quarter of 2019, but still experienced a 5% increase over the first quarter of 2019. The NAR expects continued temporary interruptions to existing-home sales in the following months, and predicts an overall decrease of 13.5% in 2020 compared to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2020 and 2019</w:t>
      </w:r>
    </w:p>
    <w:p>
      <w:pPr>
        <w:spacing w:after="0" w:line="176"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37465</wp:posOffset>
            </wp:positionV>
            <wp:extent cx="26231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94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3"/>
                <w:szCs w:val="13"/>
                <w:b w:val="1"/>
                <w:bCs w:val="1"/>
                <w:i w:val="1"/>
                <w:iCs w:val="1"/>
                <w:color w:val="auto"/>
                <w:w w:val="85"/>
              </w:rPr>
              <w:t>(Dollars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79,174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63,437</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15,737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119,924</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120,729</w:t>
            </w:r>
          </w:p>
        </w:tc>
        <w:tc>
          <w:tcPr>
            <w:tcW w:w="200" w:type="dxa"/>
            <w:vAlign w:val="bottom"/>
          </w:tcPr>
          <w:p>
            <w:pPr>
              <w:spacing w:after="0"/>
              <w:rPr>
                <w:sz w:val="19"/>
                <w:szCs w:val="19"/>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(805)</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Insurance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82,737</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67,092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15,645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24"/>
        </w:trPr>
        <w:tc>
          <w:tcPr>
            <w:tcW w:w="710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1,249</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11,132</w:t>
            </w:r>
          </w:p>
        </w:tc>
        <w:tc>
          <w:tcPr>
            <w:tcW w:w="200" w:type="dxa"/>
            <w:vAlign w:val="bottom"/>
          </w:tcPr>
          <w:p>
            <w:pPr>
              <w:spacing w:after="0"/>
              <w:rPr>
                <w:sz w:val="19"/>
                <w:szCs w:val="19"/>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(9,883)</w:t>
            </w: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283,084</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262,390</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20,694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8 %</w:t>
            </w:r>
          </w:p>
        </w:tc>
        <w:tc>
          <w:tcPr>
            <w:tcW w:w="0" w:type="dxa"/>
            <w:vAlign w:val="bottom"/>
          </w:tcPr>
          <w:p>
            <w:pPr>
              <w:spacing w:after="0"/>
              <w:rPr>
                <w:sz w:val="1"/>
                <w:szCs w:val="1"/>
                <w:color w:val="auto"/>
              </w:rPr>
            </w:pP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17,670</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(3,418)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195,538</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174,891</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20,647</w:t>
            </w: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32,082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31,117</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965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24"/>
        </w:trPr>
        <w:tc>
          <w:tcPr>
            <w:tcW w:w="71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10,963</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10,166</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797</w:t>
            </w:r>
          </w:p>
        </w:tc>
        <w:tc>
          <w:tcPr>
            <w:tcW w:w="100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3,378</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896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13,757</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13,427</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330</w:t>
            </w: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(22,714)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4"/>
        </w:trPr>
        <w:tc>
          <w:tcPr>
            <w:tcW w:w="710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104</w:t>
            </w:r>
          </w:p>
        </w:tc>
        <w:tc>
          <w:tcPr>
            <w:tcW w:w="1000" w:type="dxa"/>
            <w:vAlign w:val="bottom"/>
          </w:tcPr>
          <w:p>
            <w:pPr>
              <w:jc w:val="right"/>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536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217"/>
        </w:trPr>
        <w:tc>
          <w:tcPr>
            <w:tcW w:w="7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262,335</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264,192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(1,857)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3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20,749</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22,551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1,251 %</w:t>
            </w:r>
          </w:p>
        </w:tc>
        <w:tc>
          <w:tcPr>
            <w:tcW w:w="0" w:type="dxa"/>
            <w:vAlign w:val="bottom"/>
          </w:tcPr>
          <w:p>
            <w:pPr>
              <w:spacing w:after="0"/>
              <w:rPr>
                <w:sz w:val="1"/>
                <w:szCs w:val="1"/>
                <w:color w:val="auto"/>
              </w:rPr>
            </w:pPr>
          </w:p>
        </w:tc>
      </w:tr>
      <w:tr>
        <w:trPr>
          <w:trHeight w:val="223"/>
        </w:trPr>
        <w:tc>
          <w:tcPr>
            <w:tcW w:w="710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(5,468)</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(634)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71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68</w:t>
            </w:r>
          </w:p>
        </w:tc>
        <w:tc>
          <w:tcPr>
            <w:tcW w:w="100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3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15,915</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(7,202)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23,117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321 %</w:t>
            </w:r>
          </w:p>
        </w:tc>
        <w:tc>
          <w:tcPr>
            <w:tcW w:w="0" w:type="dxa"/>
            <w:vAlign w:val="bottom"/>
          </w:tcPr>
          <w:p>
            <w:pPr>
              <w:spacing w:after="0"/>
              <w:rPr>
                <w:sz w:val="1"/>
                <w:szCs w:val="1"/>
                <w:color w:val="auto"/>
              </w:rPr>
            </w:pPr>
          </w:p>
        </w:tc>
      </w:tr>
      <w:tr>
        <w:trPr>
          <w:trHeight w:val="223"/>
        </w:trPr>
        <w:tc>
          <w:tcPr>
            <w:tcW w:w="710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3,061</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7,752</w:t>
            </w:r>
          </w:p>
        </w:tc>
        <w:tc>
          <w:tcPr>
            <w:tcW w:w="200" w:type="dxa"/>
            <w:vAlign w:val="bottom"/>
          </w:tcPr>
          <w:p>
            <w:pPr>
              <w:spacing w:after="0"/>
              <w:rPr>
                <w:sz w:val="19"/>
                <w:szCs w:val="19"/>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(4,691)</w:t>
            </w: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18,976</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550</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18,426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3,350 %</w:t>
            </w:r>
          </w:p>
        </w:tc>
        <w:tc>
          <w:tcPr>
            <w:tcW w:w="0" w:type="dxa"/>
            <w:vAlign w:val="bottom"/>
          </w:tcPr>
          <w:p>
            <w:pPr>
              <w:spacing w:after="0"/>
              <w:rPr>
                <w:sz w:val="1"/>
                <w:szCs w:val="1"/>
                <w:color w:val="auto"/>
              </w:rPr>
            </w:pP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(4,575)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(1,062)</w:t>
            </w:r>
          </w:p>
        </w:tc>
        <w:tc>
          <w:tcPr>
            <w:tcW w:w="20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3,513</w:t>
            </w:r>
          </w:p>
        </w:tc>
        <w:tc>
          <w:tcPr>
            <w:tcW w:w="1000" w:type="dxa"/>
            <w:vAlign w:val="bottom"/>
          </w:tcPr>
          <w:p>
            <w:pPr>
              <w:jc w:val="right"/>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r>
        <w:trPr>
          <w:trHeight w:val="3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and comprehensive income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14,401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(512)</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2,913 %</w:t>
            </w:r>
          </w:p>
        </w:tc>
        <w:tc>
          <w:tcPr>
            <w:tcW w:w="0" w:type="dxa"/>
            <w:vAlign w:val="bottom"/>
          </w:tcPr>
          <w:p>
            <w:pPr>
              <w:spacing w:after="0"/>
              <w:rPr>
                <w:sz w:val="1"/>
                <w:szCs w:val="1"/>
                <w:color w:val="auto"/>
              </w:rPr>
            </w:pPr>
          </w:p>
        </w:tc>
      </w:tr>
      <w:tr>
        <w:trPr>
          <w:trHeight w:val="27"/>
        </w:trPr>
        <w:tc>
          <w:tcPr>
            <w:tcW w:w="7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in the first quarter of 2020 compared to the first quarter of 2019 due to increases in our Home and Insurance segments, partially offset by a decrease in our Other category.</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Revenue from our Home segment increased $15.7 million in the first quarter of 2020 from the first quarter of 2019, or 25%, primarily due to an increase in revenue from our refinance mortgage product, partially offset by decreases in our purchase mortgage and home equity loans and lines of credit products. Revenue from our refinance mortgage product increased $25.9 million in the first quarter of 2020 compared to the first quarter of 2019 primarily due to an increase in the number of consumers completing request forms resulting from increased refinancing activity in a declining interest rate environment, partially offset by a decrease in revenue earned per consumer. Revenue from our purchase mortgage and home equity loans and lines of credit products decreased $4.9 million and $4.6 million, respectively, in the first quarter of 2020 from the first quarter of 2019, due to decreases in the number of consumers completing request forms as well as a decrease in revenue earned per consumer.</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Revenue from our Insurance segment increased $15.6 million to $82.7 million in the first quarter of 2020 from $67.1 million in the first quarter of 2019, or 23%, due to increases in the number of consumers seeking insurance coverage, partially offset by a decrease in revenue earned per consumer.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remained relatively consistent in the first quarter of 2020 from the first quarter of 2019, primarily due to decreases in our credit cards, personal loans and student loans products, partially offset by increases in our small business loans and deposit accounts products.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credit cards product decreased $2.9 million to $51.6 million in the first quarter of 2020 from $54.5 million in the first quarter of 2019, or 5%, due to decreases in the number of approvals and a decrease in revenue earned per approval and the impact of the economic conditions primarily related to the COVID-19 pandemic in late March 2020.</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personal loans product decreased $1.0 million to $31.5 million in the first quarter of 2020 from $32.5 million in the first quarter of 2019, or 3%, primarily due to a decrease in revenue earned per consumer partially offset by an increase in the number of consumers completing request forms and the impact of the economic conditions related to the COVID-19 pandemic in late March 2020.</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periods presented, no other products in our Consumer segment represented more than 10% of revenue; however, certain other Consumer products experienced notable changes. Revenue from our student loans product decreased $3.3 million in the first quarter of 2020 compared to the first quarter of 2019 due to a decrease in the number of consumers on our marketplace seeking student loans. Revenue from our small business loans product increased $4.4 million in the first quarter of 2020 compared to the first quarter of 2019 due to increases in the number of consumers seeking business loans and an increase in revenue earned per consumer. Revenue from our deposit accounts product increased by $1.7 million in the first quarter of 2020 compared to the first quarter of 2019 due to increased Network Partner demand.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ongoing COVID-19 pandemic is anticipated to significantly impact our Consumer product revenues in the near-term due to the significant industry-wide contraction in the availability of capital for products in the Consumer segment, specifically credit cards, small business loans and personal loans, as discussed above.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Other category includes revenue from the resale of online advertising space to third parties and revenue from home improvement referrals. Revenue in the Other category decreased $9.9 million in the first quarter of 2020 compared to the first quarter of 2019, as we ceased offering home improvement referrals during the first quarter of 2019 and ceased reselling online advertising space during the first quarter of 2020.</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revenue decreased in the first quarter of 2020 from the first quarter of 2019, primarily due to a $6.2 million decrease for the cost of resold advertising space, partially offset by a $1.2 million increase in compensation and benefits as a result of increases in headcount. We ceased reselling online advertising space during the first quarter of 2020.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decreased to 5% in the first quarter of 2020 compared to 7% in the first quarter of 2019 due to the items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selling and marketing expense in the first quarter of 2020 compared to the first quarter of 2019 was primarily due to increases in advertising and promotional expense of $21.2 million, as discussed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4"/>
                <w:szCs w:val="14"/>
                <w:b w:val="1"/>
                <w:bCs w:val="1"/>
                <w:color w:val="auto"/>
                <w:w w:val="95"/>
              </w:rPr>
              <w:t>Three Months Ended March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9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8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center"/>
              <w:ind w:right="76"/>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148,939</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24,142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10,535</w:t>
            </w:r>
          </w:p>
        </w:tc>
        <w:tc>
          <w:tcPr>
            <w:tcW w:w="260" w:type="dxa"/>
            <w:vAlign w:val="bottom"/>
          </w:tcPr>
          <w:p>
            <w:pPr>
              <w:spacing w:after="0"/>
              <w:rPr>
                <w:sz w:val="21"/>
                <w:szCs w:val="21"/>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(4,211)</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1,250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183,767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162,586</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21,181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34"/>
        </w:trPr>
        <w:tc>
          <w:tcPr>
            <w:tcW w:w="6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increased our advertising expenditures in the first quarter of 2020 compared to the first quarter of 2019 in order to generate additional consumer inquiries to meet the increased demand of Network Partners on our marketplace. We will continue to adjust selling and marketing expenditures dynamically in relation to anticipated revenue opportunities and in response to changes in Network Partner demand as a result of the ongoing COVID-19 pandemic discussed above.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 increased in the first quarter of 2020 from the first quarter of 2019, primarily due to increases in professional fees of $2.5 million, technology expense of $1.1 million and facilities expense of $0.7 million. The increase in general and administrative expense was partially offset by a decrease in compensation and benefits of $2.8 million, primarily due to a decrease in bonus and certain equity awards that vested in 2019.</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11% in the first quarter of 2020 compared to 12% in the first quarter of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first quarter of 2020 compared to the first quarter of 2019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depreciation expense in the first quarter of 2020 compared to the first quarter of 2019 was primarily the result of higher investment in internally developed software in recent years, to support the growth of our business.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first quarter of 2020, we recorded an aggregate gain of $8.1 million due to adjustments in the estimated fair value of the earnout payments related to our recent acquisitions. For the first quarter of 2020, the gain related to the QuoteWizard acquisition was $8.3 million, partially offset by contingent consideration expense for the Ovation acquisition of $0.1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2019, we recorded aggregate contingent consideration expense of $14.6 million due to adjustments in the estimated fair value of the earnout payments related to our recent acquisitions. For the first quarter of 2019, the contingent consideration expense for the QuoteWizard and SnapCap acquisitions was $14.4 million and $1.6 million, respectively. This was partially offset by contingent consideration gains recorded for the DepositAccounts and Ovation acquisitions of $0.7 million and $0.6 million,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first quarter of 2020, the effective tax rate varied from the federal statutory rate of 21% in part due to a tax benefit of $1.1 million recognized for excess tax benefits resulting from employee exercises of stock options and vesting of restricted stock in accordance with ASU 2016-09 and the effect of state taxes, as well as a tax benefit of $6.1 million for the impact of the Coronavirus Aid, Relief, and Economic Security ("CARES") Act, as described below.</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us,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revalued deferred tax assets related to net operating losses in light of the changes in the CARES Act, and recorded a net tax benefit of $6.1 million during the first quarter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first quarter of 2019, the effective tax rate varied from the federal statutory rate of 21% primarily due to a tax benefit of $6.0 million recognized for excess tax benefits resulting from employee exercises of stock options and vesting of restricted stock in accordance with ASU 2016-09 and the effect of state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17—Discontinued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4"/>
                <w:szCs w:val="14"/>
                <w:b w:val="1"/>
                <w:bCs w:val="1"/>
                <w:color w:val="auto"/>
                <w:w w:val="95"/>
              </w:rPr>
              <w:t>Three Months Ended March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80" w:type="dxa"/>
            <w:vAlign w:val="bottom"/>
          </w:tcPr>
          <w:p>
            <w:pPr>
              <w:jc w:val="right"/>
              <w:ind w:right="615"/>
              <w:spacing w:after="0" w:line="153"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3"/>
          </w:tcPr>
          <w:p>
            <w:pPr>
              <w:jc w:val="center"/>
              <w:ind w:right="75"/>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23,921</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11,990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43,099</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53,974</w:t>
            </w:r>
          </w:p>
        </w:tc>
        <w:tc>
          <w:tcPr>
            <w:tcW w:w="26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(10,875)</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30,533</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2,669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(1,087)</w:t>
            </w: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109,215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106,518</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2,697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6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Home segment profit and Insurance segment profit increased $12.0 million and $2.7 million, respectively, in the first quarter of 2020 from the first quarter of 2019, primarily due to an increase in revenue, partially offset by corresponding increases in selling and marketing expense.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Consumer segment profit decreased $10.9 million in the first quarter of 2020 from the first quarter of 2019, primarily due to a decrease in revenue. Additionally, selling and marketing expenses in our Consumer segment increased as a percentage of revenue in the first quarter of 2020 compared to the first quarter of 2019.</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18,976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13,757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3,378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Loss on impairments and disposal of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530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11,917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(8,122)</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14,592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(7,752)</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44,876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43,004</w:t>
            </w:r>
          </w:p>
        </w:tc>
      </w:tr>
      <w:tr>
        <w:trPr>
          <w:trHeight w:val="27"/>
        </w:trPr>
        <w:tc>
          <w:tcPr>
            <w:tcW w:w="8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we had $51.2 million of cash and cash equivalents, compared to $60.2 million of cash and cash equivalents as of December 31, 2019.</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the first quarter of 2020, we acquired an equity interest in Stash for $80.0 million. The investment was funded through $80.0 million drawn on our Amended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more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2020, we paid down $25.0 million on our Amended Revolving Credit Facility.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first quarter of 2020, we made a contingent consideration payment of $3.0 million related to the prior acquisition of SnapCap. We could make additional potential contingent consideration payments of up to $1.0 million for DepositAccounts, $3.0 million for SnapCap, $4.4 million for Ovation, and $46.8 million for QuoteWizard.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As of May 5, 2020, we have $130.0 million of borrowings and a $0.2 million letter of credit under the Amended Revolving Credit Facility. The remaining borrowing capacity at May 5, 2020 is $369.8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29,302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23,269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(84,189)</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(110,405)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46,601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49,408</w:t>
            </w:r>
          </w:p>
        </w:tc>
      </w:tr>
      <w:tr>
        <w:trPr>
          <w:trHeight w:val="20"/>
        </w:trPr>
        <w:tc>
          <w:tcPr>
            <w:tcW w:w="82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16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98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quarter of 2020 from the first quarter of 2019 primarily due to an increase in revenue, generally offset by an increase in selling and marketing expense. Additionally, there was a net increase in cash from changes in working capital primarily driven by changes in accounts receivable, partially offset by changes in accounts payable, accrued expenses and other current liabilities and income taxes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quarter of 2020 of $84.2 million consisted of the purchase of an $80.0 million equity interest in Stash and capital expenditures of $4.2 million primarily related to internally developed software.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quarter of 2019 of $110.4 million consisted primarily of the acquisition of ValuePenguin for $105.4 million, net of cash acquired, and capital expenditures of $5.0 million primarily related to internally developed software.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provided by financing activities attributable to continuing operations in the first quarter of 2020 of $46.6 million consisted primarily of $55.0 million of net proceeds from our Amended Revolving Credit Facility, partially offset by $5.1 million in withholding taxes paid upon surrender of shares to satisfy obligations on equity awards, net of proceeds from the exercise of stock options, and a $3.0 million contingent consideration payment for SnapCap.</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quarter of 2019 of $49.4 million consisted primarily of $60.0 million of net proceeds from our 2017 Revolving Credit Facility, partially offset by $4.0 million for the repurchase of our common stock, $3.6 million in withholding taxes paid upon surrender of shares to satisfy obligations on equity awards, net of proceeds from the exercise of stock options, and a $3.0 million contingent consideration payment for SnapCap.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May 5, 2020, there was $130.0 million borrowed under the Amended Revolving Credit Facility. If the LIBO rate increased by 100-basis points, our annual interest expense would increase by approximately $1.3 million. Increases in the Federal Funds interest rates may also affect potential contingent consideration payments to DepositAccounts.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8—Business Acquisitions—Changes in Contingent Consideration in Part I, Item 1.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2020,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2020 that has materially affected, or is reasonably likely to materially affect, our internal controls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2019 Annual Report and updated that information in Note 14—Contingencies and Note 17—Discontinued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2019 Annual Report.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COVID-19 pandemic has negatively impacted the global economy, disrupted global supply chains,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As a result, the demand for our products, in particular in our Consumer segment, has been and may continue to be significantly impacted. Within our Consumer segment, each of credit card, personal loan, and small business is anticipated to see reductions of as much as 60-80% in near-term lender demand for our services reflecting those lenders' uncertainty over the length and depth of the economic recession. Our business operations may also be disrupted if significant portions of our workforce are unable to work effectively, including because of illness, quarantines, government actions, or other restrictions in connection with the pandemic. The extent to which the COVID-19 pandemic impacts our business, financial condition and results of operations,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2020, no shares of common stock were repurchased under the stock repurchase program. As of </w:t>
      </w:r>
      <w:r>
        <w:rPr>
          <w:rFonts w:ascii="Arial" w:cs="Arial" w:eastAsia="Arial" w:hAnsi="Arial"/>
          <w:sz w:val="15"/>
          <w:szCs w:val="15"/>
          <w:color w:val="auto"/>
        </w:rPr>
        <w:t>April 29, 2020</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2020, 15,647 shares were purchased related to these obligations under the LendingTree Sixth Amended and Restated 2008 Stock and Award Incentive Plan and 246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8"/>
                <w:szCs w:val="8"/>
                <w:b w:val="1"/>
                <w:bCs w:val="1"/>
                <w:color w:val="auto"/>
                <w:w w:val="89"/>
              </w:rPr>
              <w:t>(1)</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(2)</w:t>
            </w: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1/1/2020 - 1/31/2020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307.15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2/1/2020 - 2/29/2020</w:t>
            </w:r>
          </w:p>
        </w:tc>
        <w:tc>
          <w:tcPr>
            <w:tcW w:w="12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14,733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334.04</w:t>
            </w:r>
          </w:p>
        </w:tc>
        <w:tc>
          <w:tcPr>
            <w:tcW w:w="100" w:type="dxa"/>
            <w:vAlign w:val="bottom"/>
          </w:tcPr>
          <w:p>
            <w:pPr>
              <w:spacing w:after="0"/>
              <w:rPr>
                <w:sz w:val="21"/>
                <w:szCs w:val="21"/>
                <w:color w:val="auto"/>
              </w:rPr>
            </w:pPr>
          </w:p>
        </w:tc>
        <w:tc>
          <w:tcPr>
            <w:tcW w:w="19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3/1/2020 - 3/31/2020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272.46</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15,893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330.44</w:t>
            </w:r>
          </w:p>
        </w:tc>
        <w:tc>
          <w:tcPr>
            <w:tcW w:w="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34"/>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January 2020, February 2020 and March 2020, 409 shares, 14,733 shares and 751 shares, respectively (totaling 15,893 shares), were purchased to satisfy federal and state withholding obligations of our employees upon the settlement of restricted stock units, all in accordance with our Sixth Amended and Restated 2008 Stock and Award Incentive Plan and 2017 Inducement Grant Plan, as described above.</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Exhibit</w:t>
            </w:r>
          </w:p>
        </w:tc>
        <w:tc>
          <w:tcPr>
            <w:tcW w:w="40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4"/>
          </w:tcPr>
          <w:p>
            <w:pPr>
              <w:ind w:left="2800"/>
              <w:spacing w:after="0"/>
              <w:rPr>
                <w:sz w:val="20"/>
                <w:szCs w:val="20"/>
                <w:color w:val="auto"/>
              </w:rPr>
            </w:pPr>
            <w:r>
              <w:rPr>
                <w:rFonts w:ascii="Arial" w:cs="Arial" w:eastAsia="Arial" w:hAnsi="Arial"/>
                <w:sz w:val="14"/>
                <w:szCs w:val="14"/>
                <w:b w:val="1"/>
                <w:bCs w:val="1"/>
                <w:color w:val="auto"/>
              </w:rPr>
              <w:t>Description</w:t>
            </w:r>
          </w:p>
        </w:tc>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w:t>
            </w:r>
          </w:p>
        </w:tc>
        <w:tc>
          <w:tcPr>
            <w:tcW w:w="7200" w:type="dxa"/>
            <w:vAlign w:val="bottom"/>
            <w:gridSpan w:val="5"/>
            <w:shd w:val="clear" w:color="auto" w:fill="CCEEFF"/>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Amended and Restated Certificate of Incorporation of LendingTree, Inc.</w:t>
              </w:r>
            </w:hyperlink>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Report on Form 8-K filed August 25,</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2008</w:t>
            </w:r>
          </w:p>
        </w:tc>
      </w:tr>
      <w:tr>
        <w:trPr>
          <w:trHeight w:val="229"/>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7200" w:type="dxa"/>
            <w:vAlign w:val="bottom"/>
            <w:gridSpan w:val="5"/>
          </w:tcPr>
          <w:p>
            <w:pPr>
              <w:spacing w:after="0"/>
              <w:rPr>
                <w:rFonts w:ascii="Arial" w:cs="Arial" w:eastAsia="Arial" w:hAnsi="Arial"/>
                <w:sz w:val="18"/>
                <w:szCs w:val="18"/>
                <w:color w:val="0000FF"/>
              </w:rPr>
            </w:pPr>
            <w:hyperlink r:id="rId31">
              <w:r>
                <w:rPr>
                  <w:rFonts w:ascii="Arial" w:cs="Arial" w:eastAsia="Arial" w:hAnsi="Arial"/>
                  <w:sz w:val="18"/>
                  <w:szCs w:val="18"/>
                  <w:u w:val="single" w:color="auto"/>
                  <w:color w:val="0000FF"/>
                </w:rPr>
                <w:t>Fourth Amended and Restated By-laws of LendingTree, Inc</w:t>
              </w:r>
              <w:r>
                <w:rPr>
                  <w:rFonts w:ascii="Arial" w:cs="Arial" w:eastAsia="Arial" w:hAnsi="Arial"/>
                  <w:sz w:val="18"/>
                  <w:szCs w:val="18"/>
                  <w:color w:val="0000FF"/>
                </w:rPr>
                <w:t>.</w:t>
              </w:r>
            </w:hyperlink>
          </w:p>
        </w:tc>
        <w:tc>
          <w:tcPr>
            <w:tcW w:w="2980" w:type="dxa"/>
            <w:vAlign w:val="bottom"/>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Report on Form 8-K filed November</w:t>
            </w:r>
          </w:p>
        </w:tc>
      </w:tr>
      <w:tr>
        <w:trPr>
          <w:trHeight w:val="230"/>
        </w:trPr>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15, 2017</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02"/>
        </w:trPr>
        <w:tc>
          <w:tcPr>
            <w:tcW w:w="1060" w:type="dxa"/>
            <w:vAlign w:val="bottom"/>
            <w:tcBorders>
              <w:bottom w:val="single" w:sz="8" w:color="CCEEFF"/>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of the Chief Executive Officer pursuant to Rule 13a-14(a) or Rule 15d-14(a) of the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shd w:val="clear" w:color="auto" w:fill="CCEEFF"/>
          </w:tcPr>
          <w:p>
            <w:pPr>
              <w:spacing w:after="0"/>
              <w:rPr>
                <w:sz w:val="17"/>
                <w:szCs w:val="17"/>
                <w:color w:val="auto"/>
              </w:rPr>
            </w:pPr>
          </w:p>
        </w:tc>
        <w:tc>
          <w:tcPr>
            <w:tcW w:w="7200" w:type="dxa"/>
            <w:vAlign w:val="bottom"/>
            <w:gridSpan w:val="5"/>
            <w:shd w:val="clear" w:color="auto" w:fill="CCEEFF"/>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shd w:val="clear" w:color="auto" w:fill="CCEEFF"/>
          </w:tcPr>
          <w:p>
            <w:pPr>
              <w:spacing w:after="0"/>
              <w:rPr>
                <w:sz w:val="17"/>
                <w:szCs w:val="17"/>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2002.</w:t>
              </w:r>
            </w:hyperlink>
          </w:p>
        </w:tc>
        <w:tc>
          <w:tcPr>
            <w:tcW w:w="28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31.2</w:t>
            </w:r>
          </w:p>
        </w:tc>
        <w:tc>
          <w:tcPr>
            <w:tcW w:w="7120" w:type="dxa"/>
            <w:vAlign w:val="bottom"/>
            <w:tcBorders>
              <w:bottom w:val="single" w:sz="8" w:color="0000FF"/>
            </w:tcBorders>
            <w:gridSpan w:val="3"/>
          </w:tcPr>
          <w:p>
            <w:pPr>
              <w:spacing w:after="0" w:line="202" w:lineRule="exact"/>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of the Chief Financial Officer pursuant to Rule 13a-14(a) or Rule 15d-14(a) of the</w:t>
              </w:r>
            </w:hyperlink>
          </w:p>
        </w:tc>
        <w:tc>
          <w:tcPr>
            <w:tcW w:w="80" w:type="dxa"/>
            <w:vAlign w:val="bottom"/>
            <w:gridSpan w:val="2"/>
          </w:tcPr>
          <w:p>
            <w:pPr>
              <w:spacing w:after="0"/>
              <w:rPr>
                <w:sz w:val="17"/>
                <w:szCs w:val="17"/>
                <w:color w:val="auto"/>
              </w:rPr>
            </w:pPr>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200" w:type="dxa"/>
            <w:vAlign w:val="bottom"/>
            <w:gridSpan w:val="5"/>
          </w:tcPr>
          <w:p>
            <w:pPr>
              <w:spacing w:after="0" w:line="19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2002.</w:t>
              </w:r>
            </w:hyperlink>
          </w:p>
        </w:tc>
        <w:tc>
          <w:tcPr>
            <w:tcW w:w="28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9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03"/>
        </w:trPr>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32.1</w:t>
            </w:r>
          </w:p>
        </w:tc>
        <w:tc>
          <w:tcPr>
            <w:tcW w:w="7200" w:type="dxa"/>
            <w:vAlign w:val="bottom"/>
            <w:gridSpan w:val="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Certification of the Chief Executive Officer pursuant to 18 U.S.C. Section 1350 as adopted</w:t>
              </w:r>
            </w:hyperlink>
          </w:p>
        </w:tc>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pursuant to Section 906 of the Sarbanes-Oxley Act of 2002.</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900" w:type="dxa"/>
            <w:vAlign w:val="bottom"/>
            <w:tcBorders>
              <w:top w:val="single" w:sz="8" w:color="0000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32.2</w:t>
            </w:r>
          </w:p>
        </w:tc>
        <w:tc>
          <w:tcPr>
            <w:tcW w:w="7200" w:type="dxa"/>
            <w:vAlign w:val="bottom"/>
            <w:gridSpan w:val="5"/>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Certification of the Chief Financial Officer pursuant to 18 U.S.C. Section 1350 as adopted</w:t>
              </w:r>
            </w:hyperlink>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1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pursuant to Section 906 of the Sarbanes-Oxley Act of 2002.</w:t>
              </w:r>
            </w:hyperlink>
          </w:p>
        </w:tc>
        <w:tc>
          <w:tcPr>
            <w:tcW w:w="8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900" w:type="dxa"/>
            <w:vAlign w:val="bottom"/>
            <w:tcBorders>
              <w:top w:val="single" w:sz="8" w:color="0000FF"/>
            </w:tcBorders>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101.INS</w:t>
            </w:r>
          </w:p>
        </w:tc>
        <w:tc>
          <w:tcPr>
            <w:tcW w:w="72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 xml:space="preserve">XBRL Instance Document </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The instance document does not appear in the Interactive Data File</w:t>
            </w: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80" w:type="dxa"/>
            <w:vAlign w:val="bottom"/>
            <w:tcBorders>
              <w:bottom w:val="single" w:sz="8" w:color="CCEEFF"/>
            </w:tcBorders>
            <w:shd w:val="clear" w:color="auto" w:fill="CCEEFF"/>
          </w:tcPr>
          <w:p>
            <w:pPr>
              <w:spacing w:after="0"/>
              <w:rPr>
                <w:sz w:val="20"/>
                <w:szCs w:val="20"/>
                <w:color w:val="auto"/>
              </w:rPr>
            </w:pP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101.SCH</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101.CAL</w:t>
            </w: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101.DEF</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101.LAB</w:t>
            </w: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101.PRE</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104</w:t>
            </w:r>
          </w:p>
        </w:tc>
        <w:tc>
          <w:tcPr>
            <w:tcW w:w="7200" w:type="dxa"/>
            <w:vAlign w:val="bottom"/>
            <w:gridSpan w:val="5"/>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 contained in</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Exhibit 101)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3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6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34290</wp:posOffset>
            </wp:positionV>
            <wp:extent cx="3763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3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6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6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0" Type="http://schemas.openxmlformats.org/officeDocument/2006/relationships/hyperlink" Target="http://www.sec.gov/Archives/edgar/data/1434621/000110465908054882/a08-22125_1ex3d1.htm" TargetMode="External"/><Relationship Id="rId31"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2020-05-05T15:15:36Z</dcterms:created>
  <dcterms:modified xsi:type="dcterms:W3CDTF">2020-05-05T15:15:36Z</dcterms:modified>
</cp:coreProperties>
</file>