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UNITED STATES</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SECURITIES AND EXCHANGE COMMISSION</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rFonts w:ascii="Times New Roman;serif" w:hAnsi="Times New Roman;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For the Quarterly Period Ended June 30, 2025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For the transition period from                      to                 </w:t>
      </w:r>
    </w:p>
    <w:p>
      <w:pPr>
        <w:pStyle w:val="TextBody"/>
        <w:bidi w:val="0"/>
        <w:spacing w:lineRule="auto" w:line="288" w:before="60" w:after="283"/>
        <w:jc w:val="center"/>
        <w:rPr/>
      </w:pPr>
      <w:r>
        <w:rPr>
          <w:rFonts w:ascii="Times New Roman;serif" w:hAnsi="Times New Roman;serif"/>
          <w:b/>
          <w:color w:val="000000"/>
          <w:sz w:val="19"/>
        </w:rPr>
        <w:t>Commission File No. 001-34063</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drawing>
          <wp:inline distT="0" distB="0" distL="0" distR="0">
            <wp:extent cx="12668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4381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LendingTree, Inc.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26-2414818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120" w:after="283"/>
        <w:jc w:val="center"/>
        <w:rPr/>
      </w:pPr>
      <w:r>
        <w:rPr>
          <w:color w:val="000000"/>
        </w:rPr>
        <w:t> </w:t>
      </w:r>
      <w:r>
        <w:rPr>
          <w:rFonts w:ascii="Times New Roman;serif" w:hAnsi="Times New Roman;serif"/>
          <w:b/>
          <w:color w:val="000000"/>
          <w:sz w:val="20"/>
        </w:rPr>
        <w:t xml:space="preserve">1415 Vantage Park Dr., Suite 700, Charlotte, North Carolina 28203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(704) 541-5351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The Nasdaq Stock Market LLC</w:t>
            </w:r>
          </w:p>
        </w:tc>
      </w:tr>
    </w:tbl>
    <w:p>
      <w:pPr>
        <w:pStyle w:val="TextBody"/>
        <w:bidi w:val="0"/>
        <w:spacing w:lineRule="auto" w:line="288" w:before="100" w:after="283"/>
        <w:ind w:left="0" w:right="0" w:firstLine="180"/>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No  </w:t>
      </w:r>
      <w:r>
        <w:rPr>
          <w:color w:val="000000"/>
        </w:rPr>
        <w:t>☐ </w:t>
      </w:r>
    </w:p>
    <w:p>
      <w:pPr>
        <w:pStyle w:val="TextBody"/>
        <w:bidi w:val="0"/>
        <w:spacing w:lineRule="auto" w:line="288" w:before="100" w:after="283"/>
        <w:ind w:left="0" w:right="0" w:firstLine="180"/>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100" w:after="283"/>
        <w:ind w:left="0" w:right="0" w:firstLine="180"/>
        <w:jc w:val="both"/>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9"/>
        </w:rPr>
        <w:t>large accelerated filer,</w:t>
      </w:r>
      <w:r>
        <w:rPr>
          <w:color w:val="000000"/>
        </w:rPr>
        <w:t>” “</w:t>
      </w:r>
      <w:r>
        <w:rPr>
          <w:rFonts w:ascii="Times New Roman;serif" w:hAnsi="Times New Roman;serif"/>
          <w:b w:val="false"/>
          <w:color w:val="000000"/>
          <w:sz w:val="19"/>
        </w:rPr>
        <w:t>accelerated filer,</w:t>
      </w:r>
      <w:r>
        <w:rPr>
          <w:color w:val="000000"/>
        </w:rPr>
        <w:t>” “</w:t>
      </w:r>
      <w:r>
        <w:rPr>
          <w:rFonts w:ascii="Times New Roman;serif" w:hAnsi="Times New Roman;serif"/>
          <w:b w:val="false"/>
          <w:color w:val="000000"/>
          <w:sz w:val="19"/>
        </w:rPr>
        <w:t>smaller reporting company,</w:t>
      </w:r>
      <w:r>
        <w:rPr>
          <w:color w:val="000000"/>
        </w:rPr>
        <w:t xml:space="preserve">” </w:t>
      </w:r>
      <w:r>
        <w:rPr>
          <w:rFonts w:ascii="Times New Roman;serif" w:hAnsi="Times New Roman;serif"/>
          <w:b w:val="false"/>
          <w:color w:val="000000"/>
          <w:sz w:val="19"/>
        </w:rPr>
        <w:t xml:space="preserve">and </w:t>
      </w:r>
      <w:r>
        <w:rPr>
          <w:color w:val="000000"/>
        </w:rPr>
        <w:t>“</w:t>
      </w:r>
      <w:r>
        <w:rPr>
          <w:rFonts w:ascii="Times New Roman;serif" w:hAnsi="Times New Roman;serif"/>
          <w:b w:val="false"/>
          <w:color w:val="000000"/>
          <w:sz w:val="19"/>
        </w:rPr>
        <w:t>emerging growth company</w:t>
      </w:r>
      <w:r>
        <w:rPr>
          <w:color w:val="000000"/>
        </w:rPr>
        <w:t xml:space="preserve">” </w:t>
      </w:r>
      <w:r>
        <w:rPr>
          <w:rFonts w:ascii="Times New Roman;serif" w:hAnsi="Times New Roman;serif"/>
          <w:b w:val="false"/>
          <w:color w:val="000000"/>
          <w:sz w:val="19"/>
        </w:rPr>
        <w:t>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180"/>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180"/>
        <w:jc w:val="both"/>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No  </w:t>
      </w:r>
      <w:r>
        <w:rPr>
          <w:color w:val="000000"/>
        </w:rPr>
        <w:t>☒ </w:t>
      </w:r>
    </w:p>
    <w:p>
      <w:pPr>
        <w:pStyle w:val="TextBody"/>
        <w:bidi w:val="0"/>
        <w:spacing w:lineRule="auto" w:line="288" w:before="100" w:after="283"/>
        <w:ind w:left="0" w:right="0" w:firstLine="180"/>
        <w:jc w:val="both"/>
        <w:rPr>
          <w:rFonts w:ascii="Times New Roman;serif" w:hAnsi="Times New Roman;serif"/>
          <w:b w:val="false"/>
          <w:color w:val="000000"/>
          <w:sz w:val="19"/>
        </w:rPr>
      </w:pPr>
      <w:r>
        <w:rPr>
          <w:rFonts w:ascii="Times New Roman;serif" w:hAnsi="Times New Roman;serif"/>
          <w:b w:val="false"/>
          <w:color w:val="000000"/>
          <w:sz w:val="19"/>
        </w:rPr>
        <w:t>As of July 28, 2025, there were 13,620,161 shares of the registrant's common stock, par value $0.01 per share, outstanding, excluding treasury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3"/>
        <w:gridCol w:w="2492"/>
        <w:gridCol w:w="2491"/>
        <w:gridCol w:w="2498"/>
        <w:gridCol w:w="541"/>
        <w:gridCol w:w="541"/>
        <w:gridCol w:w="78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22f4e37f0834a958d3a9929293ec035_10">
              <w:r>
                <w:rPr>
                  <w:rStyle w:val="InternetLink"/>
                  <w:rFonts w:ascii="Times New Roman;serif" w:hAnsi="Times New Roman;serif"/>
                  <w:b/>
                  <w:color w:val="0000FF"/>
                  <w:sz w:val="20"/>
                  <w:u w:val="single"/>
                </w:rPr>
                <w:t>PART I—FINANCIAL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
              <w:r>
                <w:rPr>
                  <w:rStyle w:val="InternetLink"/>
                  <w:rFonts w:ascii="Times New Roman;serif" w:hAnsi="Times New Roman;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
              <w:r>
                <w:rPr>
                  <w:rStyle w:val="InternetLink"/>
                  <w:rFonts w:ascii="Times New Roman;serif" w:hAnsi="Times New Roman;serif"/>
                  <w:b/>
                  <w:i/>
                  <w:color w:val="0000FF"/>
                  <w:sz w:val="20"/>
                  <w:u w:val="single"/>
                </w:rPr>
                <w:t>Financial Statements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3">
              <w:r>
                <w:rPr>
                  <w:rStyle w:val="InternetLink"/>
                  <w:rFonts w:ascii="Times New Roman;serif" w:hAnsi="Times New Roman;serif"/>
                  <w:b w:val="false"/>
                  <w:strike w:val="false"/>
                  <w:dstrike w:val="false"/>
                  <w:color w:val="000000"/>
                  <w:sz w:val="20"/>
                  <w:u w:val="none"/>
                  <w:effect w:val="none"/>
                </w:rPr>
                <w:t>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00">
              <w:r>
                <w:rPr>
                  <w:rStyle w:val="InternetLink"/>
                  <w:rFonts w:ascii="Times New Roman;serif" w:hAnsi="Times New Roman;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00">
              <w:r>
                <w:rPr>
                  <w:rStyle w:val="InternetLink"/>
                  <w:rFonts w:ascii="Times New Roman;serif" w:hAnsi="Times New Roman;serif"/>
                  <w:b/>
                  <w:i/>
                  <w:color w:val="0000FF"/>
                  <w:sz w:val="20"/>
                  <w:u w:val="single"/>
                </w:rPr>
                <w:t>Management's Discussion and Analysis of Financial Condition and Results of Operations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00">
              <w:r>
                <w:rPr>
                  <w:rStyle w:val="InternetLink"/>
                  <w:rFonts w:ascii="Times New Roman;serif" w:hAnsi="Times New Roman;serif"/>
                  <w:b w:val="false"/>
                  <w:strike w:val="false"/>
                  <w:dstrike w:val="false"/>
                  <w:color w:val="000000"/>
                  <w:sz w:val="20"/>
                  <w:u w:val="none"/>
                  <w:effect w:val="none"/>
                </w:rPr>
                <w:t>22</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18">
              <w:r>
                <w:rPr>
                  <w:rStyle w:val="InternetLink"/>
                  <w:rFonts w:ascii="Times New Roman;serif" w:hAnsi="Times New Roman;serif"/>
                  <w:b/>
                  <w:color w:val="0000FF"/>
                  <w:sz w:val="20"/>
                  <w:u w:val="single"/>
                </w:rPr>
                <w:t>Item 3.</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18">
              <w:r>
                <w:rPr>
                  <w:rStyle w:val="InternetLink"/>
                  <w:rFonts w:ascii="Times New Roman;serif" w:hAnsi="Times New Roman;serif"/>
                  <w:b/>
                  <w:i/>
                  <w:color w:val="0000FF"/>
                  <w:sz w:val="20"/>
                  <w:u w:val="single"/>
                </w:rPr>
                <w:t>Quantitative and Qualitative Disclosures About Market Risk</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18">
              <w:r>
                <w:rPr>
                  <w:rStyle w:val="InternetLink"/>
                  <w:rFonts w:ascii="Times New Roman;serif" w:hAnsi="Times New Roman;serif"/>
                  <w:b w:val="false"/>
                  <w:strike w:val="false"/>
                  <w:dstrike w:val="false"/>
                  <w:color w:val="000000"/>
                  <w:sz w:val="20"/>
                  <w:u w:val="none"/>
                  <w:effect w:val="non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21">
              <w:r>
                <w:rPr>
                  <w:rStyle w:val="InternetLink"/>
                  <w:rFonts w:ascii="Times New Roman;serif" w:hAnsi="Times New Roman;serif"/>
                  <w:b/>
                  <w:color w:val="0000FF"/>
                  <w:sz w:val="20"/>
                  <w:u w:val="single"/>
                </w:rPr>
                <w:t>Item 4.</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21">
              <w:r>
                <w:rPr>
                  <w:rStyle w:val="InternetLink"/>
                  <w:rFonts w:ascii="Times New Roman;serif" w:hAnsi="Times New Roman;serif"/>
                  <w:b/>
                  <w:i/>
                  <w:color w:val="0000FF"/>
                  <w:sz w:val="20"/>
                  <w:u w:val="single"/>
                </w:rPr>
                <w:t>Controls and Procedures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21">
              <w:r>
                <w:rPr>
                  <w:rStyle w:val="InternetLink"/>
                  <w:rFonts w:ascii="Times New Roman;serif" w:hAnsi="Times New Roman;serif"/>
                  <w:b w:val="false"/>
                  <w:strike w:val="false"/>
                  <w:dstrike w:val="false"/>
                  <w:color w:val="000000"/>
                  <w:sz w:val="20"/>
                  <w:u w:val="none"/>
                  <w:effect w:val="none"/>
                </w:rPr>
                <w:t>37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22f4e37f0834a958d3a9929293ec035_124">
              <w:r>
                <w:rPr>
                  <w:rStyle w:val="InternetLink"/>
                  <w:rFonts w:ascii="Times New Roman;serif" w:hAnsi="Times New Roman;serif"/>
                  <w:b/>
                  <w:color w:val="0000FF"/>
                  <w:sz w:val="20"/>
                  <w:u w:val="single"/>
                </w:rPr>
                <w:t>PART II—OTHER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27">
              <w:r>
                <w:rPr>
                  <w:rStyle w:val="InternetLink"/>
                  <w:rFonts w:ascii="Times New Roman;serif" w:hAnsi="Times New Roman;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27">
              <w:r>
                <w:rPr>
                  <w:rStyle w:val="InternetLink"/>
                  <w:rFonts w:ascii="Times New Roman;serif" w:hAnsi="Times New Roman;serif"/>
                  <w:b/>
                  <w:i/>
                  <w:color w:val="0000FF"/>
                  <w:sz w:val="20"/>
                  <w:u w:val="single"/>
                </w:rPr>
                <w:t>Legal Proceedings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27">
              <w:r>
                <w:rPr>
                  <w:rStyle w:val="InternetLink"/>
                  <w:rFonts w:ascii="Times New Roman;serif" w:hAnsi="Times New Roman;serif"/>
                  <w:b w:val="false"/>
                  <w:strike w:val="false"/>
                  <w:dstrike w:val="false"/>
                  <w:color w:val="000000"/>
                  <w:sz w:val="20"/>
                  <w:u w:val="none"/>
                  <w:effect w:val="non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0">
              <w:r>
                <w:rPr>
                  <w:rStyle w:val="InternetLink"/>
                  <w:rFonts w:ascii="Times New Roman;serif" w:hAnsi="Times New Roman;serif"/>
                  <w:b/>
                  <w:color w:val="0000FF"/>
                  <w:sz w:val="20"/>
                  <w:u w:val="single"/>
                </w:rPr>
                <w:t>Item 1A.</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0">
              <w:r>
                <w:rPr>
                  <w:rStyle w:val="InternetLink"/>
                  <w:rFonts w:ascii="Times New Roman;serif" w:hAnsi="Times New Roman;serif"/>
                  <w:b/>
                  <w:i/>
                  <w:color w:val="0000FF"/>
                  <w:sz w:val="20"/>
                  <w:u w:val="single"/>
                </w:rPr>
                <w:t>Risk Factors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30">
              <w:r>
                <w:rPr>
                  <w:rStyle w:val="InternetLink"/>
                  <w:rFonts w:ascii="Times New Roman;serif" w:hAnsi="Times New Roman;serif"/>
                  <w:b w:val="false"/>
                  <w:strike w:val="false"/>
                  <w:dstrike w:val="false"/>
                  <w:color w:val="000000"/>
                  <w:sz w:val="20"/>
                  <w:u w:val="none"/>
                  <w:effect w:val="non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3">
              <w:r>
                <w:rPr>
                  <w:rStyle w:val="InternetLink"/>
                  <w:rFonts w:ascii="Times New Roman;serif" w:hAnsi="Times New Roman;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3">
              <w:r>
                <w:rPr>
                  <w:rStyle w:val="InternetLink"/>
                  <w:rFonts w:ascii="Times New Roman;serif" w:hAnsi="Times New Roman;serif"/>
                  <w:b/>
                  <w:i/>
                  <w:color w:val="0000FF"/>
                  <w:sz w:val="20"/>
                  <w:u w:val="single"/>
                </w:rPr>
                <w:t>Unregistered Sales of Equity Securities and Use of Proceeds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33">
              <w:r>
                <w:rPr>
                  <w:rStyle w:val="InternetLink"/>
                  <w:rFonts w:ascii="Times New Roman;serif" w:hAnsi="Times New Roman;serif"/>
                  <w:b w:val="false"/>
                  <w:strike w:val="false"/>
                  <w:dstrike w:val="false"/>
                  <w:color w:val="000000"/>
                  <w:sz w:val="20"/>
                  <w:u w:val="none"/>
                  <w:effect w:val="non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6">
              <w:r>
                <w:rPr>
                  <w:rStyle w:val="InternetLink"/>
                  <w:rFonts w:ascii="Times New Roman;serif" w:hAnsi="Times New Roman;serif"/>
                  <w:b/>
                  <w:color w:val="0000FF"/>
                  <w:sz w:val="20"/>
                  <w:u w:val="single"/>
                </w:rPr>
                <w:t>Item 5.</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6">
              <w:r>
                <w:rPr>
                  <w:rStyle w:val="InternetLink"/>
                  <w:rFonts w:ascii="Times New Roman;serif" w:hAnsi="Times New Roman;serif"/>
                  <w:b/>
                  <w:i/>
                  <w:color w:val="0000FF"/>
                  <w:sz w:val="20"/>
                  <w:u w:val="single"/>
                </w:rPr>
                <w:t>Other Information</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36">
              <w:r>
                <w:rPr>
                  <w:rStyle w:val="InternetLink"/>
                  <w:rFonts w:ascii="Times New Roman;serif" w:hAnsi="Times New Roman;serif"/>
                  <w:b w:val="false"/>
                  <w:strike w:val="false"/>
                  <w:dstrike w:val="false"/>
                  <w:color w:val="000000"/>
                  <w:sz w:val="20"/>
                  <w:u w:val="none"/>
                  <w:effect w:val="none"/>
                </w:rPr>
                <w:t>39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9">
              <w:r>
                <w:rPr>
                  <w:rStyle w:val="InternetLink"/>
                  <w:rFonts w:ascii="Times New Roman;serif" w:hAnsi="Times New Roman;serif"/>
                  <w:b/>
                  <w:color w:val="0000FF"/>
                  <w:sz w:val="20"/>
                  <w:u w:val="single"/>
                </w:rPr>
                <w:t>Item 6.</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f4e37f0834a958d3a9929293ec035_139">
              <w:r>
                <w:rPr>
                  <w:rStyle w:val="InternetLink"/>
                  <w:rFonts w:ascii="Times New Roman;serif" w:hAnsi="Times New Roman;serif"/>
                  <w:b/>
                  <w:i/>
                  <w:color w:val="0000FF"/>
                  <w:sz w:val="20"/>
                  <w:u w:val="single"/>
                </w:rPr>
                <w:t>Exhibits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f4e37f0834a958d3a9929293ec035_139">
              <w:r>
                <w:rPr>
                  <w:rStyle w:val="InternetLink"/>
                  <w:rFonts w:ascii="Times New Roman;serif" w:hAnsi="Times New Roman;serif"/>
                  <w:b w:val="false"/>
                  <w:strike w:val="false"/>
                  <w:dstrike w:val="false"/>
                  <w:color w:val="000000"/>
                  <w:sz w:val="20"/>
                  <w:u w:val="none"/>
                  <w:effect w:val="non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pStyle w:val="TextBody"/>
        <w:bidi w:val="0"/>
        <w:spacing w:lineRule="auto" w:line="288" w:before="30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832"/>
        <w:gridCol w:w="2113"/>
        <w:gridCol w:w="2131"/>
        <w:gridCol w:w="245"/>
        <w:gridCol w:w="976"/>
        <w:gridCol w:w="126"/>
        <w:gridCol w:w="126"/>
        <w:gridCol w:w="126"/>
        <w:gridCol w:w="126"/>
        <w:gridCol w:w="245"/>
        <w:gridCol w:w="976"/>
        <w:gridCol w:w="183"/>
      </w:tblGrid>
      <w:tr>
        <w:trPr/>
        <w:tc>
          <w:tcPr>
            <w:tcW w:w="283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par value and share amounts)</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$1,366 and $1,407,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held for sale (Note 6)</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319,016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238,462</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$30,824 and $33,375,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835,765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767,674</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260,592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240,476</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717,653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658,853</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none issued or outstanding</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 shares authorized; 16,966,651 and 16,746,556 shares issued, respectively, and 13,611,185 and 13,391,090 shares outstanding, respectively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1,254,239 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(882,920)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3,355,466 and 3,355,466 shares,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118,112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108,821</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835,765</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767,674</w:t>
            </w:r>
            <w:r>
              <w:rPr>
                <w:color w:val="000000"/>
              </w:rPr>
              <w:t> </w:t>
            </w:r>
          </w:p>
        </w:tc>
        <w:tc>
          <w:tcPr>
            <w:tcW w:w="1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91"/>
        <w:gridCol w:w="1363"/>
        <w:gridCol w:w="1380"/>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79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 share amounts)</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377,908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i/>
                <w:color w:val="000000"/>
                <w:sz w:val="20"/>
              </w:rPr>
              <w:t>(exclusive of depreciation and amortization shown separately below)</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361,142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and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91"/>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6"/>
      </w:tblGrid>
      <w:tr>
        <w:trPr/>
        <w:tc>
          <w:tcPr>
            <w:tcW w:w="6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(in thousands)</w:t>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16,747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1,254,239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(879,407)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103,743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16,889</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1,261,534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(891,782)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and comprehensive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employee stock purchase plan,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2025</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118,112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16,967</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1,267,040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(882,920)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0"/>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7"/>
      </w:tblGrid>
      <w:tr>
        <w:trPr/>
        <w:tc>
          <w:tcPr>
            <w:tcW w:w="6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(in thousands)</w:t>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124,132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16,397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1,227,849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(837,703)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131,515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16,577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1,234,214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(836,687)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3,355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and comprehensive loss</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2024</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145,820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16,695</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1,240,766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(828,935)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pPr>
      <w:r>
        <w:rPr>
          <w:color w:val="000000"/>
        </w:rPr>
        <w:t> </w:t>
      </w:r>
      <w:r>
        <w:rPr>
          <w:rFonts w:ascii="Times New Roman;serif" w:hAnsi="Times New Roman;serif"/>
          <w:b/>
          <w:color w:val="000000"/>
          <w:sz w:val="20"/>
        </w:rPr>
        <w:t>CONSOLIDATED STATEMENTS OF CASH FLOWS</w:t>
      </w:r>
    </w:p>
    <w:p>
      <w:pPr>
        <w:pStyle w:val="TextBody"/>
        <w:bidi w:val="0"/>
        <w:spacing w:lineRule="auto" w:line="288" w:before="0" w:after="0"/>
        <w:jc w:val="center"/>
        <w:rPr/>
      </w:pPr>
      <w:r>
        <w:rPr>
          <w:color w:val="000000"/>
        </w:rPr>
        <w:t> </w:t>
      </w: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09"/>
        <w:gridCol w:w="2366"/>
        <w:gridCol w:w="2373"/>
        <w:gridCol w:w="211"/>
        <w:gridCol w:w="841"/>
        <w:gridCol w:w="109"/>
        <w:gridCol w:w="109"/>
        <w:gridCol w:w="109"/>
        <w:gridCol w:w="109"/>
        <w:gridCol w:w="211"/>
        <w:gridCol w:w="736"/>
        <w:gridCol w:w="222"/>
      </w:tblGrid>
      <w:tr>
        <w:trPr/>
        <w:tc>
          <w:tcPr>
            <w:tcW w:w="280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 income and comprehensive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8,768</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impairments and disposal of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Bad debt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discount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Reduction in carrying amount of ROU asset, offset by change in 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settlement of convertible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impairment of equity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current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(52,701)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accrued expenses and other 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26,383 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765</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(5,476)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(5,474)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related to net-share settlement of stock-based compensation, net of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0.50% Convertible Senior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(151,687)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proceeds from term loan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debt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original issue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20,952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(40,578)</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increase (decrease) in cash, cash equivalents, restricted cash and restricted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(45,287)</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restricted cash and restricted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112,056 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restricted cash and restricted cash equivalents at end of period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149,131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66,769</w:t>
            </w:r>
            <w:r>
              <w:rPr>
                <w:color w:val="000000"/>
              </w:rPr>
              <w:t> </w:t>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LendingTree, Inc. is the parent of LT Intermediate Company, LLC, which holds all of the outstanding ownership interests of LendingTree, LLC, and LendingTree, LLC owns several companies (collectively, “LendingTree” or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LendingTree and all its wholly-owned entities. Intercompany transactions and accounts have been eliminated.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as of June 30, 2025 and for the three and six months ended June 30, 2025 and 2024,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2025 are not necessarily indicative of the results to be expected for the year ending December 31, 2025, or any other period. The accompanying consolidated balance sheet as of December 31, 2024 was derived from audited financial statements included in the Company's Annual Report on Form 10-K for the year ended December 31, 2024 (the “2024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2—SIGNIFICANT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estimates underlying the accompanying consolidated financial statements include: the recoverability of long-lived assets, goodwill and intangible assets; the determination of income taxes payable and deferred income taxes, including related valuation allowances; litigation accruals; contract assets; various other allowances, reserves and accruals; assumptions related to the determination of stock-based compensation; and the determination of right-of-use assets and lease liabilities.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 economic conditions worsen, such future changes may have an adverse impact on the Company's results of operations, financial position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Certain Risks and Concentrations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LendingTree's business is subject to certain risks and concentrations including dependence on third-party technology providers, exposure to risks associated with online commerce security and fraud.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concentration of credit risk at June 30, 2025,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the mortgage lending industry, interest rate fluctuations may negatively impact future revenue from the Company's marketplace.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 support services office in India, the Company's operations are geographically limited to and dependent upon the economic condition of the United States.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Settlements and Contingencies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Litigation settlements and contingencies consists of expenses related to actual or anticipated litigation settlements.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 November 2023, the Financial Accounting Standards Board ("FASB") issued Accounting Standard Update ("ASU") 2023-07 which expands annual and interim disclosure requirements for reportable segments, primarily through enhanced disclosures about significant segment expenses. This ASU was effective for annual periods beginning after December 15, 2023, and interim periods in fiscal years beginning after December 15, 2024. The Company adopted this ASU on December 31, 2024.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w:t>
      </w:r>
      <w:r>
        <w:rPr>
          <w:color w:val="000000"/>
        </w:rPr>
        <w:t>—</w:t>
      </w:r>
      <w:r>
        <w:rPr>
          <w:rFonts w:ascii="Times New Roman;serif" w:hAnsi="Times New Roman;serif"/>
          <w:b w:val="false"/>
          <w:color w:val="000000"/>
          <w:sz w:val="20"/>
        </w:rPr>
        <w:t>15 Segment Information for further information.</w:t>
      </w:r>
    </w:p>
    <w:p>
      <w:pPr>
        <w:pStyle w:val="TextBody"/>
        <w:bidi w:val="0"/>
        <w:spacing w:lineRule="auto" w:line="288" w:before="240" w:after="283"/>
        <w:jc w:val="both"/>
        <w:rPr/>
      </w:pPr>
      <w:r>
        <w:rPr>
          <w:rFonts w:ascii="Times New Roman;serif" w:hAnsi="Times New Roman;serif"/>
          <w:b/>
          <w:color w:val="000000"/>
          <w:sz w:val="20"/>
        </w:rPr>
        <w:t>Recently Issued Accounting Pronouncements</w:t>
      </w:r>
      <w:r>
        <w:rPr>
          <w:color w:val="000000"/>
        </w:rPr>
        <w:t xml:space="preserv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3—REVENUE</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Revenue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7109" w:type="dxa"/>
        <w:jc w:val="center"/>
        <w:tblInd w:w="0" w:type="dxa"/>
        <w:tblLayout w:type="fixed"/>
        <w:tblCellMar>
          <w:top w:w="28" w:type="dxa"/>
          <w:left w:w="28" w:type="dxa"/>
          <w:bottom w:w="28" w:type="dxa"/>
          <w:right w:w="28" w:type="dxa"/>
        </w:tblCellMar>
      </w:tblPr>
      <w:tblGrid>
        <w:gridCol w:w="518"/>
        <w:gridCol w:w="456"/>
        <w:gridCol w:w="465"/>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Personal loans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250,116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210,140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489,844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377,908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Consumer products is generated by match and other upfront fees for clicks or call transfers, as well as from closing fees and approval fees. Closing fees are derived from lenders on certain auto loans, business loans, and personal loans when the lender funds a loan with the consumer. Approval fees are derived from credit card issuers when the credit card consumer receives card approval from the credit card issuer.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 asset recorded within prepaid and other current assets on the consolidated balance sheets related to estimated variable consideration was $26.6 million and $20.5 million at June 30, 2025 and December 31, 2024,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There was an increase of $0.3 million in the second quarter of 2025, and there was an increase of $0.2 million in the second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4—ALLOWANCE FOR DOUBTFUL ACCOUNTS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are stated at amounts due from customers, net of an allowance for doubtful accounts.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A reconciliation of the beginning and ending balances of the allowance for doubtful accounts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670" w:type="dxa"/>
        <w:jc w:val="left"/>
        <w:tblInd w:w="0" w:type="dxa"/>
        <w:tblLayout w:type="fixed"/>
        <w:tblCellMar>
          <w:top w:w="28" w:type="dxa"/>
          <w:left w:w="28" w:type="dxa"/>
          <w:bottom w:w="28" w:type="dxa"/>
          <w:right w:w="28" w:type="dxa"/>
        </w:tblCellMar>
      </w:tblPr>
      <w:tblGrid>
        <w:gridCol w:w="1391"/>
        <w:gridCol w:w="1220"/>
        <w:gridCol w:w="122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uncollectible 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both"/>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5—GOODWILL AND INTANGIBLE ASSETS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balance of goodwill, net and intangible assets, net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023" w:type="dxa"/>
        <w:jc w:val="left"/>
        <w:tblInd w:w="0" w:type="dxa"/>
        <w:tblLayout w:type="fixed"/>
        <w:tblCellMar>
          <w:top w:w="28" w:type="dxa"/>
          <w:left w:w="28" w:type="dxa"/>
          <w:bottom w:w="28" w:type="dxa"/>
          <w:right w:w="28" w:type="dxa"/>
        </w:tblCellMar>
      </w:tblPr>
      <w:tblGrid>
        <w:gridCol w:w="1206"/>
        <w:gridCol w:w="1059"/>
        <w:gridCol w:w="1064"/>
        <w:gridCol w:w="211"/>
        <w:gridCol w:w="841"/>
        <w:gridCol w:w="109"/>
        <w:gridCol w:w="109"/>
        <w:gridCol w:w="109"/>
        <w:gridCol w:w="109"/>
        <w:gridCol w:w="211"/>
        <w:gridCol w:w="84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381,539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indefinite lives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definite lives,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40,669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43,283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Goodwill and Indefinite-Lived Intangible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goodwill at each of June 30, 2025 and December 31, 2024 consisted of $59.3 million associated with the Home segment, $166.1 million associated with the Consumer segment, and $156.1 million associated with the Insurance segment.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with indefinite lives relate to the Company's trademarks.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Intangible Assets with Definite Lives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Intangible assets with definite lives relate to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162" w:type="dxa"/>
        <w:jc w:val="left"/>
        <w:tblInd w:w="0" w:type="dxa"/>
        <w:tblLayout w:type="fixed"/>
        <w:tblCellMar>
          <w:top w:w="28" w:type="dxa"/>
          <w:left w:w="28" w:type="dxa"/>
          <w:bottom w:w="28" w:type="dxa"/>
          <w:right w:w="28" w:type="dxa"/>
        </w:tblCellMar>
      </w:tblPr>
      <w:tblGrid>
        <w:gridCol w:w="809"/>
        <w:gridCol w:w="712"/>
        <w:gridCol w:w="714"/>
        <w:gridCol w:w="211"/>
        <w:gridCol w:w="736"/>
        <w:gridCol w:w="109"/>
        <w:gridCol w:w="109"/>
        <w:gridCol w:w="109"/>
        <w:gridCol w:w="109"/>
        <w:gridCol w:w="211"/>
        <w:gridCol w:w="796"/>
        <w:gridCol w:w="109"/>
        <w:gridCol w:w="109"/>
        <w:gridCol w:w="109"/>
        <w:gridCol w:w="109"/>
        <w:gridCol w:w="211"/>
        <w:gridCol w:w="73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(39,173)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30,527</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1" w:type="dxa"/>
        <w:jc w:val="left"/>
        <w:tblInd w:w="0" w:type="dxa"/>
        <w:tblLayout w:type="fixed"/>
        <w:tblCellMar>
          <w:top w:w="28" w:type="dxa"/>
          <w:left w:w="28" w:type="dxa"/>
          <w:bottom w:w="28" w:type="dxa"/>
          <w:right w:w="28" w:type="dxa"/>
        </w:tblCellMar>
      </w:tblPr>
      <w:tblGrid>
        <w:gridCol w:w="971"/>
        <w:gridCol w:w="855"/>
        <w:gridCol w:w="858"/>
        <w:gridCol w:w="211"/>
        <w:gridCol w:w="736"/>
        <w:gridCol w:w="109"/>
        <w:gridCol w:w="109"/>
        <w:gridCol w:w="109"/>
        <w:gridCol w:w="109"/>
        <w:gridCol w:w="211"/>
        <w:gridCol w:w="796"/>
        <w:gridCol w:w="109"/>
        <w:gridCol w:w="109"/>
        <w:gridCol w:w="109"/>
        <w:gridCol w:w="109"/>
        <w:gridCol w:w="211"/>
        <w:gridCol w:w="7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(36,559)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33,141</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Amortization of intangible assets with definite lives is computed on a straight-line basis and, based on balances as of June 30, 2025, future amortization is estimated to be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5624" w:type="dxa"/>
        <w:jc w:val="left"/>
        <w:tblInd w:w="0" w:type="dxa"/>
        <w:tblLayout w:type="fixed"/>
        <w:tblCellMar>
          <w:top w:w="28" w:type="dxa"/>
          <w:left w:w="28" w:type="dxa"/>
          <w:bottom w:w="28" w:type="dxa"/>
          <w:right w:w="28" w:type="dxa"/>
        </w:tblCellMar>
      </w:tblPr>
      <w:tblGrid>
        <w:gridCol w:w="1401"/>
        <w:gridCol w:w="1231"/>
        <w:gridCol w:w="1238"/>
        <w:gridCol w:w="335"/>
        <w:gridCol w:w="1172"/>
        <w:gridCol w:w="247"/>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current year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2026</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2027</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2028</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2029</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with definite lives, net</w:t>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30,527</w:t>
            </w:r>
            <w:r>
              <w:rPr>
                <w:color w:val="000000"/>
              </w:rPr>
              <w:t> </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6—ASSETS HELD FOR SALE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approved a plan to sell its corporate aircraft. The carrying value of the asset group is $1.2 million (net of $1.6 million of accumulated depreciation) and is classified as a current asset held for sale in the consolidated balance sheet as of June 30, 2025.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8, 2025, the Company sold the aircraft to an unrelated third party for $2.5 million and incurred closing costs of $0.3 million. As a result, the Company will record a gain on the sale in the third quarter of 2025 of approximately $1.0 million. The aircraft relates to property, plant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7—EQUITY INVESTMENT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income (expense) in the consolidated statements of operations and comprehensive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recorded an impairment charge of $1.2 million on its investment in Stash Financial,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8—ACCRUED EXPENSES AND OTHER CURRENT LIABILITIES</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Accrued expenses and other current liabilities consist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7148" w:type="dxa"/>
        <w:jc w:val="left"/>
        <w:tblInd w:w="0" w:type="dxa"/>
        <w:tblLayout w:type="fixed"/>
        <w:tblCellMar>
          <w:top w:w="28" w:type="dxa"/>
          <w:left w:w="28" w:type="dxa"/>
          <w:bottom w:w="28" w:type="dxa"/>
          <w:right w:w="28" w:type="dxa"/>
        </w:tblCellMar>
      </w:tblPr>
      <w:tblGrid>
        <w:gridCol w:w="1612"/>
        <w:gridCol w:w="1418"/>
        <w:gridCol w:w="1424"/>
        <w:gridCol w:w="211"/>
        <w:gridCol w:w="841"/>
        <w:gridCol w:w="109"/>
        <w:gridCol w:w="109"/>
        <w:gridCol w:w="109"/>
        <w:gridCol w:w="109"/>
        <w:gridCol w:w="211"/>
        <w:gridCol w:w="84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and escrows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113,329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107,185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NOTE 9—SHAREHOLDERS' EQUITY</w:t>
      </w:r>
      <w:r>
        <w:rPr>
          <w:color w:val="000000"/>
        </w:rPr>
        <w:t>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Basic and diluted income per share was determined based on the following share data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657" w:type="dxa"/>
        <w:jc w:val="left"/>
        <w:tblInd w:w="0" w:type="dxa"/>
        <w:tblLayout w:type="fixed"/>
        <w:tblCellMar>
          <w:top w:w="28" w:type="dxa"/>
          <w:left w:w="28" w:type="dxa"/>
          <w:bottom w:w="28" w:type="dxa"/>
          <w:right w:w="28" w:type="dxa"/>
        </w:tblCellMar>
      </w:tblPr>
      <w:tblGrid>
        <w:gridCol w:w="1325"/>
        <w:gridCol w:w="1164"/>
        <w:gridCol w:w="1171"/>
        <w:gridCol w:w="368"/>
        <w:gridCol w:w="368"/>
        <w:gridCol w:w="178"/>
        <w:gridCol w:w="178"/>
        <w:gridCol w:w="178"/>
        <w:gridCol w:w="178"/>
        <w:gridCol w:w="368"/>
        <w:gridCol w:w="368"/>
        <w:gridCol w:w="178"/>
        <w:gridCol w:w="109"/>
        <w:gridCol w:w="109"/>
        <w:gridCol w:w="109"/>
        <w:gridCol w:w="368"/>
        <w:gridCol w:w="368"/>
        <w:gridCol w:w="156"/>
        <w:gridCol w:w="154"/>
        <w:gridCol w:w="154"/>
        <w:gridCol w:w="154"/>
        <w:gridCol w:w="368"/>
        <w:gridCol w:w="368"/>
        <w:gridCol w:w="218"/>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basic common shares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13,549</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13,257</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13,179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diluted common shares</w:t>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13,650</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13,407</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13,495</w:t>
            </w:r>
            <w:r>
              <w:rPr>
                <w:color w:val="000000"/>
              </w:rPr>
              <w:t>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13,364</w:t>
            </w:r>
            <w:r>
              <w:rPr>
                <w:color w:val="000000"/>
              </w:rPr>
              <w:t>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first six months of 2025,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first six months of 2025, because their inclusion would have been anti-dilutive. For the second quarter of 2025, the weighted average shares that were anti-dilutive, and therefore excluded from the calculation of diluted income per share, included options to purchase 0.9 million shares of common stock and an immaterial amount of restricted stock units. For the first six months of 2025, the weighted average shares that were anti-dilutive, and therefore excluded from the calculation of diluted income per share, included options to purchase 0.9 million shares of common stock and an immaterial amount of restricted stock units.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2024, the weighted average shares that were anti-dilutive, and therefore excluded from the calculation of diluted income per share, included options to purchase 1.0 million shares of common stock and 0.1 million restricted stock units. For the first six months of 2024, the weighted average shares that were anti-dilutive, and therefore excluded from the calculation of diluted income per share, included options to purchase 1.0 million shares of common stock and 0.1 million restricted stock units.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convertible notes and the warrants issued by the Company could be converted or exercised, respectively, into the Company’s common stock, subject to certain contingencies.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12</w:t>
      </w:r>
      <w:r>
        <w:rPr>
          <w:color w:val="000000"/>
        </w:rPr>
        <w:t>—</w:t>
      </w:r>
      <w:r>
        <w:rPr>
          <w:rFonts w:ascii="Times New Roman;serif" w:hAnsi="Times New Roman;serif"/>
          <w:b w:val="false"/>
          <w:color w:val="000000"/>
          <w:sz w:val="20"/>
        </w:rPr>
        <w:t>Debt for additional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0.2 million and 0.3 million shares in the second quarter and first six months of 2025, and approximately 0.6 million shares in the second quarter and first six months of 2024, respectively, associated with the 0.50% Convertible Senior Notes due July 15, 2025 were excluded from the calculation of diluted income (loss) per share because their inclusion would have been anti-dilutive. Shares of the Company's common stock associated with the warrants issued by the Company in 2020 were excluded from the calculation of diluted income (loss) per share for the second quarter and first six months of 2025 and the second quarter and first six months of 2024 as they were anti-dilutive since the strike price of the warrants was greater than the average market price of the Company's common stock during the relevant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Equity Distribution Agreement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2024, the Company entered into an Equity Distribution Agreement in connection with the establishment of an ATM Equity Program (as defined in the 2024 Term Loan (as defined herein) agreement) under which the Company may sell up to an aggregate of $50.0 million of shares of the Company's common stock. No sales were made under the Equity Distribution Agreement during the six months ended June 30,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Common Stock Repurchases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plan authorized for the repurchase of LendingTree's common stock. During the first six months of 2025 and 2024, the Company did not repurchase shares of its common stock. At June 30, 2025, approximately $96.7 million of the previous authorizations to repurchase common stock remain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10—STOCK-BASED COMPENSATION</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Non-cash compensation related to equity awards is included in the following line items in the accompanying consolidated statements of operations and comprehensive income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055" w:type="dxa"/>
        <w:jc w:val="left"/>
        <w:tblInd w:w="0" w:type="dxa"/>
        <w:tblLayout w:type="fixed"/>
        <w:tblCellMar>
          <w:top w:w="28" w:type="dxa"/>
          <w:left w:w="28" w:type="dxa"/>
          <w:bottom w:w="28" w:type="dxa"/>
          <w:right w:w="28" w:type="dxa"/>
        </w:tblCellMar>
      </w:tblPr>
      <w:tblGrid>
        <w:gridCol w:w="1090"/>
        <w:gridCol w:w="960"/>
        <w:gridCol w:w="965"/>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non-cash compensation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15,226</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stock options is as follows:</w:t>
      </w:r>
    </w:p>
    <w:tbl>
      <w:tblPr>
        <w:tblW w:w="9131" w:type="dxa"/>
        <w:jc w:val="left"/>
        <w:tblInd w:w="0" w:type="dxa"/>
        <w:tblLayout w:type="fixed"/>
        <w:tblCellMar>
          <w:top w:w="28" w:type="dxa"/>
          <w:left w:w="28" w:type="dxa"/>
          <w:bottom w:w="28" w:type="dxa"/>
          <w:right w:w="28" w:type="dxa"/>
        </w:tblCellMar>
      </w:tblPr>
      <w:tblGrid>
        <w:gridCol w:w="1248"/>
        <w:gridCol w:w="1099"/>
        <w:gridCol w:w="1102"/>
        <w:gridCol w:w="499"/>
        <w:gridCol w:w="499"/>
        <w:gridCol w:w="501"/>
        <w:gridCol w:w="109"/>
        <w:gridCol w:w="109"/>
        <w:gridCol w:w="109"/>
        <w:gridCol w:w="211"/>
        <w:gridCol w:w="736"/>
        <w:gridCol w:w="109"/>
        <w:gridCol w:w="109"/>
        <w:gridCol w:w="109"/>
        <w:gridCol w:w="109"/>
        <w:gridCol w:w="330"/>
        <w:gridCol w:w="330"/>
        <w:gridCol w:w="331"/>
        <w:gridCol w:w="109"/>
        <w:gridCol w:w="109"/>
        <w:gridCol w:w="109"/>
        <w:gridCol w:w="315"/>
        <w:gridCol w:w="608"/>
        <w:gridCol w:w="232"/>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w:t>
            </w:r>
            <w:r>
              <w:rPr>
                <w:rFonts w:ascii="Times New Roman;serif" w:hAnsi="Times New Roman;serif"/>
                <w:b/>
                <w:color w:val="000000"/>
                <w:sz w:val="10"/>
              </w:rPr>
              <w:t>(a)</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1, 2025</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371,386</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June 30, 2025</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369,786</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June 30, 2025</w:t>
            </w:r>
          </w:p>
        </w:tc>
        <w:tc>
          <w:tcPr>
            <w:tcW w:w="998"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327,834</w:t>
            </w:r>
            <w:r>
              <w:rPr>
                <w:color w:val="000000"/>
              </w:rPr>
              <w:t> </w:t>
            </w:r>
          </w:p>
        </w:tc>
        <w:tc>
          <w:tcPr>
            <w:tcW w:w="50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217.51</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4.69</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aggregate intrinsic value represents the total pre-tax intrinsic value (the difference between the Company's closing stock price of $37.07 on the last trading day of the quarter ended June 30, 2025 and the exercise price, multiplied by the number of shares covered by in-the-money options) that would have been received by the option holder had the option holder exercised these options on June 30, 2025. The intrinsic value changes based on the market value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Options with Market Conditions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stock options with market conditions at target is as follows:</w:t>
      </w:r>
    </w:p>
    <w:tbl>
      <w:tblPr>
        <w:tblW w:w="10205" w:type="dxa"/>
        <w:jc w:val="left"/>
        <w:tblInd w:w="0" w:type="dxa"/>
        <w:tblLayout w:type="fixed"/>
        <w:tblCellMar>
          <w:top w:w="28" w:type="dxa"/>
          <w:left w:w="28" w:type="dxa"/>
          <w:bottom w:w="28" w:type="dxa"/>
          <w:right w:w="28" w:type="dxa"/>
        </w:tblCellMar>
      </w:tblPr>
      <w:tblGrid>
        <w:gridCol w:w="1122"/>
        <w:gridCol w:w="988"/>
        <w:gridCol w:w="991"/>
        <w:gridCol w:w="1008"/>
        <w:gridCol w:w="971"/>
        <w:gridCol w:w="974"/>
        <w:gridCol w:w="109"/>
        <w:gridCol w:w="109"/>
        <w:gridCol w:w="109"/>
        <w:gridCol w:w="211"/>
        <w:gridCol w:w="736"/>
        <w:gridCol w:w="109"/>
        <w:gridCol w:w="109"/>
        <w:gridCol w:w="109"/>
        <w:gridCol w:w="109"/>
        <w:gridCol w:w="330"/>
        <w:gridCol w:w="330"/>
        <w:gridCol w:w="331"/>
        <w:gridCol w:w="109"/>
        <w:gridCol w:w="109"/>
        <w:gridCol w:w="109"/>
        <w:gridCol w:w="305"/>
        <w:gridCol w:w="589"/>
        <w:gridCol w:w="229"/>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 with Market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w:t>
            </w:r>
            <w:r>
              <w:rPr>
                <w:rFonts w:ascii="Times New Roman;serif" w:hAnsi="Times New Roman;serif"/>
                <w:b/>
                <w:color w:val="000000"/>
                <w:sz w:val="10"/>
              </w:rPr>
              <w:t>(a)</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option)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1, 2025</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699,312</w:t>
            </w: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(217,643)</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June 30, 2025</w:t>
            </w:r>
          </w:p>
        </w:tc>
        <w:tc>
          <w:tcPr>
            <w:tcW w:w="1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481,669</w:t>
            </w:r>
            <w:r>
              <w:rPr>
                <w:color w:val="000000"/>
              </w:rPr>
              <w:t>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June 30, 2025</w:t>
            </w:r>
          </w:p>
        </w:tc>
        <w:tc>
          <w:tcPr>
            <w:tcW w:w="1979"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481,669</w:t>
            </w:r>
            <w:r>
              <w:rPr>
                <w:color w:val="000000"/>
              </w:rPr>
              <w:t> </w:t>
            </w:r>
          </w:p>
        </w:tc>
        <w:tc>
          <w:tcPr>
            <w:tcW w:w="97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195.10</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aggregate intrinsic value represents the total pre-tax intrinsic value (the difference between the Company's closing stock price of $37.07 on the last trading day of the quarter ended June 30, 2025 and the exercise price, multiplied by the number of shares covered by in-the-money options) that would have been received by the option holder had the option holder exercised these options on June 30, 2025. The intrinsic value changes based on the market value of the Company's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no additional performance-based nonqualified stock options with a market condition had been earned or remain available to be earned.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nonvested restricted stock units (“RSUs”) is as follows:</w:t>
      </w:r>
    </w:p>
    <w:tbl>
      <w:tblPr>
        <w:tblW w:w="7498" w:type="dxa"/>
        <w:jc w:val="left"/>
        <w:tblInd w:w="0" w:type="dxa"/>
        <w:tblLayout w:type="fixed"/>
        <w:tblCellMar>
          <w:top w:w="28" w:type="dxa"/>
          <w:left w:w="28" w:type="dxa"/>
          <w:bottom w:w="28" w:type="dxa"/>
          <w:right w:w="28" w:type="dxa"/>
        </w:tblCellMar>
      </w:tblPr>
      <w:tblGrid>
        <w:gridCol w:w="951"/>
        <w:gridCol w:w="834"/>
        <w:gridCol w:w="840"/>
        <w:gridCol w:w="450"/>
        <w:gridCol w:w="450"/>
        <w:gridCol w:w="436"/>
        <w:gridCol w:w="109"/>
        <w:gridCol w:w="109"/>
        <w:gridCol w:w="109"/>
        <w:gridCol w:w="680"/>
        <w:gridCol w:w="2034"/>
        <w:gridCol w:w="496"/>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January 1,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569,460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46.37</w:t>
            </w: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531,690 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(260,660)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30, 2025</w:t>
            </w:r>
          </w:p>
        </w:tc>
        <w:tc>
          <w:tcPr>
            <w:tcW w:w="9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816,433</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41.28</w:t>
            </w:r>
            <w:r>
              <w:rPr>
                <w:color w:val="000000"/>
              </w:rPr>
              <w:t> </w:t>
            </w:r>
          </w:p>
        </w:tc>
        <w:tc>
          <w:tcPr>
            <w:tcW w:w="4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Stock Units with Market Conditions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nonvested RSUs with performance conditions is as follows:</w:t>
      </w:r>
    </w:p>
    <w:tbl>
      <w:tblPr>
        <w:tblW w:w="7645" w:type="dxa"/>
        <w:jc w:val="left"/>
        <w:tblInd w:w="0" w:type="dxa"/>
        <w:tblLayout w:type="fixed"/>
        <w:tblCellMar>
          <w:top w:w="28" w:type="dxa"/>
          <w:left w:w="28" w:type="dxa"/>
          <w:bottom w:w="28" w:type="dxa"/>
          <w:right w:w="28" w:type="dxa"/>
        </w:tblCellMar>
      </w:tblPr>
      <w:tblGrid>
        <w:gridCol w:w="951"/>
        <w:gridCol w:w="834"/>
        <w:gridCol w:w="840"/>
        <w:gridCol w:w="434"/>
        <w:gridCol w:w="434"/>
        <w:gridCol w:w="436"/>
        <w:gridCol w:w="169"/>
        <w:gridCol w:w="169"/>
        <w:gridCol w:w="169"/>
        <w:gridCol w:w="680"/>
        <w:gridCol w:w="2034"/>
        <w:gridCol w:w="49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 with Market Conditions (a)</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January 1, 2025</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46,000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35.24</w:t>
            </w: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30, 2025</w:t>
            </w:r>
          </w:p>
        </w:tc>
        <w:tc>
          <w:tcPr>
            <w:tcW w:w="86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134,500</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34.14</w:t>
            </w:r>
            <w:r>
              <w:rPr>
                <w:color w:val="000000"/>
              </w:rPr>
              <w:t> </w:t>
            </w:r>
          </w:p>
        </w:tc>
        <w:tc>
          <w:tcPr>
            <w:tcW w:w="4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(a)During the six months ended June 30, 2025, the Company granted RSUs with market conditions that will vest if the Company's 90 trading day average closing stock prices equals or exceeds certain price hurdles ($60.00, $75.00 and $90.00) during the performance period of March 10, 2025 to March 10, 2029. Upon achievement of each price hurdle, one-half of the awards will vest immediately, and the other half of the awards will vest on the first anniversary of the achievement date.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purposes of determining stock-based compensation expense, the weighted average grant date fair value per share of the RSUs with market conditions was estimated using the Monte Carlo simulation model, which requires the use of various key assumptions.</w:t>
      </w:r>
    </w:p>
    <w:tbl>
      <w:tblPr>
        <w:tblW w:w="4410" w:type="dxa"/>
        <w:jc w:val="left"/>
        <w:tblInd w:w="0" w:type="dxa"/>
        <w:tblLayout w:type="fixed"/>
        <w:tblCellMar>
          <w:top w:w="28" w:type="dxa"/>
          <w:left w:w="28" w:type="dxa"/>
          <w:bottom w:w="28" w:type="dxa"/>
          <w:right w:w="28" w:type="dxa"/>
        </w:tblCellMar>
      </w:tblPr>
      <w:tblGrid>
        <w:gridCol w:w="744"/>
        <w:gridCol w:w="654"/>
        <w:gridCol w:w="657"/>
        <w:gridCol w:w="326"/>
        <w:gridCol w:w="245"/>
        <w:gridCol w:w="560"/>
        <w:gridCol w:w="326"/>
        <w:gridCol w:w="245"/>
        <w:gridCol w:w="653"/>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term </w:t>
            </w:r>
            <w:r>
              <w:rPr>
                <w:rFonts w:ascii="Times New Roman;serif" w:hAnsi="Times New Roman;serif"/>
                <w:b w:val="false"/>
                <w:color w:val="000000"/>
                <w:sz w:val="13"/>
              </w:rPr>
              <w:t>(1)</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years</w:t>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volatility </w:t>
            </w:r>
            <w:r>
              <w:rPr>
                <w:rFonts w:ascii="Times New Roman;serif" w:hAnsi="Times New Roman;serif"/>
                <w:b w:val="false"/>
                <w:color w:val="000000"/>
                <w:sz w:val="13"/>
              </w:rPr>
              <w:t>(2)</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Risk-free interest rate </w:t>
            </w:r>
            <w:r>
              <w:rPr>
                <w:rFonts w:ascii="Times New Roman;serif" w:hAnsi="Times New Roman;serif"/>
                <w:b w:val="false"/>
                <w:color w:val="000000"/>
                <w:sz w:val="13"/>
              </w:rPr>
              <w:t>(3)</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dividend </w:t>
            </w:r>
            <w:r>
              <w:rPr>
                <w:rFonts w:ascii="Times New Roman;serif" w:hAnsi="Times New Roman;serif"/>
                <w:b w:val="false"/>
                <w:color w:val="000000"/>
                <w:sz w:val="13"/>
              </w:rPr>
              <w:t>(4)</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expected term of RSUs with market conditions granted was calculated using the respective performance period plus any time-based vesting requirement.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expected volatility rate is based on the historical volatility of the Company's common stock.</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risk-free interest rate is specific to the date of grant. The risk-free interest rate is based on U.S. Treasury yields for notes with comparable expected terms as the awards in effect at the grant date.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(4)For all RSUs with market conditions granted, no dividends are expected to be paid over the contractual term of the stock options, resulting in a zero expected dividend rate.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the Company implemented an employee stock purchase plan (“ESPP”), under which a total of 262,731 shares of the Company's common stock were reserved for issuance. As of June 30, 2025, 94,518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six months ended June 30, 2025, 22,056 shares were issued under the ESPP.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the Company granted employee stock purchase rights to certain employees with a grant date fair value per share of $13.70 and $11.27, respectively, calculated using the Black-Scholes option pricing model. For purposes of determining stock-based compensation expense, the grant date fair value per share estimated using the Black-Scholes option pricing model required the use of the following key assumptions:</w:t>
      </w:r>
    </w:p>
    <w:tbl>
      <w:tblPr>
        <w:tblW w:w="4522" w:type="dxa"/>
        <w:jc w:val="left"/>
        <w:tblInd w:w="0" w:type="dxa"/>
        <w:tblLayout w:type="fixed"/>
        <w:tblCellMar>
          <w:top w:w="28" w:type="dxa"/>
          <w:left w:w="28" w:type="dxa"/>
          <w:bottom w:w="28" w:type="dxa"/>
          <w:right w:w="28" w:type="dxa"/>
        </w:tblCellMar>
      </w:tblPr>
      <w:tblGrid>
        <w:gridCol w:w="744"/>
        <w:gridCol w:w="654"/>
        <w:gridCol w:w="657"/>
        <w:gridCol w:w="260"/>
        <w:gridCol w:w="251"/>
        <w:gridCol w:w="516"/>
        <w:gridCol w:w="117"/>
        <w:gridCol w:w="117"/>
        <w:gridCol w:w="117"/>
        <w:gridCol w:w="255"/>
        <w:gridCol w:w="256"/>
        <w:gridCol w:w="578"/>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term </w:t>
            </w:r>
            <w:r>
              <w:rPr>
                <w:rFonts w:ascii="Times New Roman;serif" w:hAnsi="Times New Roman;serif"/>
                <w:b w:val="false"/>
                <w:color w:val="000000"/>
                <w:sz w:val="13"/>
              </w:rPr>
              <w:t>(1)</w:t>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years</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dividend </w:t>
            </w:r>
            <w:r>
              <w:rPr>
                <w:rFonts w:ascii="Times New Roman;serif" w:hAnsi="Times New Roman;serif"/>
                <w:b w:val="false"/>
                <w:color w:val="000000"/>
                <w:sz w:val="13"/>
              </w:rPr>
              <w:t>(2)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volatility </w:t>
            </w:r>
            <w:r>
              <w:rPr>
                <w:rFonts w:ascii="Times New Roman;serif" w:hAnsi="Times New Roman;serif"/>
                <w:b w:val="false"/>
                <w:color w:val="000000"/>
                <w:sz w:val="13"/>
              </w:rPr>
              <w:t>(3)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Risk-free interest rate </w:t>
            </w:r>
            <w:r>
              <w:rPr>
                <w:rFonts w:ascii="Times New Roman;serif" w:hAnsi="Times New Roman;serif"/>
                <w:b w:val="false"/>
                <w:color w:val="000000"/>
                <w:sz w:val="13"/>
              </w:rPr>
              <w:t>(4)</w:t>
            </w:r>
          </w:p>
        </w:tc>
        <w:tc>
          <w:tcPr>
            <w:tcW w:w="511" w:type="dxa"/>
            <w:gridSpan w:val="2"/>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516" w:type="dxa"/>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578"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expected term was calculated using the time period between the grant date and the purchase date.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(2)No dividends are expected to be paid, resulting in a zero expected dividend rate.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expected volatility rate is based on the historical volatility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risk-free interest rate is specific to the date of grant. The risk-free interest rate is based on U.S. Treasury yields for notes with comparable expected terms as the employee stock purchase rights in effect at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11—INCOME TAXES</w:t>
      </w:r>
    </w:p>
    <w:tbl>
      <w:tblPr>
        <w:tblW w:w="7952" w:type="dxa"/>
        <w:jc w:val="left"/>
        <w:tblInd w:w="0" w:type="dxa"/>
        <w:tblLayout w:type="fixed"/>
        <w:tblCellMar>
          <w:top w:w="28" w:type="dxa"/>
          <w:left w:w="28" w:type="dxa"/>
          <w:bottom w:w="28" w:type="dxa"/>
          <w:right w:w="28" w:type="dxa"/>
        </w:tblCellMar>
      </w:tblPr>
      <w:tblGrid>
        <w:gridCol w:w="890"/>
        <w:gridCol w:w="783"/>
        <w:gridCol w:w="786"/>
        <w:gridCol w:w="211"/>
        <w:gridCol w:w="691"/>
        <w:gridCol w:w="271"/>
        <w:gridCol w:w="109"/>
        <w:gridCol w:w="109"/>
        <w:gridCol w:w="109"/>
        <w:gridCol w:w="211"/>
        <w:gridCol w:w="691"/>
        <w:gridCol w:w="271"/>
        <w:gridCol w:w="109"/>
        <w:gridCol w:w="109"/>
        <w:gridCol w:w="109"/>
        <w:gridCol w:w="211"/>
        <w:gridCol w:w="466"/>
        <w:gridCol w:w="271"/>
        <w:gridCol w:w="109"/>
        <w:gridCol w:w="109"/>
        <w:gridCol w:w="109"/>
        <w:gridCol w:w="211"/>
        <w:gridCol w:w="691"/>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percentages)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90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17.7 </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17.9 </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12.9 </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20.4 </w:t>
            </w:r>
          </w:p>
        </w:tc>
        <w:tc>
          <w:tcPr>
            <w:tcW w:w="316"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and first six months of 2025, and the second quarter and first six months of 2024 the effective tax rate varied from the federal statutory rate of 21% primarily due to the change in the valuation allowance, net of the current period change in tax effected net indefinite-lived intangibles and current tax expense on taxable income.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will adopt the One Big Beautiful Bill Act, which includes provisions impacting various aspects of the Company's tax obligations, including research and development expensing and 163(j) of the Internal Revenue Code limitation changes. The impact of these changes on the Company's financial statements is being evaluated and will be disclosed in future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12—DEBT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Convertible Senior Notes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2025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2020, the Company issued $575.0 million aggregate principal amount of its 0.50% Convertible Senior Notes due July 15, 2025 (the “2025 Notes”) in a private placement. The 2025 Notes accrued interest at a rate of 0.50% per year, payable semi-annually on January 15 and July 15 of each year, beginning on January 15, 2021. The 2025 Notes matured on July 15, 2025. The conversion rate of the 2025 Notes was 2.1683 shares of the Company's common stock per $1,000 principal amount of 2025 Notes (which is equivalent to an initial conversion price of approximately $461.19 per share).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2025 the Company repaid the $95.3 million outstanding principal amount of the 2025 Notes upon maturity in cash plus $0.2 million of accrued interest. Upon this repayment, the 2025 Notes were extinguished and repaid in full and the Company has no further obligations with respect to the 2025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the Company repurchased approximately $20.0 million of its 2025 Notes, through individual privately-negotiated transactions with certain holders of the 2025 Notes, for $19.7 million in cash plus an immaterial amount of accrued and unpaid interest. The repurchase resulted in a $0.3 million gain on the extinguishment of debt which is included in interest expense, net in the consolidated statement of operations and comprehensive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2023 and 2024, the Company repurchased $459.7 million in principal amount of the 2025 Notes. The remaining balance outstanding on the 2025 Notes as of June 30, 2025 was $95.3 million and matured in July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2025 Notes, on or after March 13, 2025, until the close of business on the second scheduled trading day immediately preceding the maturity date of the 2025 Notes, holders of the 2025 Notes could convert all or a portion of their 2025 Notes regardless of the foregoing conditions. There have been no conversions in the second quarter of 2025.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2025, the Company recorded interest expense on the 2025 Notes of $0.6 million which consisted of $0.3 million associated with the 0.50% coupon rate and $0.3 million associated with the amortization of the debt issuance costs. In the first six months of 2024, the Company recorded interest expense on the 2025 Notes of $1.3 million which consisted of $0.6 million associated with the 0.50% coupon rate and $0.7 million associated with the amortization of the debt issuance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fair value of the 2025 Notes was estimated to be approximately $95.3 million using the Level 1 observable input of the last quoted market price on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A summary of the gross carrying amount, debt issuance costs, and net carrying value of the 2025 Notes, all of which was recorded as a current liability in the June 30, 2025 consolidated balance sheet,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4539" w:type="dxa"/>
        <w:jc w:val="center"/>
        <w:tblInd w:w="0" w:type="dxa"/>
        <w:tblLayout w:type="fixed"/>
        <w:tblCellMar>
          <w:top w:w="28" w:type="dxa"/>
          <w:left w:w="28" w:type="dxa"/>
          <w:bottom w:w="28" w:type="dxa"/>
          <w:right w:w="28" w:type="dxa"/>
        </w:tblCellMar>
      </w:tblPr>
      <w:tblGrid>
        <w:gridCol w:w="705"/>
        <w:gridCol w:w="620"/>
        <w:gridCol w:w="625"/>
        <w:gridCol w:w="211"/>
        <w:gridCol w:w="736"/>
        <w:gridCol w:w="109"/>
        <w:gridCol w:w="109"/>
        <w:gridCol w:w="109"/>
        <w:gridCol w:w="109"/>
        <w:gridCol w:w="211"/>
        <w:gridCol w:w="84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95,286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114,976</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Convertible Note Hedge and Warrant Transactions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2020 Hedge and Warrants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2020, in connection with the issuance of the 2025 Notes, the Company entered into Convertible Note Hedge (the “2020 Hedge”) and warrant transactions with respect to the Company’s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expired on July 15, 2025 upon the maturity of the 2025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 The 2020 Warrants expired on July 15, 2025 upon the maturity of the 2025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outstanding portion of the 2020 Hedge covered 0.2 million shares of the Company's common stock and 2020 Warrants to acquire 0.2 million shares of the Company's common stock remained outstanding.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2021 Credit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2021, the Company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$242.5 million of borrowings outstanding under the 2021 Term Loan bearing interest at the SOFR option rate of 8.4% and had no borrowings under the Revolving Facility. As of December 31, 2024, the Company had $243.8 million of borrowings outstanding under the 2021 Term Loan and no borrowings under the Revolving Facility. As of June 30, 2025, borrowings of $2.5 million under the 2021 Term Loan are recorded as current portion of long-term debt on the consolidated balance sheet.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at June 30,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2025, the Company recorded interest expense related to its Revolving Facility of $1.0 million which consisted of $0.5 million in unused commitment fees and $0.5 million associated with the amortization of the debt issuance costs. In the first six months of 2025, the Company recorded interest expense related to the 2021 Term Loan of $10.3 million associated with borrowings bearing interest at the SOFR option rate.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2024, the Company recorded interest expense related to its Revolving Facility of $0.9 million which consisted of $0.4 million in unused commitment fees and $0.5 million associated with the amortization of the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issuance costs. In the first six months of 2024, the Company recorded interest expense related to the 2021 Term Loan of $11.4 million associated with borrowings bearing interest at the SOFR option rate.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2024 Term Loan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2024, the Company entered into a $175.0 million first lien term loan facility (the “2024 Term Loan”), which matures on March 27, 2031. The Company drew $125.0 million of the 2024 Term Loan upon closing and drew the remaining $50.0 million on March 27, 2025. The Company incurred fees of $0.5 million in the first quarter of 2025 in connection with the $50.0 million delayed draw.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$160.3 million borrowings outstanding under the 2024 Term Loan bearing interest based on the SOFR rate of 10.1%. As of June 30, 2025, borrowings of $8.8 million under the 2024 Term Loan are recorded as current portion of long-term debt on the consolidated balance sheet.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at June 30,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2025, the Company recorded interest expense related to the 2024 Term Loan of $7.8 million which consisted of $7.1 million associated with borrowings bearing interest based on the SOFR rate, $0.2 million associated with unused commitment fees, $0.3 million associated with the amortization of debt issuance costs, and $0.2 million associated with the accretion of the original issue discount.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2024, the Company recorded interest expense related to the 2024 Term Loan of $4.2 million which consisted of $3.7 million associated with borrowings bearing interest based on the SOFR rate, $0.2 million associated with unused commitment fees, $0.2 million associated with the amortization of debt issuance costs, and $0.1 million associated with the accretion of the original issue discount.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gross carrying amount, debt issuance costs, original issue discount, and net carrying value of the 2024 Term Loan in the June 30, 2025 consolidated balance sheet, are as follows (in thousands):</w:t>
      </w:r>
    </w:p>
    <w:tbl>
      <w:tblPr>
        <w:tblW w:w="6200" w:type="dxa"/>
        <w:jc w:val="left"/>
        <w:tblInd w:w="0" w:type="dxa"/>
        <w:tblLayout w:type="fixed"/>
        <w:tblCellMar>
          <w:top w:w="28" w:type="dxa"/>
          <w:left w:w="28" w:type="dxa"/>
          <w:bottom w:w="28" w:type="dxa"/>
          <w:right w:w="28" w:type="dxa"/>
        </w:tblCellMar>
      </w:tblPr>
      <w:tblGrid>
        <w:gridCol w:w="1106"/>
        <w:gridCol w:w="973"/>
        <w:gridCol w:w="981"/>
        <w:gridCol w:w="211"/>
        <w:gridCol w:w="841"/>
        <w:gridCol w:w="109"/>
        <w:gridCol w:w="109"/>
        <w:gridCol w:w="109"/>
        <w:gridCol w:w="109"/>
        <w:gridCol w:w="211"/>
        <w:gridCol w:w="841"/>
        <w:gridCol w:w="109"/>
        <w:gridCol w:w="491"/>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Portion</w:t>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145,110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102,874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13—CONTINGENCIES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party to litigation involving property, contract, intellectual property and a variety of other claims. The amounts that may be incurred in such matters may be subject to insurance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litigation settlement accruals of $19.1 million and $3.9 million, respectively. The litigation settlement accruals relate to litigation matters that were either settled, a firm offer for settlement was extended or an estimated settlement range has been determined, thereby establishing an accrual amount that is both probable and reasonably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or about October 29, 2019, Joseph Mantha filed a class action lawsuit against QuoteWizard.com, LLC alleging claims in violation of the Telephone Consumer Protection Act. On August 16, 2024, the U.S. District Court of Massachusetts granted the plaintiff’s motion to certify a class. The Company participated in a mediation in April 2025 and reached a preliminary agreement on the terms of settlement. The settlement is not final and is subject to approval by the court. The court approved a Motion for Preliminary Approval of Settlement on May 22, 2025, and a hearing for final approval of settlement has been scheduled for September 29, 2025. An estimated liability of $19.0 million for this matter is included in the accompanying consolidated balance sheet as of June 30, 2025. The settlement is payable in three equal installments, with the first payment due in the fourth quarter of 2025, the second payment due in the first quarter of 2026 and the final payment due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14—FAIR VALUE MEASUREMENTS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Other than the convertible notes and warrants, as well as the equity investments, the carrying amounts of the Company's financial instruments are equal to fair value at June 30, 2025.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12—Debt for additional information on the convertible notes and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15—SEGMENT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(the "CODM"), the Company's Chief Executive Officer, for the purpose of assessing performance and allocating resources.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Home segment includes the following products: purchase mortgage, refinance mortgage, and home equity loans and lines of credit. The Consumer segment includes the following products: credit cards, personal loans, small business loans, auto loans, deposit accounts, and other credit products. The Insurance segment consists of insurance quote products and sales of insurance policies in the agency businesses. The insurance agency business was closed in the second quarter of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tbl>
      <w:tblPr>
        <w:tblW w:w="758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73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39,996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10,770</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9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736"/>
        <w:gridCol w:w="109"/>
        <w:gridCol w:w="196"/>
        <w:gridCol w:w="24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26,912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72,488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9,438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tbl>
      <w:tblPr>
        <w:tblW w:w="767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736"/>
        <w:gridCol w:w="109"/>
        <w:gridCol w:w="196"/>
        <w:gridCol w:w="73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164,091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(4,035)</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8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736"/>
        <w:gridCol w:w="109"/>
        <w:gridCol w:w="196"/>
        <w:gridCol w:w="736"/>
        <w:gridCol w:w="109"/>
        <w:gridCol w:w="196"/>
        <w:gridCol w:w="24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69,814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143,010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CODM does not review information on segment assets and as such, no segment asset information is reported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16—SUBSEQUENT EVENTS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On July 15, 2025 the Company repaid the $95.3 million outstanding principal amount of the 2025 Notes upon maturity in cash. Upon this repayment, the 2025 Notes were extinguished and repaid in full and the Company has no further obligations with respect to the 2025 Notes</w:t>
      </w:r>
      <w:r>
        <w:rPr>
          <w:rFonts w:ascii="Aptos;san-serif" w:hAnsi="Aptos;san-serif"/>
          <w:b w:val="false"/>
          <w:color w:val="000000"/>
          <w:sz w:val="22"/>
        </w:rPr>
        <w:t>.</w:t>
      </w:r>
    </w:p>
    <w:p>
      <w:pPr>
        <w:pStyle w:val="TextBody"/>
        <w:bidi w:val="0"/>
        <w:spacing w:before="300" w:after="283"/>
        <w:ind w:left="0" w:right="0" w:firstLine="360"/>
        <w:jc w:val="both"/>
        <w:rPr/>
      </w:pPr>
      <w:r>
        <w:rPr/>
      </w:r>
    </w:p>
    <w:p>
      <w:pPr>
        <w:pStyle w:val="TextBody"/>
        <w:bidi w:val="0"/>
        <w:spacing w:before="3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included elsewhere in this Quarterly Report on Form 10-Q and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the Company's Annual Report on Form 10-K for the year ended December 31, 2024 (the "2024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LendingTree, Inc. is the parent of LT Intermediate Company, LLC, which holds all of the outstanding ownership interests of LendingTree, LLC, and LendingTree, LLC owns several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and other related offerings. In addition, we offer consumers tools and resources, including free credit scores, that facilitate comparison shopping for loans, deposit products, insurance, and other offerings. We seek to match to match consumers with multiple providers, who can provide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Spring platform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and see recommended credit score improvement actions, and loans or other products offered by LendingTree.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Economic Conditions</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current global economic environment, specifically including inflationary pressures and interest rates, and any resulting impacts on our financial position and results of operations. Refer to Part I, Item 1A. “Risk Factors” of our 2024 Annual Report for additional information.</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challenging interest rate environment and inflationary pressures have continued to present challenges for many of our mortgage lending partners. In our Home segment, mortgage rates have remained relatively consistent in the second quarter of 2025 compared to the fourth quarter of 2024 and second quarter of 2024, but significantly increased compared to the second quarter of 2022. The increased mortgage rates continue to cause reduced refinance volumes and continue to put pressure on purchase activity. In our Insurance segment, demand from our carrier partners remain at relatively elevated levels and we continue to be optimistic about the remainder of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three reportable segments: Home, Consumer, and Insurance.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Recent Mortgage Interest Rate Trends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may be adversely affected by the overall reduced demand for refinancing in a rising rate environment.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dynamically adjust selling and marketing expenditures in all interest rate environments to optimize our results against these variables.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 to Freddie Mac, the monthly average 30-year mortgage interest rates increased from a monthly average of 6.72% in December 2024 to a monthly average of 6.82% in June 2025. On a quarterly basis, 30-year mortgage interest rates in the second quarter of 2025 averaged 6.79%, compared to 6.99% in the second quarter of 2024 and 6.65% in the fourth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before="160" w:after="283"/>
        <w:jc w:val="both"/>
        <w:rPr/>
      </w:pPr>
      <w:r>
        <w:rPr/>
        <w:drawing>
          <wp:inline distT="0" distB="0" distL="0" distR="0">
            <wp:extent cx="6515100" cy="4657725"/>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6515100" cy="4657725"/>
                    </a:xfrm>
                    <a:prstGeom prst="rect">
                      <a:avLst/>
                    </a:prstGeom>
                  </pic:spPr>
                </pic:pic>
              </a:graphicData>
            </a:graphic>
          </wp:inline>
        </w:drawing>
      </w:r>
      <w:bookmarkStart w:id="1" w:name="i-2"/>
      <w:bookmarkEnd w:id="1"/>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33% of total mortgage origination dollars in the second quarter of 2025 compared to 38% in the fourth quarter of 2024 and increased when compared to 22% in the second quarter of 2024. In the second quarter of 2025, total refinance origination dollars decreased 4% from the fourth quarter of 2024 and increased 96% from the second quarter of 2024. Industry-wide mortgage origination dollars in the second quarter of 2025 increased 11% from the fourth quarter of 2024 and increased 28% from second quarter of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 to MBA projections, the mix of mortgage origination dollars is expected to continue to be weighted towards purchase mortgages with the refinance share representing approximately 33% for 2025 compared to 28% in 2024.</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U.S. Real Estate Market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 to Fannie Mae data, existing home sales decreased approximately 3% in the second quarter of 2025 compared to the fourth quarter of 2024, and increased approximately 1% compared to the second quarter of 2024. Fannie Mae predicts an overall increase in existing-home sales of approximately 3% in 2025 compared to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Spring</w:t>
      </w:r>
      <w:r>
        <w:rPr>
          <w:rFonts w:ascii="Times New Roman;serif" w:hAnsi="Times New Roman;serif"/>
          <w:b/>
          <w:color w:val="000000"/>
          <w:sz w:val="13"/>
        </w:rPr>
        <w:t>TM</w:t>
      </w:r>
    </w:p>
    <w:p>
      <w:pPr>
        <w:pStyle w:val="TextBody"/>
        <w:bidi w:val="0"/>
        <w:spacing w:lineRule="auto" w:line="288" w:before="180" w:after="283"/>
        <w:ind w:left="0" w:right="0" w:firstLine="360"/>
        <w:jc w:val="both"/>
        <w:rPr/>
      </w:pPr>
      <w:r>
        <w:rPr>
          <w:rFonts w:ascii="Times New Roman;serif" w:hAnsi="Times New Roman;serif"/>
          <w:b w:val="false"/>
          <w:color w:val="000000"/>
          <w:sz w:val="20"/>
        </w:rPr>
        <w:t>We consider certain metrics related to LendingTree Spring</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("Spring") set forth below to help us evaluate our business and growth trends and assess operational efficiencies. We believe our Spring platform drives repeat user engagement resulting in lower acquisition costs and increases consumer lifetime value. The calculation of the metrics discussed below may differ from other similarly titled metrics used by other companies, securities analysts or investors.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added 0.5 million net new users in the second quarter of 2025, bringing cumulative active users to 32.6 million as of June 30, 2025. We calculate the number of Spring users at a period end as the number of users that had an active account at any point during the quarter that includes the period end date. Users that deactivated their accounts prior to the most recent quarter are no longer considered in the user base at the end of the most recent quarter. We attribute approximately $4.9 million of revenue, or 2% of total revenue, in the second quarter of 2025 to registered Spring users who initiated their transaction from the Spring platform. During the second quarter of 2025, approximately 0.3 million Spring users initiated a transaction from the Spring platform that contributed to revenue.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Convertible Note Maturity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2025 we repaid the $95.3 million outstanding principal amount of our 0.50% Convertible Senior Notes ("2025 Notes") upon maturity in cash plus $0.2 million of accrued interest. Upon this repayment, the 2025 Notes were extinguished and repaid in full and the Company has no further obligations with respect to the 2025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2025 and 2024</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 </w:t>
      </w:r>
    </w:p>
    <w:tbl>
      <w:tblPr>
        <w:tblW w:w="10205" w:type="dxa"/>
        <w:jc w:val="center"/>
        <w:tblInd w:w="0" w:type="dxa"/>
        <w:tblLayout w:type="fixed"/>
        <w:tblCellMar>
          <w:top w:w="28" w:type="dxa"/>
          <w:left w:w="28" w:type="dxa"/>
          <w:bottom w:w="28" w:type="dxa"/>
          <w:right w:w="28" w:type="dxa"/>
        </w:tblCellMar>
      </w:tblPr>
      <w:tblGrid>
        <w:gridCol w:w="1008"/>
        <w:gridCol w:w="600"/>
        <w:gridCol w:w="606"/>
        <w:gridCol w:w="196"/>
        <w:gridCol w:w="646"/>
        <w:gridCol w:w="109"/>
        <w:gridCol w:w="196"/>
        <w:gridCol w:w="646"/>
        <w:gridCol w:w="109"/>
        <w:gridCol w:w="196"/>
        <w:gridCol w:w="571"/>
        <w:gridCol w:w="109"/>
        <w:gridCol w:w="277"/>
        <w:gridCol w:w="279"/>
        <w:gridCol w:w="377"/>
        <w:gridCol w:w="109"/>
        <w:gridCol w:w="109"/>
        <w:gridCol w:w="109"/>
        <w:gridCol w:w="196"/>
        <w:gridCol w:w="646"/>
        <w:gridCol w:w="109"/>
        <w:gridCol w:w="196"/>
        <w:gridCol w:w="646"/>
        <w:gridCol w:w="109"/>
        <w:gridCol w:w="196"/>
        <w:gridCol w:w="672"/>
        <w:gridCol w:w="109"/>
        <w:gridCol w:w="321"/>
        <w:gridCol w:w="325"/>
        <w:gridCol w:w="428"/>
      </w:tblGrid>
      <w:tr>
        <w:trPr/>
        <w:tc>
          <w:tcPr>
            <w:tcW w:w="100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39,976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377,908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i/>
                <w:color w:val="000000"/>
                <w:sz w:val="18"/>
              </w:rPr>
              <w:t>(exclusive of depreciation and amortization shown separately below)</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476,029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(137)</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and comprehensive income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8,862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7,752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8,768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(12,281)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(140)</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in the second quarter and first six months of 2025 compared to the second quarter and first six months of 2024 due to increases in our Insurance, Home and Consumers segments.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our Insurance segment increased $25.1 million, or 21%, to $147.2 million in the second quarter of 2025 from $122.1 million in the second quarter of 2024. The increase in revenue was due to a 19% increase in volume, representing $23.2 million of the increase, and a 2% increase in revenue earned per consumer, representing $1.9 million of the increase. Revenue from our Insurance segment increased $85.9 million, or 41%, to $293.8 million in the first six months of 2025 from $207.9 million in the first six months of 2024. The increase in revenue was due to a 20% increase in volume, representing $49.5 million of the increase, and a 17% increase in revenue earned per consumer, representing $36.4 million of the increase. We measure volume for our insurance product as the number of consumer request forms and, in certain cases re-engagement with a consumer, the number of such subsequent consumer engagements through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Our Home se</w:t>
      </w:r>
      <w:r>
        <w:rPr>
          <w:rFonts w:ascii="Times New Roman;serif" w:hAnsi="Times New Roman;serif"/>
          <w:b w:val="false"/>
          <w:color w:val="000000"/>
          <w:sz w:val="20"/>
        </w:rPr>
        <w:t>gment includes the following products: purchase mortgage, refinance mortgage, and home equity loans and lines of credit. Revenue from our Home segment increased $8.3 million, or 26%, in the second quarter of 2025 from the second quarter of 2024 and increased $14.8 million, or 24%, in the first six months of 2025 from the first six months of 2024 primarily due to increases in revenue from our home equity loans.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our home equity loans product increased $8.3 million, or 38%, to $30.3 million in the second quarter of 2025 from $22.0 million in the second quarter of 2024. The increase in revenue was due to a 65% increase in volume, representing $11.9 million of the increase, partially offset by a 16% decrease in revenue earned per consumer, representing a $3.6 million decrease.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our home equity loans product increased $13.3 million, or 31%, to $56.1 million in the first six months of 2025 from $42.8 million in the first six months of 2024. The increase in revenue was due to a 57% increase in volume, representing $20.4 million of the increase, partially offset by a 16% decrease in revenue earned per consumer, representing a $7.1 million decrease. We measure volume for our home equity loans and lines of credit products as the number of consumers completing request forms.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Consumer segment includes the following products: credit cards, personal loans, small business loans, student loans, auto loans, deposit accounts, and other credit products. Many of our Consumer segment products are not individually significant to revenue. Revenue from our Consumer segment increased $6.6 million, or 12%, in the second quarter of 2025 from the second quarter of 2024 primarily due to increases in our small business loans and personal loans products, partially offset by decreases in credit cards and other credit products. Revenue from our Consumer segment increased $11.2 million, or 10%, in the first six months of 2025 from the first six months of 2024 primarily due to increases in our small business loans and personal loans products, partially offset by decreases in credit cards and other credit products.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our personal loans product increased $3.7 million, or 14%, to $30.6 million in the second quarter of 2025 from $26.9 million in the second quarter of 2024. The increase in revenue was due to an 18% increase in volume, representing an increase of $4.6 million, partially offset by a 3% decrease in revenue earned per consumer, representing a $0.9 million decrease. Revenue from our personal loans product increased $7.0 million, or 15%, to $54.0 million in the first six months of 2025 from $47.1 million in the first six months of 2024. The increase in revenue was due to a 25% increase in volume, representing $10.8 million of the increase, partially offset by an 8% decrease in revenue earned per consumer, representing $3.8 million of a decrease. We measure volume for our personal loans product as the number of unique consumers completing request forms.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current periods, no other products in our Consumer segment represented more than 10% of revenue; however, certain other Consumer products experienced notable changes.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our small business loans product increased $7.3 million, or 61%, in the second quarter of 2025 compared to the second quarter of 2024, and increased $13.7 million, or 54% in the first six months of 2025 compared to the first six months of 2024 due to increases in the number of consumers completing request forms and in revenue earned per consumer. Revenue from our credit cards product decreased $2.3 million, or 41%, in the second quarter of 2025 compared to the second quarter of 2024, and decreased $6.0 million, or 45%, in the first six months of 2025 compared to the first six months of 2024 due to decreases in the number of consumer clicks and revenue earned per click. Revenue from our other credit products decreased $1.7 million, or 29%, in the second quarter of 2025 compared to the second quarter of 2024, and decreased $2.9 million, or 30%, in the first six months of 2025 compared to the first six months of 2024 primarily due to a decrease in revenue earned per consumer. </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Cost of revenue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increased $1.6 million in the second quarter of 2025 from the second quarter of 2024 primarily due to an increase in compensation and benefits of $1.3 million. Cost of revenue increased $3.0 million in the first six months of 2025 from the first six months of 2024 primarily due to an increase in compensation and benefits of $2.2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as a percentage of revenue was 4% in the second quarter and first six months of 2025 which is consistent to the second quarter and the first six months of 2024. </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Selling and marketing expense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increased in the second quarter of 2025 compared to the second quarter 2024 by $28.4 million, and increased $92.9 million in the first six months of 2025 compared to the first six months of 2024 primarily due to the changes in advertising and promotional expense discussed below. Additionally, compensation and benefits increased $1.1 million in the second quarter of 2025 compared to the second quarter of 2024, and increased $2.0 million in the first six months of 2025 compared to the first six months of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and promotional expense is the largest component of selling and marketing expense, and is comprised of the following:</w:t>
      </w:r>
    </w:p>
    <w:tbl>
      <w:tblPr>
        <w:tblW w:w="10205" w:type="dxa"/>
        <w:jc w:val="left"/>
        <w:tblInd w:w="0" w:type="dxa"/>
        <w:tblLayout w:type="fixed"/>
        <w:tblCellMar>
          <w:top w:w="28" w:type="dxa"/>
          <w:left w:w="28" w:type="dxa"/>
          <w:bottom w:w="28" w:type="dxa"/>
          <w:right w:w="28" w:type="dxa"/>
        </w:tblCellMar>
      </w:tblPr>
      <w:tblGrid>
        <w:gridCol w:w="539"/>
        <w:gridCol w:w="473"/>
        <w:gridCol w:w="478"/>
        <w:gridCol w:w="211"/>
        <w:gridCol w:w="841"/>
        <w:gridCol w:w="109"/>
        <w:gridCol w:w="211"/>
        <w:gridCol w:w="841"/>
        <w:gridCol w:w="109"/>
        <w:gridCol w:w="211"/>
        <w:gridCol w:w="736"/>
        <w:gridCol w:w="109"/>
        <w:gridCol w:w="196"/>
        <w:gridCol w:w="199"/>
        <w:gridCol w:w="385"/>
        <w:gridCol w:w="109"/>
        <w:gridCol w:w="109"/>
        <w:gridCol w:w="109"/>
        <w:gridCol w:w="211"/>
        <w:gridCol w:w="841"/>
        <w:gridCol w:w="109"/>
        <w:gridCol w:w="211"/>
        <w:gridCol w:w="841"/>
        <w:gridCol w:w="109"/>
        <w:gridCol w:w="211"/>
        <w:gridCol w:w="736"/>
        <w:gridCol w:w="109"/>
        <w:gridCol w:w="216"/>
        <w:gridCol w:w="199"/>
        <w:gridCol w:w="437"/>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7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8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Broadcast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advertising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166,468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139,247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27,221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328,469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237,568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90,901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4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the periods presented, advertising and promotional expenses are equivalent to the non-GAAP measure variable marketing expense.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 xml:space="preserve">Variable Marketing Expense and Variable Marketing Margin below for additional information.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adjusted our advertising expenditures in the second quarter and first six months of 2025 compared to the second quarter and first six months of 2024 in response to changes in Network Partner demand on our marketplace. We will continue to adjust selling and marketing expenditures dynamically in response to anticipated revenue opportunities.</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General and administrative expense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$2.1 million in the second quarter of 2025 from the second quarter of 2024 primarily due decreases of $0.8 million professional fees and $0.4 million in loss on asset disposals. General and administrative expense increased $2.8 million in the first six months of 2025 from the first six months of 2024 primarily due to an increase in compensation and benefits of $4.5 million, partially offset by a decrease in professional fees of $0.8 million and a decrease in loss on asset disposals of $0.5 million.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as a percentage of revenue decreased to 10% in the second quarter of 2025 compared to 13% in the second quarter of 2024, and decreased to 11% in the first six months of 2025 compared to 14% in the first six months of 2024. </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Product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 development expense increased $1.1 million in the second quarter of 2025 compared to the second quarter of 2024 as we continued to invest in internal development of new and enhanced features, functionality and business opportunities that we believe will enable us to better and more fully serve consumers and Network Partners. </w:t>
      </w:r>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Litigation Settlements and Contingencies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 the first quarter of 2025, we incurred $15.2 million of expenses for litigation contingencies due to the Mantha litigation.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13—Contingencies in the notes to the consolidated financial statements for additional information on litigation matters.</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2024 and March 2025, we drew $125.0 million and $50.0 million, respectively, on the 2024 Term Loan resulting in an increase of $0.4 million and $3.6 million of interest expense in the second quarter and first six months of 2025, respectively, compared to the second quarter and the first six months of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we repurchased approximately $20.0 million in principal amount of our 0.50% Convertible Senior Notes due July 15, 2025 (the "2025 Notes") for $19.7 million plus accrued and unpaid interest. As a result of the repurchase, we recognized a gain on the extinguishment of $0.3 million in the first six months of 2025, which is included in interest expense, net in the consolidated statement of operations and comprehensive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2024, we repurchased approximately $161.3 million in principal amount of our 2025 Notes for $151.7 million plus accrued and unpaid interest of approximately $0.3 million. As a result of the repurchase, we recognized a gain on the extinguishment of $9.6 million and a loss on the write-off of unamortized debt issuance costs of $1.0 million, both of which are included in interest (expense) income, net in the consolidated statements of operations and comprehensive income.</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12—Debt for additional information.</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and first six months of 2025 and 2024, the effective tax rate varied from the federal statutory rate of 21% primarily due to the change in the valuation allowance, net of the current period change in tax effected net indefinite-lived intangibles and current tax expense on taxable income.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we will adopt the One Big Beautiful Bill Act, which includes provisions impacting various aspects of the Company's tax obligations, including research and development expensing and 163(j) of the Internal Revenue Code limitation changes. The impact of these changes on our financial statements is being evaluated and will be disclosed in future filings.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Segment Profit</w:t>
      </w:r>
    </w:p>
    <w:tbl>
      <w:tblPr>
        <w:tblW w:w="10205" w:type="dxa"/>
        <w:jc w:val="left"/>
        <w:tblInd w:w="0" w:type="dxa"/>
        <w:tblLayout w:type="fixed"/>
        <w:tblCellMar>
          <w:top w:w="28" w:type="dxa"/>
          <w:left w:w="28" w:type="dxa"/>
          <w:bottom w:w="28" w:type="dxa"/>
          <w:right w:w="28" w:type="dxa"/>
        </w:tblCellMar>
      </w:tblPr>
      <w:tblGrid>
        <w:gridCol w:w="416"/>
        <w:gridCol w:w="328"/>
        <w:gridCol w:w="335"/>
        <w:gridCol w:w="215"/>
        <w:gridCol w:w="752"/>
        <w:gridCol w:w="111"/>
        <w:gridCol w:w="215"/>
        <w:gridCol w:w="752"/>
        <w:gridCol w:w="111"/>
        <w:gridCol w:w="215"/>
        <w:gridCol w:w="752"/>
        <w:gridCol w:w="111"/>
        <w:gridCol w:w="313"/>
        <w:gridCol w:w="315"/>
        <w:gridCol w:w="393"/>
        <w:gridCol w:w="111"/>
        <w:gridCol w:w="111"/>
        <w:gridCol w:w="111"/>
        <w:gridCol w:w="215"/>
        <w:gridCol w:w="859"/>
        <w:gridCol w:w="111"/>
        <w:gridCol w:w="215"/>
        <w:gridCol w:w="859"/>
        <w:gridCol w:w="111"/>
        <w:gridCol w:w="215"/>
        <w:gridCol w:w="752"/>
        <w:gridCol w:w="111"/>
        <w:gridCol w:w="313"/>
        <w:gridCol w:w="315"/>
        <w:gridCol w:w="462"/>
      </w:tblGrid>
      <w:tr>
        <w:trPr/>
        <w:tc>
          <w:tcPr>
            <w:tcW w:w="41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29%</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30%</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48%</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50%</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27%</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30%</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27%</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profit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85,110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72,488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164,091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143,010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21,081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w:t>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38%</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rFonts w:ascii="Times New Roman;serif" w:hAnsi="Times New Roman;serif"/>
                <w:b w:val="false"/>
                <w:color w:val="000000"/>
                <w:sz w:val="20"/>
              </w:rPr>
              <w:t>Segment marketing expense represents the potion of selling and marketing expense attributable to variable costs paid for advertising, direct marketing and related expenses, that are directly attributable to the segments' products. This measure excludes overhead, fixed costs and personnel-related costs.</w:t>
            </w:r>
          </w:p>
        </w:tc>
      </w:tr>
    </w:tbl>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15—Segment Information in the notes to the consolidated financial statements for additional information on segments and a reconciliation of segment profit to pre-tax income.</w:t>
      </w:r>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Home</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Home segment revenue increased 26% to $40.4 million in the second quarter of 2025 from the second quarter of 2024 and segment profit increased 41% to $13.1 million in the second quarter of 2025 from the second quarter of 2024. Segment margin increased to 32% in the second quarter of 2025 compared to 29% in the second quarter of 2024, primarily due to a change in product mix.</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Home equity revenue of $30.3 million in the second quarter of 2025 increased $8.3 million from $22.0 million in the second quarter of 2024. Volume of home equity consumers completing request forms increased 65% in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2025 compared to the second quarter of 2024, however, a 7% decline in revenue earned per consumer partially offset this volume growth. The home equity product remains the primary focus for consumers and our lender partners as mortgage rates remained persistently high during the quarter.</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Home, our core mortgage business generated revenue of $10.1 million in the second quarter of 2025, which is consistent with the second quarter of 2024. Consumer demand for our core mortgage loans remains near trough levels. A shortage of in-the-money refinance borrowers persists given the current higher level of mortgage rates, and historically low existing home sales are suppressing consumer demand for purchase loans.</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financial market expectations for continued decreases in interest rates may benefit the mortgage and home equity lending environment and our Home segment.</w:t>
      </w:r>
    </w:p>
    <w:p>
      <w:pPr>
        <w:pStyle w:val="TextBody"/>
        <w:bidi w:val="0"/>
        <w:spacing w:lineRule="auto" w:line="288" w:before="180" w:after="120"/>
        <w:ind w:left="0" w:right="0" w:firstLine="360"/>
        <w:jc w:val="both"/>
        <w:rPr>
          <w:rFonts w:ascii="Times New Roman;serif" w:hAnsi="Times New Roman;serif"/>
          <w:b/>
          <w:color w:val="000000"/>
          <w:sz w:val="20"/>
        </w:rPr>
      </w:pPr>
      <w:r>
        <w:rPr>
          <w:rFonts w:ascii="Times New Roman;serif" w:hAnsi="Times New Roman;serif"/>
          <w:b/>
          <w:color w:val="000000"/>
          <w:sz w:val="20"/>
        </w:rPr>
        <w:t>Consumer</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Consumer segment revenue increased 12% to $62.5 million in the second quarter of 2025 from the second quarter of 2024, and segment profit increased 19% to $32.1 million in the second quarter of 2025 from the second quarter of 2024 primarily due to the increase in revenue. Segment margin was 51% in the second quarter of 2025 compared to 48% in the second quarter of 2024 primarily due to a change in mix shift in the product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Personal loans revenue of $30.6 million in the second quarter of 2025 increased 14% from the second quarter of 2024 primarily due to increases in the number of consumers completing request forms. Some of our prime and mid-prime lender partners have begun to increase credit availability to a broader segment of our consumer traffic. We continue to iterate and enhance our matching algorithms that aim to better align lenders and consumers, resulting in higher conversion rates and closed loans at positive unit economics. We are continually testing and improving our matching platform to ensure both our lending partners and consumers are being paired at the optimum rate, maximizing close rates for our partners while also helping customers obtain the best priced loans they qualify for.</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Small business revenue increased 61% in the second quarter of 2025 from the second quarter of 2024, due to increases in the number of consumers completing request forms and in revenue earned per consumer. The investment to grow our concierge sales team has strengthened our renewal and lender bonus revenue streams. Improved unit economics from this investment has allowed us to increase our marketing spend to capture more high-intent small business owners searching for new loans. We are focused on growing the number and types of lenders on our small business network, including in the government SBA loan market.</w:t>
      </w:r>
    </w:p>
    <w:p>
      <w:pPr>
        <w:pStyle w:val="TextBody"/>
        <w:bidi w:val="0"/>
        <w:spacing w:lineRule="auto" w:line="288" w:before="180" w:after="120"/>
        <w:ind w:left="0" w:right="0" w:firstLine="360"/>
        <w:jc w:val="both"/>
        <w:rPr/>
      </w:pP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 xml:space="preserve">the section titled "Revenue" above for additional discussion of declines in product revenues within the Consumer segment. </w:t>
      </w:r>
    </w:p>
    <w:p>
      <w:pPr>
        <w:pStyle w:val="TextBody"/>
        <w:bidi w:val="0"/>
        <w:spacing w:lineRule="auto" w:line="288" w:before="180" w:after="120"/>
        <w:ind w:left="0" w:right="0" w:firstLine="360"/>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revenue increased 21% to $147.2 million in the second quarter of 2025 from the second quarter of 2024 and segment profit increased 10% to $40.0 million in the second quarter of 2025 from the second quarter of 2024. Carrier demand for new auto insurance customers has been strong, with volume increasing 19% in the second quarter of 2025 compared to the second quarter of 2024, as carriers are broadly experiencing strong underwriting results following multiple quarters of premium increases and stable loss cost trends. Higher consumer rates remains the primary driver of increased consumer shopping traffic to our websites. Demand from our carrier partners remain at relatively elevated levels and we continue to be optimistic about the remainder of 2025.</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margin declined to 27% in the second quarter of 2025 from 30% in the second quarter of 2024 as continued strong demand requires the use of our highest cost marketing channels.</w:t>
      </w:r>
    </w:p>
    <w:p>
      <w:pPr>
        <w:pStyle w:val="TextBody"/>
        <w:bidi w:val="0"/>
        <w:spacing w:lineRule="auto" w:line="288" w:before="240" w:after="120"/>
        <w:ind w:left="0" w:right="0" w:firstLine="360"/>
        <w:jc w:val="both"/>
        <w:rPr>
          <w:rFonts w:ascii="Times New Roman;serif" w:hAnsi="Times New Roman;serif"/>
          <w:b/>
          <w:color w:val="000000"/>
          <w:sz w:val="20"/>
        </w:rPr>
      </w:pPr>
      <w:r>
        <w:rPr>
          <w:rFonts w:ascii="Times New Roman;serif" w:hAnsi="Times New Roman;serif"/>
          <w:b/>
          <w:color w:val="000000"/>
          <w:sz w:val="20"/>
        </w:rPr>
        <w:t>Variable Marketing Expense and Variable Marketing Margin</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shows the calculation of variable marketing margin:</w:t>
      </w:r>
    </w:p>
    <w:tbl>
      <w:tblPr>
        <w:tblW w:w="8114" w:type="dxa"/>
        <w:jc w:val="left"/>
        <w:tblInd w:w="0" w:type="dxa"/>
        <w:tblLayout w:type="fixed"/>
        <w:tblCellMar>
          <w:top w:w="28" w:type="dxa"/>
          <w:left w:w="28" w:type="dxa"/>
          <w:bottom w:w="28" w:type="dxa"/>
          <w:right w:w="28" w:type="dxa"/>
        </w:tblCellMar>
      </w:tblPr>
      <w:tblGrid>
        <w:gridCol w:w="892"/>
        <w:gridCol w:w="787"/>
        <w:gridCol w:w="795"/>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4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83,648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161,375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140,340</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selling and marketing expense, the most directly comparable GAAP measure, to variable marketing expense:</w:t>
      </w:r>
    </w:p>
    <w:tbl>
      <w:tblPr>
        <w:tblW w:w="9374" w:type="dxa"/>
        <w:jc w:val="left"/>
        <w:tblInd w:w="0" w:type="dxa"/>
        <w:tblLayout w:type="fixed"/>
        <w:tblCellMar>
          <w:top w:w="28" w:type="dxa"/>
          <w:left w:w="28" w:type="dxa"/>
          <w:bottom w:w="28" w:type="dxa"/>
          <w:right w:w="28" w:type="dxa"/>
        </w:tblCellMar>
      </w:tblPr>
      <w:tblGrid>
        <w:gridCol w:w="1339"/>
        <w:gridCol w:w="1178"/>
        <w:gridCol w:w="118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Non-variable 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139,247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328,469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237,568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(loss), the most directly comparable GAAP measure, to variable marketing margin:</w:t>
      </w:r>
    </w:p>
    <w:tbl>
      <w:tblPr>
        <w:tblW w:w="9786" w:type="dxa"/>
        <w:jc w:val="left"/>
        <w:tblInd w:w="0" w:type="dxa"/>
        <w:tblLayout w:type="fixed"/>
        <w:tblCellMar>
          <w:top w:w="28" w:type="dxa"/>
          <w:left w:w="28" w:type="dxa"/>
          <w:bottom w:w="28" w:type="dxa"/>
          <w:right w:w="28" w:type="dxa"/>
        </w:tblCellMar>
      </w:tblPr>
      <w:tblGrid>
        <w:gridCol w:w="1664"/>
        <w:gridCol w:w="1464"/>
        <w:gridCol w:w="1476"/>
        <w:gridCol w:w="285"/>
        <w:gridCol w:w="337"/>
        <w:gridCol w:w="339"/>
        <w:gridCol w:w="147"/>
        <w:gridCol w:w="147"/>
        <w:gridCol w:w="147"/>
        <w:gridCol w:w="285"/>
        <w:gridCol w:w="337"/>
        <w:gridCol w:w="339"/>
        <w:gridCol w:w="109"/>
        <w:gridCol w:w="109"/>
        <w:gridCol w:w="109"/>
        <w:gridCol w:w="249"/>
        <w:gridCol w:w="389"/>
        <w:gridCol w:w="392"/>
        <w:gridCol w:w="129"/>
        <w:gridCol w:w="129"/>
        <w:gridCol w:w="129"/>
        <w:gridCol w:w="249"/>
        <w:gridCol w:w="341"/>
        <w:gridCol w:w="485"/>
      </w:tblGrid>
      <w:tr>
        <w:trPr/>
        <w:tc>
          <w:tcPr>
            <w:tcW w:w="16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8,768</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variable marketing margin: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Non-variable selling and marketing expense </w:t>
            </w:r>
            <w:r>
              <w:rPr>
                <w:rFonts w:ascii="Times New Roman;serif" w:hAnsi="Times New Roman;serif"/>
                <w:b w:val="false"/>
                <w:color w:val="000000"/>
                <w:sz w:val="13"/>
              </w:rPr>
              <w:t>(1)</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w:t>
            </w:r>
          </w:p>
        </w:tc>
      </w:tr>
      <w:tr>
        <w:trPr/>
        <w:tc>
          <w:tcPr>
            <w:tcW w:w="46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83,648</w:t>
            </w:r>
          </w:p>
        </w:tc>
        <w:tc>
          <w:tcPr>
            <w:tcW w:w="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70,893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161,375</w:t>
            </w:r>
          </w:p>
        </w:tc>
        <w:tc>
          <w:tcPr>
            <w:tcW w:w="3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140,340</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
        <w:gridCol w:w="148"/>
        <w:gridCol w:w="109"/>
        <w:gridCol w:w="2862"/>
        <w:gridCol w:w="2862"/>
        <w:gridCol w:w="405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9780" w:type="dxa"/>
            <w:gridSpan w:val="3"/>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Definition of Adjusted EBITDA</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  </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One-Time Items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Non-Cash Expenses that are Excluded from Adjusted EBITDA</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 </w:t>
      </w: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net income (loss), the most directly comparable GAAP measure, to Adjusted EBITDA.</w:t>
      </w:r>
    </w:p>
    <w:tbl>
      <w:tblPr>
        <w:tblW w:w="9195" w:type="dxa"/>
        <w:jc w:val="left"/>
        <w:tblInd w:w="0" w:type="dxa"/>
        <w:tblLayout w:type="fixed"/>
        <w:tblCellMar>
          <w:top w:w="28" w:type="dxa"/>
          <w:left w:w="28" w:type="dxa"/>
          <w:bottom w:w="28" w:type="dxa"/>
          <w:right w:w="28" w:type="dxa"/>
        </w:tblCellMar>
      </w:tblPr>
      <w:tblGrid>
        <w:gridCol w:w="1426"/>
        <w:gridCol w:w="1254"/>
        <w:gridCol w:w="1265"/>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8,768</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Adjusted EBITDA:</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impairments and disposal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equity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23,527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56,419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45,078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had $149.1 million of cash and cash equivalents, compared to $106.6 million of cash and cash equivalents as of December 31,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we repurchased approximately $20.0 million in principal amount of our 2025 notes for $19.7 million resulting in a gain on the extinguishment of $0.3 million which is included in interest expense, net in the consolidated statement of operations and comprehensive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we drew the remaining $50.0 million of the 2024 Term Loan delayed draw.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cash and cash equivalents, cash flows from operations to be sufficient to fund our operating needs for the next twelve months and beyond. We will continue to monitor the impact of the current economic conditions, including interest rates and inflation on our liquidity and capital resources.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had $95.3 million outstanding on the 2025 Notes. On July 15, 2025, the outstanding 2025 Notes were fully repaid using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Equity Distribution Agreement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2024, we entered into an Equity Distribution Agreement in connection with the establishment of an ATM Equity Program (as defined in the 2024 Term Loan agreement) under which we may sell up to an aggregate of $50.0 million of shares of our common stock. No sales were made under the Equity Distribution Agreement during 2024 or in the first six months of 2025.</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Credit Facilities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15, 2021, we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our 0.625% Convertible Senior Notes due June 1, 2022, including interest. The remaining proceeds of $79.8 million may be used for general corporate purposes and any other purposes not prohibited by the Credit Agreement.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2025, we have outstanding $242.5 million under the 2021 Term Loan and the remaining borrowing capacity under the Revolving Facility is $200.0 million. As of June 30, 2025, we had $45.9 million available for borrowing under the Revolving Credit Facility. As of July 31, 2025, following the repayment of the 2025 Notes, we have $20.0 million available for borrowing under the Revolving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2024, we entered a first lien term loan facility (the “2024 Term Loan”), consisting of $175.0 million which matures on March 27, 2031. We drew $125.0 million of the 2024 Term Loan upon closing and drew the remaining $50.0 million on March 27, 2025. The proceeds of the 2024 Term Loan were used to pay fees and expenses incurred in connection with the closing of the 2024 Term Loan and delayed draw term loan, and will be used for working capital and general corporate purposes, including the repayment of our 2025 Notes on July 15, 2025. The funding had a $3.1 million original issue discount and associated debt issuance costs of $4.3 million.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filed an ATM Shelf Registration (as defined in the 2024 Term Loan agreement) with the SEC in the third quarter of 2024. In the event of a default in the minimum Consolidated EBITDA (as defined in the 2024 Term Loan agreement) covenant in the 2024 Term Loan, we are required to utilize the ATM Equity Program (as defined in the 2024 Term Loan agreement) to sell common stock and use the proceeds to cure the event of default in the minimum Consolidated EBITDA covenant. Additionally, we may use the ATM Equity Program to maintain the $40.0 million minimum cash balance requirement in the 2024 Term Loan.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2025, we had $160.3 million borrowings outstanding under the 2024 Term Loan.</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 xml:space="preserve">Note 12—Debt,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are as follows:</w:t>
      </w:r>
    </w:p>
    <w:tbl>
      <w:tblPr>
        <w:tblW w:w="6531" w:type="dxa"/>
        <w:jc w:val="left"/>
        <w:tblInd w:w="0" w:type="dxa"/>
        <w:tblLayout w:type="fixed"/>
        <w:tblCellMar>
          <w:top w:w="28" w:type="dxa"/>
          <w:left w:w="28" w:type="dxa"/>
          <w:bottom w:w="28" w:type="dxa"/>
          <w:right w:w="28" w:type="dxa"/>
        </w:tblCellMar>
      </w:tblPr>
      <w:tblGrid>
        <w:gridCol w:w="1525"/>
        <w:gridCol w:w="1343"/>
        <w:gridCol w:w="1346"/>
        <w:gridCol w:w="211"/>
        <w:gridCol w:w="721"/>
        <w:gridCol w:w="109"/>
        <w:gridCol w:w="109"/>
        <w:gridCol w:w="109"/>
        <w:gridCol w:w="109"/>
        <w:gridCol w:w="247"/>
        <w:gridCol w:w="548"/>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20,952 </w:t>
            </w:r>
          </w:p>
        </w:tc>
        <w:tc>
          <w:tcPr>
            <w:tcW w:w="109"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99999"/>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(40,578)</w:t>
            </w:r>
          </w:p>
        </w:tc>
        <w:tc>
          <w:tcPr>
            <w:tcW w:w="154"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source of cash provided by our operating activities is revenues generated by our products. Our primary uses of cash from our operating activities include advertising and promotional payments. In addition, our uses of cash from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activities include compensation and other employee-related costs, other general corporate expenditures, litigation settlements and contingencies, and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in the first six months of 2025 from the first six months of 2024 primarily due to favorable changes in accounts receivable and accounts payable, accrued expenses and other current liabilities, partially offset by unfavorable changes in prepaid expenses and other current assets, and income taxes.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first six months of 2025 and 2024 consisted of capital expenditures primarily related to internally developed software.</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 the first six months of 2025 of $21.0 million consisted primarily of $49.5 million net proceeds from the 2024 Term Loan, partially offset by the repurchase of the 2025 Notes for $19.7 million, term loan repayments of $6.6 million and $2.3 million in withholding taxes paid upon surrender of shares to satisfy obligations on equity awards, net of proceeds from the exercise of stock options.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 the first six months of 2024 of $40.6 million consisted primarily of the repurchase of the 2025 Notes for $151.7 million, term loan repayments of $4.4 million and $2.3 million in withholding taxes paid upon surrender of shares to satisfy obligations on equity awards, net of proceeds from the exercise of stock options offset by $117.8 million net proceeds from the 2024 Term Loan.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New Accounting Pronouncements and Critical Accounting Estimates</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For information regarding new accounting pronouncements and critical accounting estimates,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2</w:t>
      </w:r>
      <w:r>
        <w:rPr>
          <w:color w:val="000000"/>
        </w:rPr>
        <w:t>—</w:t>
      </w:r>
      <w:r>
        <w:rPr>
          <w:rFonts w:ascii="Times New Roman;serif" w:hAnsi="Times New Roman;serif"/>
          <w:b w:val="false"/>
          <w:color w:val="000000"/>
          <w:sz w:val="20"/>
        </w:rPr>
        <w:t xml:space="preserve">Significant Accounting Policies, in Part I, Item 1 </w:t>
      </w:r>
      <w:r>
        <w:rPr>
          <w:rFonts w:ascii="Times New Roman;serif" w:hAnsi="Times New Roman;serif"/>
          <w:b w:val="false"/>
          <w:i/>
          <w:color w:val="000000"/>
          <w:sz w:val="20"/>
        </w:rPr>
        <w:t>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 xml:space="preserve">Quantitative and Qualitative Disclosures about Market Risk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as a result of changes to interest rates.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our Credit Facility and the 2024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$2.4 million annual effect on the interest paid on borrowings under the Credit Facility and a $1.6 million annual effect on the interest paid on borrowings under the 2024 Term Loan. As of July 31, 2025, the Company had $242.5 million outstanding on its 2021 Term Loan, and there were no outstanding borrowings under its Revolving Facility. As of July 31, 2025, the Company had $160.3 million outstanding on its 2024 Term Loan, which was entered into on March 27,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models of our lenders, and our revenue earned per consumer can be adversely affected by the overall reduced demand for refinancing in a rising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w:t>
      </w:r>
      <w:r>
        <w:rPr>
          <w:rFonts w:ascii="Times New Roman;serif" w:hAnsi="Times New Roman;serif"/>
          <w:b w:val="false"/>
          <w:color w:val="000000"/>
          <w:sz w:val="20"/>
          <w:shd w:fill="FFFFFF" w:val="clear"/>
        </w:rPr>
        <w:t>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w:t>
      </w:r>
      <w:r>
        <w:rPr>
          <w:color w:val="000000"/>
        </w:rPr>
        <w:t xml:space="preserve"> </w:t>
      </w:r>
      <w:r>
        <w:rPr>
          <w:rFonts w:ascii="Times New Roman;serif" w:hAnsi="Times New Roman;serif"/>
          <w:b w:val="false"/>
          <w:color w:val="000000"/>
          <w:sz w:val="20"/>
        </w:rPr>
        <w:t xml:space="preserve">Based upon that evaluation, our Chief Executive Officer and Chief Financial Officer concluded that our disclosure controls and procedures are effective, as of June 30, 2025,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June 30, 2025 that has materially affected, or is reasonably likely to materially affect, our internal controls over financial reporting.</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serif" w:hAnsi="Times New Roman;serif"/>
          <w:b w:val="false"/>
          <w:i/>
          <w:color w:val="000000"/>
          <w:sz w:val="20"/>
        </w:rPr>
        <w:t xml:space="preserve">Legal Proceedings </w:t>
      </w:r>
      <w:r>
        <w:rPr>
          <w:rFonts w:ascii="Times New Roman;serif" w:hAnsi="Times New Roman;serif"/>
          <w:b w:val="false"/>
          <w:color w:val="000000"/>
          <w:sz w:val="20"/>
        </w:rPr>
        <w:t>of our 2024 Annual Report and updated that information in Note 13—Contingencies to the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Risk factors that affect our business and financial results are discussed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 our 2024 Annual Report. There have been no material changes to the risk factors included in our 2024 Annual Report.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You should carefully consider the risks described in our 2024 Annual Report, which could materially affect our business, financial condition or</w:t>
      </w:r>
      <w:r>
        <w:rPr>
          <w:color w:val="000000"/>
          <w:shd w:fill="FFFFFF" w:val="clear"/>
        </w:rPr>
        <w:t xml:space="preserve"> </w:t>
      </w:r>
      <w:r>
        <w:rPr>
          <w:rFonts w:ascii="Times New Roman;serif" w:hAnsi="Times New Roman;serif"/>
          <w:b w:val="false"/>
          <w:color w:val="000000"/>
          <w:sz w:val="20"/>
          <w:shd w:fill="FFFFFF" w:val="clear"/>
        </w:rPr>
        <w:t xml:space="preserve">future results. The risks described in our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2024 Term Loan limits stock repurchases. During the quarter ended June 30, 2025, no shares of common stock were repurchased under the stock repurchase program. As of July 31, 2025, approximately $96.7 million remains authorized for share repurchase.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LendingTree 2023 Stock Plan and LendingTree 2023 Inducement Grant Plan allows employees to elect for us to withhold (or take back, with respect to restricted stock awards)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2025, 9,031 shares were withheld related to these obligations under the LendingTree 2023 Stock Plan. The withholding of those shares does not affect the dollar amount or number of shares that may be purchased under the stock repurchase program described above.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purchases of equity securities during the quarter ended June 30, 2025.</w:t>
      </w:r>
    </w:p>
    <w:tbl>
      <w:tblPr>
        <w:tblW w:w="9290" w:type="dxa"/>
        <w:jc w:val="left"/>
        <w:tblInd w:w="0" w:type="dxa"/>
        <w:tblLayout w:type="fixed"/>
        <w:tblCellMar>
          <w:top w:w="28" w:type="dxa"/>
          <w:left w:w="28" w:type="dxa"/>
          <w:bottom w:w="28" w:type="dxa"/>
          <w:right w:w="28" w:type="dxa"/>
        </w:tblCellMar>
      </w:tblPr>
      <w:tblGrid>
        <w:gridCol w:w="677"/>
        <w:gridCol w:w="596"/>
        <w:gridCol w:w="602"/>
        <w:gridCol w:w="109"/>
        <w:gridCol w:w="109"/>
        <w:gridCol w:w="109"/>
        <w:gridCol w:w="514"/>
        <w:gridCol w:w="514"/>
        <w:gridCol w:w="516"/>
        <w:gridCol w:w="109"/>
        <w:gridCol w:w="109"/>
        <w:gridCol w:w="109"/>
        <w:gridCol w:w="263"/>
        <w:gridCol w:w="786"/>
        <w:gridCol w:w="137"/>
        <w:gridCol w:w="109"/>
        <w:gridCol w:w="109"/>
        <w:gridCol w:w="109"/>
        <w:gridCol w:w="525"/>
        <w:gridCol w:w="525"/>
        <w:gridCol w:w="526"/>
        <w:gridCol w:w="109"/>
        <w:gridCol w:w="109"/>
        <w:gridCol w:w="109"/>
        <w:gridCol w:w="345"/>
        <w:gridCol w:w="1203"/>
        <w:gridCol w:w="253"/>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pPr>
            <w:r>
              <w:rPr>
                <w:rFonts w:ascii="Times New Roman;serif" w:hAnsi="Times New Roman;serif"/>
                <w:b/>
                <w:color w:val="000000"/>
                <w:sz w:val="16"/>
              </w:rPr>
              <w:t xml:space="preserve">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 or</w:t>
            </w:r>
          </w:p>
          <w:p>
            <w:pPr>
              <w:pStyle w:val="TableContents"/>
              <w:bidi w:val="0"/>
              <w:spacing w:lineRule="auto" w:line="240" w:before="0" w:after="0"/>
              <w:jc w:val="center"/>
              <w:rPr/>
            </w:pPr>
            <w:r>
              <w:rPr>
                <w:rFonts w:ascii="Times New Roman;serif" w:hAnsi="Times New Roman;serif"/>
                <w:b/>
                <w:color w:val="000000"/>
                <w:sz w:val="16"/>
              </w:rPr>
              <w:t xml:space="preserve">Programs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 Shares</w:t>
              <w:br/>
              <w:t>that May Yet Be</w:t>
              <w:br/>
              <w:t>Purchased Under the</w:t>
              <w:br/>
              <w:t>Plans or Programs</w:t>
            </w:r>
          </w:p>
        </w:tc>
      </w:tr>
      <w:tr>
        <w:trPr/>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4/1/2025 - 4/30/2025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5/1/2025 - 5/31/2025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6/1/2025 - 6/30/2025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9,031</w:t>
            </w:r>
            <w:r>
              <w:rPr>
                <w:color w:val="000000"/>
              </w:rPr>
              <w:t> </w:t>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37.76</w:t>
            </w:r>
            <w:r>
              <w:rPr>
                <w:color w:val="000000"/>
              </w:rPr>
              <w:t>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96,655</w:t>
            </w:r>
            <w:r>
              <w:rPr>
                <w:color w:val="000000"/>
              </w:rPr>
              <w:t> </w:t>
            </w:r>
          </w:p>
        </w:tc>
        <w:tc>
          <w:tcPr>
            <w:tcW w:w="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(1)During April 2025, May 2025 and June 2025, 697 shares, 5,146 shares and 3,188 shares, respectively (totaling 9,031 shares), were purchased to satisfy federal and state withholding obligations of our employees upon the settlement of restricted stock units and the exercise of stock options, all in accordance with our 2023 Stock Plan, as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(2)See the narrative disclosure above the table for further description of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June 30, 2025, the Company did not adopt or terminate a Rule 10b5-1 trading arrangement.</w:t>
      </w:r>
    </w:p>
    <w:p>
      <w:pPr>
        <w:pStyle w:val="TextBody"/>
        <w:bidi w:val="0"/>
        <w:spacing w:before="180" w:after="283"/>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6"/>
        <w:gridCol w:w="259"/>
        <w:gridCol w:w="218"/>
        <w:gridCol w:w="109"/>
        <w:gridCol w:w="109"/>
        <w:gridCol w:w="109"/>
        <w:gridCol w:w="2038"/>
        <w:gridCol w:w="1923"/>
        <w:gridCol w:w="1942"/>
        <w:gridCol w:w="109"/>
        <w:gridCol w:w="109"/>
        <w:gridCol w:w="109"/>
        <w:gridCol w:w="838"/>
        <w:gridCol w:w="838"/>
        <w:gridCol w:w="1199"/>
      </w:tblGrid>
      <w:tr>
        <w:trPr/>
        <w:tc>
          <w:tcPr>
            <w:tcW w:w="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Certificate of Incorporation of LendingTree,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Registrant's Current Report on Form 8-K filed August 25, 2008</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Fourth Amended and Restated By-laws of LendingTree,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Registrant's Current Report on Form 8-K filed November 15, 2017</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5630x10qexx311.htm">
              <w:r>
                <w:rPr>
                  <w:rStyle w:val="InternetLink"/>
                  <w:rFonts w:ascii="Times New Roman;serif" w:hAnsi="Times New Roman;serif"/>
                  <w:b w:val="false"/>
                  <w:color w:val="0000FF"/>
                  <w:sz w:val="20"/>
                  <w:u w:val="single"/>
                </w:rPr>
                <w:t>Certification of the Chief Executive Officer pursuant to Rule 13a-14(a) or Rule 15d-14(a) of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5630x10qexx312.htm">
              <w:r>
                <w:rPr>
                  <w:rStyle w:val="InternetLink"/>
                  <w:rFonts w:ascii="Times New Roman;serif" w:hAnsi="Times New Roman;serif"/>
                  <w:b w:val="false"/>
                  <w:color w:val="0000FF"/>
                  <w:sz w:val="20"/>
                  <w:u w:val="single"/>
                </w:rPr>
                <w:t>Certification of the Chief Financial Officer pursuant to Rule 13a-14(a) or Rule 15d-14(a) of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5630x10qex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5630x10qex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Instance Document </w:t>
            </w:r>
            <w:r>
              <w:rPr>
                <w:color w:val="000000"/>
              </w:rPr>
              <w:t xml:space="preserve">— </w:t>
            </w: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________________________________________________________________________________________________________________________________</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Filed herewith.</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22f4e37f0834a958d3a9929293ec0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p>
      <w:pPr>
        <w:pStyle w:val="TextBody"/>
        <w:bidi w:val="0"/>
        <w:spacing w:lineRule="auto" w:line="288" w:before="0" w:after="0"/>
        <w:jc w:val="left"/>
        <w:rPr>
          <w:color w:val="000000"/>
        </w:rPr>
      </w:pPr>
      <w:r>
        <w:rPr>
          <w:color w:val="000000"/>
        </w:rPr>
        <w:t> </w:t>
      </w:r>
    </w:p>
    <w:tbl>
      <w:tblPr>
        <w:tblW w:w="5949" w:type="dxa"/>
        <w:jc w:val="left"/>
        <w:tblInd w:w="0" w:type="dxa"/>
        <w:tblLayout w:type="fixed"/>
        <w:tblCellMar>
          <w:top w:w="28" w:type="dxa"/>
          <w:left w:w="28" w:type="dxa"/>
          <w:bottom w:w="28" w:type="dxa"/>
          <w:right w:w="28" w:type="dxa"/>
        </w:tblCellMar>
      </w:tblPr>
      <w:tblGrid>
        <w:gridCol w:w="124"/>
        <w:gridCol w:w="109"/>
        <w:gridCol w:w="109"/>
        <w:gridCol w:w="304"/>
        <w:gridCol w:w="304"/>
        <w:gridCol w:w="304"/>
        <w:gridCol w:w="1373"/>
        <w:gridCol w:w="1373"/>
        <w:gridCol w:w="1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LENDINGTREE,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JASON BENGEL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Douglas R. Lebda, certify that: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2025 of LendingTree,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Jason Bengel, certify that: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2025 of LendingTree,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Douglas R. Lebda,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fiscal quarter ended June 30, 2025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tbl>
      <w:tblPr>
        <w:tblW w:w="3626" w:type="dxa"/>
        <w:jc w:val="left"/>
        <w:tblInd w:w="0" w:type="dxa"/>
        <w:tblLayout w:type="fixed"/>
        <w:tblCellMar>
          <w:top w:w="28" w:type="dxa"/>
          <w:left w:w="28" w:type="dxa"/>
          <w:bottom w:w="28" w:type="dxa"/>
          <w:right w:w="28" w:type="dxa"/>
        </w:tblCellMar>
      </w:tblPr>
      <w:tblGrid>
        <w:gridCol w:w="124"/>
        <w:gridCol w:w="109"/>
        <w:gridCol w:w="109"/>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Jason Bengel,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fiscal quarter ended June 30, 2025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34621/000110465908054882/a08-22125_1ex3d1.htm" TargetMode="External"/><Relationship Id="rId5" Type="http://schemas.openxmlformats.org/officeDocument/2006/relationships/hyperlink" Target="https://www.sec.gov/Archives/edgar/data/1434621/000143462117000080/fourthamendedandrestatedb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20047</Words>
  <Characters>109798</Characters>
  <CharactersWithSpaces>128402</CharactersWithSpaces>
  <Paragraphs>2812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