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10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8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9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26-2414818</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than the Registrant was required to submit and post such files). Yes o No o</w:t>
      </w:r>
    </w:p>
    <w:p>
      <w:pPr>
        <w:spacing w:after="0" w:line="194" w:lineRule="exact"/>
        <w:rPr>
          <w:sz w:val="24"/>
          <w:szCs w:val="24"/>
          <w:color w:val="auto"/>
        </w:rPr>
      </w:pPr>
    </w:p>
    <w:p>
      <w:pPr>
        <w:ind w:right="2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80"/>
          </w:cols>
          <w:pgMar w:left="240" w:top="685" w:right="27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80" w:space="720"/>
            <w:col w:w="1640" w:space="720"/>
            <w:col w:w="2240" w:space="720"/>
            <w:col w:w="2660"/>
          </w:cols>
          <w:pgMar w:left="240" w:top="685" w:right="279" w:bottom="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80"/>
          </w:cols>
          <w:pgMar w:left="240" w:top="685" w:right="27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12, 2011 there were 11,024,271 shares of the Registrant's common stock, par value $.01 per share, outstanding.</w:t>
      </w:r>
    </w:p>
    <w:p>
      <w:pPr>
        <w:sectPr>
          <w:pgSz w:w="11900" w:h="16838" w:orient="portrait"/>
          <w:cols w:equalWidth="0" w:num="1">
            <w:col w:w="11380"/>
          </w:cols>
          <w:pgMar w:left="240" w:top="685" w:right="27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restart"/>
          </w:tcPr>
          <w:p>
            <w:pPr>
              <w:ind w:left="30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56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7">
              <w:r>
                <w:rPr>
                  <w:rFonts w:ascii="Arial" w:cs="Arial" w:eastAsia="Arial" w:hAnsi="Arial"/>
                  <w:sz w:val="18"/>
                  <w:szCs w:val="18"/>
                  <w:b w:val="1"/>
                  <w:bCs w:val="1"/>
                  <w:color w:val="0000EE"/>
                  <w:w w:val="91"/>
                </w:rPr>
                <w:t>Item 2.</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13"/>
          </w:tcPr>
          <w:p>
            <w:pPr>
              <w:spacing w:after="0" w:line="196" w:lineRule="exact"/>
              <w:rPr>
                <w:rFonts w:ascii="Arial" w:cs="Arial" w:eastAsia="Arial" w:hAnsi="Arial"/>
                <w:sz w:val="18"/>
                <w:szCs w:val="18"/>
                <w:b w:val="1"/>
                <w:bCs w:val="1"/>
                <w:i w:val="1"/>
                <w:iCs w:val="1"/>
                <w:color w:val="0000EE"/>
                <w:w w:val="97"/>
              </w:rPr>
            </w:pPr>
            <w:hyperlink w:anchor="page37">
              <w:r>
                <w:rPr>
                  <w:rFonts w:ascii="Arial" w:cs="Arial" w:eastAsia="Arial" w:hAnsi="Arial"/>
                  <w:sz w:val="18"/>
                  <w:szCs w:val="18"/>
                  <w:b w:val="1"/>
                  <w:bCs w:val="1"/>
                  <w:i w:val="1"/>
                  <w:iCs w:val="1"/>
                  <w:color w:val="0000EE"/>
                  <w:w w:val="97"/>
                </w:rPr>
                <w:t>Management's Discussion and Analysis of Financial Condition and Results of Operations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3.</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i w:val="1"/>
                <w:iCs w:val="1"/>
                <w:color w:val="0000EE"/>
                <w:w w:val="85"/>
              </w:rPr>
            </w:pPr>
            <w:hyperlink w:anchor="page48">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4.</w:t>
              </w:r>
            </w:hyperlink>
          </w:p>
        </w:tc>
        <w:tc>
          <w:tcPr>
            <w:tcW w:w="7560" w:type="dxa"/>
            <w:vAlign w:val="bottom"/>
            <w:gridSpan w:val="14"/>
          </w:tcPr>
          <w:p>
            <w:pPr>
              <w:ind w:left="100"/>
              <w:spacing w:after="0" w:line="196" w:lineRule="exact"/>
              <w:rPr>
                <w:rFonts w:ascii="Arial" w:cs="Arial" w:eastAsia="Arial" w:hAnsi="Arial"/>
                <w:sz w:val="18"/>
                <w:szCs w:val="18"/>
                <w:b w:val="1"/>
                <w:bCs w:val="1"/>
                <w:i w:val="1"/>
                <w:iCs w:val="1"/>
                <w:color w:val="0000EE"/>
              </w:rPr>
            </w:pPr>
            <w:hyperlink w:anchor="page49">
              <w:r>
                <w:rPr>
                  <w:rFonts w:ascii="Arial" w:cs="Arial" w:eastAsia="Arial" w:hAnsi="Arial"/>
                  <w:sz w:val="18"/>
                  <w:szCs w:val="18"/>
                  <w:b w:val="1"/>
                  <w:bCs w:val="1"/>
                  <w:i w:val="1"/>
                  <w:iCs w:val="1"/>
                  <w:color w:val="0000EE"/>
                </w:rPr>
                <w:t>Controls and Procedures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7"/>
          </w:tcPr>
          <w:p>
            <w:pPr>
              <w:ind w:left="24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1.</w:t>
              </w:r>
            </w:hyperlink>
          </w:p>
        </w:tc>
        <w:tc>
          <w:tcPr>
            <w:tcW w:w="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7"/>
          </w:tcPr>
          <w:p>
            <w:pPr>
              <w:spacing w:after="0"/>
              <w:rPr>
                <w:rFonts w:ascii="Arial" w:cs="Arial" w:eastAsia="Arial" w:hAnsi="Arial"/>
                <w:sz w:val="18"/>
                <w:szCs w:val="18"/>
                <w:b w:val="1"/>
                <w:bCs w:val="1"/>
                <w:i w:val="1"/>
                <w:iCs w:val="1"/>
                <w:color w:val="0000EE"/>
              </w:rPr>
            </w:pPr>
            <w:hyperlink w:anchor="page50">
              <w:r>
                <w:rPr>
                  <w:rFonts w:ascii="Arial" w:cs="Arial" w:eastAsia="Arial" w:hAnsi="Arial"/>
                  <w:sz w:val="18"/>
                  <w:szCs w:val="18"/>
                  <w:b w:val="1"/>
                  <w:bCs w:val="1"/>
                  <w:i w:val="1"/>
                  <w:iCs w:val="1"/>
                  <w:color w:val="0000EE"/>
                </w:rPr>
                <w:t>Legal Proceedings</w:t>
              </w:r>
            </w:hyperlink>
          </w:p>
        </w:tc>
        <w:tc>
          <w:tcPr>
            <w:tcW w:w="2780" w:type="dxa"/>
            <w:vAlign w:val="bottom"/>
            <w:tcBorders>
              <w:top w:val="single" w:sz="8" w:color="0000EE"/>
            </w:tcBorders>
            <w:gridSpan w:val="3"/>
          </w:tcPr>
          <w:p>
            <w:pPr>
              <w:spacing w:after="0"/>
              <w:rPr>
                <w:sz w:val="19"/>
                <w:szCs w:val="19"/>
                <w:color w:val="auto"/>
              </w:rPr>
            </w:pPr>
          </w:p>
        </w:tc>
        <w:tc>
          <w:tcPr>
            <w:tcW w:w="2320" w:type="dxa"/>
            <w:vAlign w:val="bottom"/>
            <w:gridSpan w:val="3"/>
          </w:tcPr>
          <w:p>
            <w:pPr>
              <w:spacing w:after="0"/>
              <w:rPr>
                <w:sz w:val="19"/>
                <w:szCs w:val="19"/>
                <w:color w:val="auto"/>
              </w:rPr>
            </w:pPr>
          </w:p>
        </w:tc>
        <w:tc>
          <w:tcPr>
            <w:tcW w:w="64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 1A.</w:t>
              </w:r>
            </w:hyperlink>
          </w:p>
        </w:tc>
        <w:tc>
          <w:tcPr>
            <w:tcW w:w="7560" w:type="dxa"/>
            <w:vAlign w:val="bottom"/>
            <w:gridSpan w:val="14"/>
          </w:tcPr>
          <w:p>
            <w:pPr>
              <w:ind w:left="100"/>
              <w:spacing w:after="0" w:line="196" w:lineRule="exact"/>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Risk Factors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54">
              <w:r>
                <w:rPr>
                  <w:rFonts w:ascii="Arial" w:cs="Arial" w:eastAsia="Arial" w:hAnsi="Arial"/>
                  <w:sz w:val="18"/>
                  <w:szCs w:val="18"/>
                  <w:b w:val="1"/>
                  <w:bCs w:val="1"/>
                  <w:i w:val="1"/>
                  <w:iCs w:val="1"/>
                  <w:color w:val="0000EE"/>
                  <w:w w:val="83"/>
                </w:rPr>
                <w:t>Unregistered Sales of Equity Securities and Use of Proceeds</w:t>
              </w:r>
            </w:hyperlink>
          </w:p>
        </w:tc>
        <w:tc>
          <w:tcPr>
            <w:tcW w:w="31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54">
              <w:r>
                <w:rPr>
                  <w:rFonts w:ascii="Arial" w:cs="Arial" w:eastAsia="Arial" w:hAnsi="Arial"/>
                  <w:sz w:val="18"/>
                  <w:szCs w:val="18"/>
                  <w:b w:val="1"/>
                  <w:bCs w:val="1"/>
                  <w:color w:val="0000EE"/>
                  <w:w w:val="91"/>
                </w:rPr>
                <w:t>Item 6.</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54">
              <w:r>
                <w:rPr>
                  <w:rFonts w:ascii="Arial" w:cs="Arial" w:eastAsia="Arial" w:hAnsi="Arial"/>
                  <w:sz w:val="18"/>
                  <w:szCs w:val="18"/>
                  <w:b w:val="1"/>
                  <w:bCs w:val="1"/>
                  <w:i w:val="1"/>
                  <w:iCs w:val="1"/>
                  <w:color w:val="0000EE"/>
                  <w:w w:val="85"/>
                </w:rPr>
                <w:t>Exhibits</w:t>
              </w:r>
            </w:hyperlink>
          </w:p>
        </w:tc>
        <w:tc>
          <w:tcPr>
            <w:tcW w:w="684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9"/>
          </w:tcPr>
          <w:p>
            <w:pPr>
              <w:jc w:val="right"/>
              <w:ind w:right="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LendingTree Loans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19,250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33,374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44,724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LendingTree Loans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10,764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120"/>
              <w:spacing w:after="0"/>
              <w:rPr>
                <w:sz w:val="20"/>
                <w:szCs w:val="20"/>
                <w:color w:val="auto"/>
              </w:rPr>
            </w:pPr>
            <w:r>
              <w:rPr>
                <w:rFonts w:ascii="Arial" w:cs="Arial" w:eastAsia="Arial" w:hAnsi="Arial"/>
                <w:sz w:val="18"/>
                <w:szCs w:val="18"/>
                <w:color w:val="auto"/>
              </w:rPr>
              <w:t>Total cost of revenue (exclusive of depreciation shown separately below)</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24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(28,490)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(28,570)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(28,835)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(4,867)</w:t>
            </w:r>
          </w:p>
        </w:tc>
        <w:tc>
          <w:tcPr>
            <w:tcW w:w="0" w:type="dxa"/>
            <w:vAlign w:val="bottom"/>
          </w:tcPr>
          <w:p>
            <w:pPr>
              <w:spacing w:after="0"/>
              <w:rPr>
                <w:sz w:val="1"/>
                <w:szCs w:val="1"/>
                <w:color w:val="auto"/>
              </w:rPr>
            </w:pPr>
          </w:p>
        </w:tc>
      </w:tr>
      <w:tr>
        <w:trPr>
          <w:trHeight w:val="430"/>
        </w:trPr>
        <w:tc>
          <w:tcPr>
            <w:tcW w:w="73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(10,660)</w:t>
            </w: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(39,495)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(6,146)</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8"/>
              </w:rPr>
              <w:t>10,882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90"/>
              </w:rPr>
              <w:t>10,960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10,882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10,960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from continuing operations</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available to common shareholders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0280"/>
          </w:cols>
          <w:pgMar w:left="240" w:top="131" w:right="1379" w:bottom="1440" w:gutter="0" w:footer="0" w:header="0"/>
        </w:sect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par value and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53,520</w:t>
            </w:r>
          </w:p>
        </w:tc>
        <w:tc>
          <w:tcPr>
            <w:tcW w:w="3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Accounts receivable, net of allowance of $160 and $213,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($72,697 and $115,908 measured at fair value,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155,187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10,741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20"/>
              <w:spacing w:after="0"/>
              <w:rPr>
                <w:sz w:val="20"/>
                <w:szCs w:val="20"/>
                <w:color w:val="auto"/>
              </w:rPr>
            </w:pPr>
            <w:r>
              <w:rPr>
                <w:rFonts w:ascii="Arial" w:cs="Arial" w:eastAsia="Arial" w:hAnsi="Arial"/>
                <w:sz w:val="18"/>
                <w:szCs w:val="18"/>
                <w:color w:val="auto"/>
              </w:rPr>
              <w:t>Total assets</w:t>
            </w:r>
          </w:p>
        </w:tc>
        <w:tc>
          <w:tcPr>
            <w:tcW w:w="1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220,356</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66,472</w:t>
            </w:r>
          </w:p>
        </w:tc>
        <w:tc>
          <w:tcPr>
            <w:tcW w:w="3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100,623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124,790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6"/>
              </w:rPr>
              <w:t>Preferred stock $.01 par value; authorized 5,000,000 shares; none issued or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authorized 50,000,000 shares; issued 12,111,999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11,893,468 shares, respectively, and outstanding 10,988,738 and 10,770,207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910,160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908,837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(838,097)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Treasury stock 1,123,261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(8,532)</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vMerge w:val="restart"/>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220,356</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Paid-in</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101,821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908,837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Net loss for the three months ended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March 31, 2011</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(39,495)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(39,495)</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w w:val="96"/>
              </w:rPr>
              <w:t>vesting of restricted stock units,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of withholding taxes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910,160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(838,097)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9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 attributable to continuing operations: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(39,495)</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loss from discontinued operations, net of tax</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from continuing operations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(28,835)</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(4,867)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Adjustments to reconcile net loss from continuing operations to net cash provided by (used in) operating activities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continuing operations: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Loss on disposal of fixed assets</w:t>
            </w:r>
          </w:p>
        </w:tc>
        <w:tc>
          <w:tcPr>
            <w:tcW w:w="120" w:type="dxa"/>
            <w:vAlign w:val="bottom"/>
          </w:tcPr>
          <w:p>
            <w:pPr>
              <w:spacing w:after="0"/>
              <w:rPr>
                <w:sz w:val="12"/>
                <w:szCs w:val="12"/>
                <w:color w:val="auto"/>
              </w:rPr>
            </w:pPr>
          </w:p>
        </w:tc>
        <w:tc>
          <w:tcPr>
            <w:tcW w:w="74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Intangible impairment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Property and equipment impairment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compensation expense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Non-cash restructuring expense</w:t>
            </w:r>
          </w:p>
        </w:tc>
        <w:tc>
          <w:tcPr>
            <w:tcW w:w="120" w:type="dxa"/>
            <w:vAlign w:val="bottom"/>
          </w:tcPr>
          <w:p>
            <w:pPr>
              <w:spacing w:after="0"/>
              <w:rPr>
                <w:sz w:val="12"/>
                <w:szCs w:val="12"/>
                <w:color w:val="auto"/>
              </w:rPr>
            </w:pPr>
          </w:p>
        </w:tc>
        <w:tc>
          <w:tcPr>
            <w:tcW w:w="74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Gain on origination and sale of loans</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(17,309)</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impaired loans not sold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(Gain) loss on sale of real estate acquired in satisfaction of loans</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Bad debt expense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line="149" w:lineRule="exact"/>
              <w:rPr>
                <w:sz w:val="20"/>
                <w:szCs w:val="20"/>
                <w:color w:val="auto"/>
              </w:rPr>
            </w:pPr>
            <w:r>
              <w:rPr>
                <w:rFonts w:ascii="Arial" w:cs="Arial" w:eastAsia="Arial" w:hAnsi="Arial"/>
                <w:sz w:val="14"/>
                <w:szCs w:val="14"/>
                <w:color w:val="auto"/>
              </w:rPr>
              <w:t>Changes in current assets and liabilities: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(2,565)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Origination of loans</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(497,233)</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(608,365)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sales of loans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562,952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626,226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received on loans</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Payments to investors for loan repurchases and early payoff obligations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(164)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Prepaid and other current assets</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(1,533)</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 and other current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payable</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(1,293)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Net cash provided by (used in) operating activities attributable to continuing operations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29,645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9"/>
              </w:rPr>
              <w:t>(14,114)</w:t>
            </w: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 attributable to continuing operations:</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Acquisitions, net of cash acquired</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(7,804)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120" w:type="dxa"/>
            <w:vAlign w:val="bottom"/>
          </w:tcPr>
          <w:p>
            <w:pPr>
              <w:spacing w:after="0"/>
              <w:rPr>
                <w:sz w:val="12"/>
                <w:szCs w:val="12"/>
                <w:color w:val="auto"/>
              </w:rPr>
            </w:pPr>
          </w:p>
        </w:tc>
        <w:tc>
          <w:tcPr>
            <w:tcW w:w="7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(3,498)</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used in investing activities attributable to continuing operations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42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(10,686)</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Cash flows from financing activities attributable to continuing operations: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Borrowing under warehouse lines of credit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138,500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551,088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of warehouse lines of credit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(172,651)</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(546,070)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net of withholding taxes</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Arial" w:cs="Arial" w:eastAsia="Arial" w:hAnsi="Arial"/>
                <w:sz w:val="14"/>
                <w:szCs w:val="14"/>
                <w:color w:val="auto"/>
              </w:rPr>
              <w:t>Increase in restricted cash</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4" w:lineRule="exact"/>
              <w:rPr>
                <w:sz w:val="20"/>
                <w:szCs w:val="20"/>
                <w:color w:val="auto"/>
              </w:rPr>
            </w:pPr>
            <w:r>
              <w:rPr>
                <w:rFonts w:ascii="Arial" w:cs="Arial" w:eastAsia="Arial" w:hAnsi="Arial"/>
                <w:sz w:val="14"/>
                <w:szCs w:val="14"/>
                <w:color w:val="auto"/>
              </w:rPr>
              <w:t>(34,126)</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3,212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cash used in continuing operations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42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(15,167)</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(12,071)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cash used in operating activities attributable to discontinued operations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4" w:lineRule="exact"/>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Net cash used in investing activities attributable to discontinued operations</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cash used in discontinued operations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8"/>
              <w:spacing w:after="0" w:line="144" w:lineRule="exact"/>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(15,299)</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(13,042)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42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53,520</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73,051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Tree.com, Inc. ("Tree.com" or the "Company") is the parent of LendingTree, LLC, which owns several brands and businesses that provide information, tools, advice, products and services for critical transactions in our customers' lives. Our family of brands includes: LendingTree.com®, GetSmart.com®,</w:t>
      </w:r>
    </w:p>
    <w:p>
      <w:pPr>
        <w:ind w:right="180"/>
        <w:spacing w:after="0" w:line="221" w:lineRule="auto"/>
        <w:rPr>
          <w:sz w:val="20"/>
          <w:szCs w:val="20"/>
          <w:color w:val="auto"/>
        </w:rPr>
      </w:pPr>
      <w:r>
        <w:rPr>
          <w:rFonts w:ascii="Arial" w:cs="Arial" w:eastAsia="Arial" w:hAnsi="Arial"/>
          <w:sz w:val="18"/>
          <w:szCs w:val="18"/>
          <w:color w:val="auto"/>
        </w:rPr>
        <w:t>RealEstate.com®, DegreeTree.com</w:t>
      </w:r>
      <w:r>
        <w:rPr>
          <w:rFonts w:ascii="Arial" w:cs="Arial" w:eastAsia="Arial" w:hAnsi="Arial"/>
          <w:sz w:val="29"/>
          <w:szCs w:val="29"/>
          <w:color w:val="auto"/>
          <w:vertAlign w:val="superscript"/>
        </w:rPr>
        <w:t>SM</w:t>
      </w:r>
      <w:r>
        <w:rPr>
          <w:rFonts w:ascii="Arial" w:cs="Arial" w:eastAsia="Arial" w:hAnsi="Arial"/>
          <w:sz w:val="18"/>
          <w:szCs w:val="18"/>
          <w:color w:val="auto"/>
        </w:rPr>
        <w:t>, HealthTree.com</w:t>
      </w:r>
      <w:r>
        <w:rPr>
          <w:rFonts w:ascii="Arial" w:cs="Arial" w:eastAsia="Arial" w:hAnsi="Arial"/>
          <w:sz w:val="29"/>
          <w:szCs w:val="29"/>
          <w:color w:val="auto"/>
          <w:vertAlign w:val="superscript"/>
        </w:rPr>
        <w:t>SM</w:t>
      </w:r>
      <w:r>
        <w:rPr>
          <w:rFonts w:ascii="Arial" w:cs="Arial" w:eastAsia="Arial" w:hAnsi="Arial"/>
          <w:sz w:val="18"/>
          <w:szCs w:val="18"/>
          <w:color w:val="auto"/>
        </w:rPr>
        <w:t>, LendingTreeAutos.com, DoneRight.com®, and InsuranceTree.com</w:t>
      </w:r>
      <w:r>
        <w:rPr>
          <w:rFonts w:ascii="Arial" w:cs="Arial" w:eastAsia="Arial" w:hAnsi="Arial"/>
          <w:sz w:val="29"/>
          <w:szCs w:val="29"/>
          <w:color w:val="auto"/>
          <w:vertAlign w:val="superscript"/>
        </w:rPr>
        <w:t>SM</w:t>
      </w:r>
      <w:r>
        <w:rPr>
          <w:rFonts w:ascii="Arial" w:cs="Arial" w:eastAsia="Arial" w:hAnsi="Arial"/>
          <w:sz w:val="18"/>
          <w:szCs w:val="18"/>
          <w:color w:val="auto"/>
        </w:rPr>
        <w:t>. Together, these brands serve as an ally for consumers who are looking to comparison shop for loans, real estate and other services from multiple businesses and professionals who will compete for their business.</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businesses and brands are operated under the segments known as LendingTree Loans and the Exchanges.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The LendingTree Loans segment originates, processes, approves and funds various residential real estate loans through Home Loan Center, Inc. dba LendingTree Loans ("HLC"). The HLC and LendingTree Loans brand names are collectively referred to in these consolidated financial statements as "LendingTree Loans."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real estate, higher education, home services, insurance and automobile marketplaces.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On March 10, 2011, management of the Company made the decision and finalized a plan to close all of the field offices of the proprietary full service real estate brokerage business known as RealEstate.com, REALTORS®, which was previously reported within the Real Estate reporting segment (see Note 8). The Company exited all markets by March 31, 2011. Accordingly, RealEstate.com, REALTORS® is presented as discontinued operations in the accompanying consolidated balance sheet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Tree.com maintains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360" w:firstLine="351"/>
        <w:spacing w:after="0" w:line="291" w:lineRule="auto"/>
        <w:rPr>
          <w:sz w:val="20"/>
          <w:szCs w:val="20"/>
          <w:color w:val="auto"/>
        </w:rPr>
      </w:pPr>
      <w:r>
        <w:rPr>
          <w:rFonts w:ascii="Arial" w:cs="Arial" w:eastAsia="Arial" w:hAnsi="Arial"/>
          <w:sz w:val="16"/>
          <w:szCs w:val="16"/>
          <w:color w:val="auto"/>
        </w:rPr>
        <w:t>On March 15, 2011, Tree.com, through its wholly-owned subsidiary, HLC, completed its acquisition of certain assets of First Residential Mortgage Network, Inc. dba SurePoint Lending ("SurePoint") and certain shareholders of SurePoint. The Asset Purchase Agreement (the "Agreement") was previously announced on November 16, 2010. SurePoint, a LendingTree network lender for eleven years, was a full service residential mortgage provider licensed in 45 states and employing over 500 people, including more than 300 licensed loan officers. The Agreement provides for the purchase by HLC of certain specified assets and liabilities of SurePoint related to its business of originating, refinancing, processing, underwriting, funding and closing residential mortgage loans; providing title and escrow services;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providing other mortgage related services, as further described in the Agreement. The acquired assets also include all of the equity interests of Real Estate Title Services, LLC. Under the terms of the Agreement, HLC paid $8.0 million in cash upon the closing of the transaction, subject to certain adjustments as described in the Agreement. The Company used available cash to fund the acquisition.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asset purchase is being accounted for under the acquisition method of accounting. Accordingly, the purchase price is allocated to the acquired assets and liabilities based on their estimated fair values at the acquisition date. The allocation of the purchase price, including goodwill, if any, is not yet complete and will be finalized upon completion of the analysis of the fair values of the acquired assets and liabilities. The pro forma effect of this purchase was not material to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March 31, 2011 and 2010 and for the three months then ended have been prepared in accordance with accounting principles generally accepted in the United States of America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2011 are not necessarily indicative of the results to be expected for the year ending December 31, 2011, or any other period. These financial statements and notes should be read in conjunction with the audited financial statements and notes thereto included in the Company's annual report on Form 10-K for the year ended December 31,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Mortgage lending escrow funds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Total restricted cash and cash equivalents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See Note 10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Intangible assets with indefinite lives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39,142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43,242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Total intangible assets, net</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with indefinite lives relate principally to trade names and trademarks acquired in various acquisitions.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2011,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75,453</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(29,949)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542</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9,009</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(8,514)</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122,341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(120,470)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2010, intangible assets with definite lives relate to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Amortization Life</w:t>
            </w:r>
          </w:p>
        </w:tc>
      </w:tr>
      <w:tr>
        <w:trPr>
          <w:trHeight w:val="161"/>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75,453</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(29,838)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9,009</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(8,346)</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122,341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March 31, 2011 balances, such amortization for the next five years is estimated to be as follows (in thousands):</w:t>
      </w:r>
    </w:p>
    <w:p>
      <w:pPr>
        <w:sectPr>
          <w:pgSz w:w="11900" w:h="16838" w:orient="portrait"/>
          <w:cols w:equalWidth="0" w:num="1">
            <w:col w:w="11160"/>
          </w:cols>
          <w:pgMar w:left="240" w:top="131" w:right="4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Nine months ending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-103505</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2012</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Year ending December 31, 2014</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394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360" w:hanging="359"/>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777</w:t>
      </w:r>
    </w:p>
    <w:p>
      <w:pPr>
        <w:spacing w:after="0" w:line="4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410</w:t>
      </w:r>
    </w:p>
    <w:p>
      <w:pPr>
        <w:spacing w:after="0" w:line="43"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144</w:t>
      </w:r>
    </w:p>
    <w:p>
      <w:pPr>
        <w:spacing w:after="0" w:line="43"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84</w:t>
      </w:r>
    </w:p>
    <w:p>
      <w:pPr>
        <w:spacing w:after="0" w:line="32" w:lineRule="exact"/>
        <w:rPr>
          <w:rFonts w:ascii="Arial" w:cs="Arial" w:eastAsia="Arial" w:hAnsi="Arial"/>
          <w:sz w:val="15"/>
          <w:szCs w:val="15"/>
          <w:color w:val="auto"/>
        </w:rPr>
      </w:pPr>
    </w:p>
    <w:p>
      <w:pPr>
        <w:ind w:left="440"/>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394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  1,871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59690</wp:posOffset>
            </wp:positionV>
            <wp:extent cx="394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00"/>
          </w:cols>
          <w:pgMar w:left="240" w:top="131" w:right="49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balance of goodwill by segment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LendingTree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Exchanges</w:t>
            </w:r>
          </w:p>
        </w:tc>
        <w:tc>
          <w:tcPr>
            <w:tcW w:w="1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2010</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486,720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533,246</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impairment losses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(483,088)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(529,614)</w:t>
            </w:r>
          </w:p>
        </w:tc>
      </w:tr>
      <w:tr>
        <w:trPr>
          <w:trHeight w:val="27"/>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r>
      <w:tr>
        <w:trPr>
          <w:trHeight w:val="216"/>
        </w:trPr>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Goodwill resulting from business combinations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7,109</w:t>
            </w:r>
          </w:p>
        </w:tc>
      </w:tr>
      <w:tr>
        <w:trPr>
          <w:trHeight w:val="431"/>
        </w:trPr>
        <w:tc>
          <w:tcPr>
            <w:tcW w:w="3760" w:type="dxa"/>
            <w:vAlign w:val="bottom"/>
          </w:tcPr>
          <w:p>
            <w:pPr>
              <w:spacing w:after="0"/>
              <w:rPr>
                <w:sz w:val="20"/>
                <w:szCs w:val="20"/>
                <w:color w:val="auto"/>
              </w:rPr>
            </w:pPr>
            <w:r>
              <w:rPr>
                <w:rFonts w:ascii="Arial" w:cs="Arial" w:eastAsia="Arial" w:hAnsi="Arial"/>
                <w:sz w:val="18"/>
                <w:szCs w:val="18"/>
                <w:b w:val="1"/>
                <w:bCs w:val="1"/>
                <w:color w:val="auto"/>
              </w:rPr>
              <w:t>Balance as of March 31, 2011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540,355</w:t>
            </w:r>
          </w:p>
        </w:tc>
      </w:tr>
      <w:tr>
        <w:trPr>
          <w:trHeight w:val="222"/>
        </w:trPr>
        <w:tc>
          <w:tcPr>
            <w:tcW w:w="3760" w:type="dxa"/>
            <w:vAlign w:val="bottom"/>
          </w:tcPr>
          <w:p>
            <w:pPr>
              <w:ind w:left="1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(46,526)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(483,088)</w:t>
            </w: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(529,614)</w:t>
            </w:r>
          </w:p>
        </w:tc>
      </w:tr>
      <w:tr>
        <w:trPr>
          <w:trHeight w:val="21"/>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10,741</w:t>
            </w:r>
          </w:p>
        </w:tc>
      </w:tr>
      <w:tr>
        <w:trPr>
          <w:trHeight w:val="27"/>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 acquired in 2011 relates to the acquisition of SurePoint that is discussed in Note 1.</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closing all of the field offices of RealEstate.com, REALTORS® as described in Note 1, the Company incurred impairment charges totaling $5.0 million in the first quarter of 2011. Trademark impairment totaled $4.1 million and property and equipment impairment totaled $0.9 million. As described in Note 7, in connection with exiting this business, the Company changed its reporting segments. See Note 7 for information regarding the allocation of segment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34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capitalized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Projects in progress</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4,085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2,896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44,689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(32,095)</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(32,643)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jc w:val="right"/>
              <w:ind w:right="119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loan loss liability related to loans previously sold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Loan loss settlement liability related to loans previously sold</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and escrows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8,413</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other category above reflects an earnout payable related to an acquisition, franchise taxes, self-insured health claims and other miscellaneous accrued expenses.</w:t>
      </w:r>
    </w:p>
    <w:p>
      <w:pPr>
        <w:spacing w:after="0" w:line="186"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 additional $13.1 million and $11.5 million of accrued loan loss liability related to loans previously sold is classified in other long term liabilities at March 31, 2011 and December 31, 2010, respectively.</w:t>
      </w:r>
    </w:p>
    <w:p>
      <w:pPr>
        <w:spacing w:after="0" w:line="186"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 additional $1.1 million and $1.2 million of accrued restructuring liability is classified in other long term liabilities at March 31, 2011 and December 31,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$66.5 million and $100.6 million at March 31, 2011 and December 31, 2010, respectively.</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of March 31, 2011, LendingTree Loans had two committed lines of credit totaling $150.0 million of borrowing capacity.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by LendingTree Loans.</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$50.0 million first line is scheduled to expire on June 29, 2011. This line can be cancelled at the option of the lender without default upon sixty days notice. This first line includes an additional uncommitted credit facility of $25.0 million. This first line is also guaranteed by Tree.com, Inc., LendingTree, LLC and LendingTree Holdings Corp. The interest rate under the first line is the 30-day London InterBank Offered Rate ("LIBOR") or 2.00% (whichever is greater) plus 2.25%. The interest rate under the $25.0 million uncommitted line is the 30-day LIBOR plus 1.50%. LendingTree Loans is also required to sell at least 25% of the loans it originates to the lender under this line or pay a "pair-off fee" of 0.25% on the difference between the required and actual volume of loans sold.</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6—WAREHOUSE LINES OF CREDIT (Continued)</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$100.0 million second line is scheduled to expire on October 28, 2011. This line is also guaranteed by Tree.com, Inc., LendingTree, LLC and LendingTree Holdings Corp. The interest rate under this line is the 30-day Adjusted LIBOR or 2.0% (whichever is greater) plus 2.25% to 2.5% for loans being sold to the lender and 30-day Adjusted LIBOR or 2.0% (whichever is greater) plus 2.25% for loans not being sold to the lender.</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quarter ended March 31, 2011, LendingTree Loans was in compliance with the covenants under these lines.</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intend to renew both of these lines upon expiration.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connection with exiting the RealEstate.com, REALTORS® business that is discussed in Notes 1, 3 and 8, the Company re-evaluated its reporting segments based on the continuing operations of the Company. In prior periods, the segments "LendingTree Loans", "Exchanges", "Real Estate" and "Unallocated-Corporate" were presented, which have been changed to "LendingTree Loans" and "Exchanges". The "Exchanges" segment now includes the continuing operations of the previous "Real Estate" segment and the previous "Unallocated—Corporate" segment. Segment results for prior periods have been restated to conform to the new presentation.</w:t>
      </w:r>
    </w:p>
    <w:p>
      <w:pPr>
        <w:spacing w:after="0" w:line="197"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During the third quarter of 2010, the Company changed its accounting policy for inter-segment revenue and inter-segment marketing expense between the LendingTree Loans and Exchanges segments. This change only impacts the individual segment results, and does not impact the consolidated financial results of Tree.com.</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Marketing expense for the Exchanges is primarily related to the building and maintaining of the Company's core brands, using both online and offline spending, and generates leads not only for the Exchanges but for other segments as well. Previously, marketing expense for LendingTree Loans was primarily comprised of inter-segment purchases of leads from the Exchanges, leveraging the LendingTree and GetSmart brands. The Exchanges received inter-segment revenue for the sale of these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leads, and that revenue and the related marketing expense at LendingTree Loans would then be eliminated in consolidation of the total Company results.</w:t>
      </w: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now uses a cost sharing approach for these marketing expenses, whereby LendingTree Loans and the Exchanges now share the marketing expense on a pro rata basis, based on the quantity of leads received by each segment. There is no longer inter-segment revenue or inter-segment marketing expense between these two segments related to these leads. Management believes that this cost sharing approach is preferable because it more closely aligns the overall goals of the Company with the goals of segment management, and may ultimately drive the Company to better performance. Segment reporting results for prior periods have been restated to conform to the new presentation.</w:t>
      </w:r>
    </w:p>
    <w:p>
      <w:pPr>
        <w:spacing w:after="0" w:line="170" w:lineRule="exact"/>
        <w:rPr>
          <w:sz w:val="20"/>
          <w:szCs w:val="20"/>
          <w:color w:val="auto"/>
        </w:rPr>
      </w:pPr>
    </w:p>
    <w:p>
      <w:pPr>
        <w:ind w:right="540" w:firstLine="348"/>
        <w:spacing w:after="0" w:line="286" w:lineRule="auto"/>
        <w:rPr>
          <w:sz w:val="20"/>
          <w:szCs w:val="20"/>
          <w:color w:val="auto"/>
        </w:rPr>
      </w:pPr>
      <w:r>
        <w:rPr>
          <w:rFonts w:ascii="Arial" w:cs="Arial" w:eastAsia="Arial" w:hAnsi="Arial"/>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ind w:right="140" w:firstLine="8"/>
        <w:spacing w:after="0" w:line="287"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gain/loss on disposal of assets, (4) restructuring expenses, (5) litigation settlements and contingencies,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EBITDA and Adjusted EBITDA have certain limitations in that they do not take into account the impact to Tree.com's statement of operations of certain expenses, as described above.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information by segment and reconciliation to EBITDA and Adjusted EBITDA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gridSpan w:val="9"/>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March 31, 2011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60" w:type="dxa"/>
            <w:vAlign w:val="bottom"/>
            <w:gridSpan w:val="3"/>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LendingTree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Exchanges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19,250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10,764</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12,112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8,486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7,703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13,103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5,007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15,788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ind w:left="230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(21,188)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(28,490)</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to EBITDA and Adjusted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ind w:left="2300"/>
              <w:spacing w:after="0"/>
              <w:rPr>
                <w:sz w:val="20"/>
                <w:szCs w:val="20"/>
                <w:color w:val="auto"/>
              </w:rPr>
            </w:pPr>
            <w:r>
              <w:rPr>
                <w:rFonts w:ascii="Arial" w:cs="Arial" w:eastAsia="Arial" w:hAnsi="Arial"/>
                <w:sz w:val="18"/>
                <w:szCs w:val="18"/>
                <w:color w:val="auto"/>
              </w:rPr>
              <w:t>EBITDA from continuing operations</w:t>
            </w: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(19,702)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(26,607)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tcPr>
          <w:p>
            <w:pPr>
              <w:spacing w:after="0"/>
              <w:rPr>
                <w:sz w:val="18"/>
                <w:szCs w:val="18"/>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5,007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(6,455)</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(15,408)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ind w:left="2300"/>
              <w:spacing w:after="0"/>
              <w:rPr>
                <w:sz w:val="20"/>
                <w:szCs w:val="20"/>
                <w:color w:val="auto"/>
              </w:rPr>
            </w:pPr>
            <w:r>
              <w:rPr>
                <w:rFonts w:ascii="Arial" w:cs="Arial" w:eastAsia="Arial" w:hAnsi="Arial"/>
                <w:sz w:val="18"/>
                <w:szCs w:val="18"/>
                <w:color w:val="auto"/>
              </w:rPr>
              <w:t>Reconciliation to net loss in total:</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(28,490)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(28,570)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(28,835)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(10,660)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(39,495)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jc w:val="right"/>
              <w:ind w:right="332"/>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8"/>
              </w:rPr>
              <w:t>March 31, 2010</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LendingTree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Exchanges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3"/>
              </w:rPr>
              <w:t>Total</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18,986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44,724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revenue (exclusive of depreciation shown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10,274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1,474</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11,748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3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32,976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19,559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6,582</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11,398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98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26,786</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37,141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Adjustments to reconcile to EBITDA and Adjusted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EBITDA from continuing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2300"/>
              <w:spacing w:after="0"/>
              <w:rPr>
                <w:sz w:val="20"/>
                <w:szCs w:val="20"/>
                <w:color w:val="auto"/>
              </w:rPr>
            </w:pPr>
            <w:r>
              <w:rPr>
                <w:rFonts w:ascii="Arial" w:cs="Arial" w:eastAsia="Arial" w:hAnsi="Arial"/>
                <w:sz w:val="18"/>
                <w:szCs w:val="18"/>
                <w:color w:val="auto"/>
              </w:rPr>
              <w:t>Adjusted EBITDA from continuing operations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(3,877)</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to net loss in total: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loss per above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(4,165)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230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(4,324)</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(4,867)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(6,146)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7—SEGMENT INFORMATION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revenue for the three months ended March 31, 2011 and 2010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17,309</w:t>
            </w:r>
          </w:p>
        </w:tc>
        <w:tc>
          <w:tcPr>
            <w:tcW w:w="1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23,400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5100" w:type="dxa"/>
            <w:vAlign w:val="bottom"/>
            <w:vMerge w:val="restart"/>
          </w:tcPr>
          <w:p>
            <w:pPr>
              <w:ind w:left="260"/>
              <w:spacing w:after="0"/>
              <w:rPr>
                <w:sz w:val="20"/>
                <w:szCs w:val="20"/>
                <w:color w:val="auto"/>
              </w:rPr>
            </w:pPr>
            <w:r>
              <w:rPr>
                <w:rFonts w:ascii="Arial" w:cs="Arial" w:eastAsia="Arial" w:hAnsi="Arial"/>
                <w:sz w:val="18"/>
                <w:szCs w:val="18"/>
                <w:color w:val="auto"/>
              </w:rPr>
              <w:t>Total LendingTree Loans</w:t>
            </w: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12,627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14,248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Exchanges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18,986</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44,724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 by segment at March 31, 2011 and December 31, 2010 are as follows (in thousands):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194,244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Exchanges</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81,496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78,971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8—DISCONTINUED OPERATIONS</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On March 10, 2011, management of the Company made the decision and finalized a plan to close all of the field offices of the proprietary full service real estate brokerage business known as RealEstate.com, REALTORS®, which was previously reported within the Real Estate reporting segment (see Note 7). The Company exited all markets by March 31, 2011. Accordingly, RealEstate.com, REALTORS® is presented as discontinued operations in the accompanying consolidated balance sheet and consolidated statements of operations and cash flows for all periods presented.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revenue and net loss for the aforementioned discontinued operations for the applicable periods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Loss before income taxes</w:t>
            </w:r>
          </w:p>
        </w:tc>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continu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vMerge w:val="continue"/>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(10,660)</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(1,177)</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2300"/>
              <w:spacing w:after="0"/>
              <w:rPr>
                <w:sz w:val="20"/>
                <w:szCs w:val="20"/>
                <w:color w:val="auto"/>
              </w:rPr>
            </w:pPr>
            <w:r>
              <w:rPr>
                <w:rFonts w:ascii="Arial" w:cs="Arial" w:eastAsia="Arial" w:hAnsi="Arial"/>
                <w:sz w:val="18"/>
                <w:szCs w:val="18"/>
                <w:color w:val="auto"/>
              </w:rPr>
              <w:t>Net loss</w:t>
            </w:r>
          </w:p>
        </w:tc>
        <w:tc>
          <w:tcPr>
            <w:tcW w:w="264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(10,660)</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(1,279)</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00" w:type="dxa"/>
            <w:vAlign w:val="bottom"/>
            <w:vMerge w:val="restart"/>
          </w:tcPr>
          <w:p>
            <w:pPr>
              <w:jc w:val="right"/>
              <w:ind w:right="147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8—DISCONTINUED OPERATIONS (Continued)</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Net loss for the three months ended March 31, 2011 includes goodwill disposal charges totaling $8.0 million and restructuring charges totaling $1.9 million. The amount of goodwill allocated to discontinued operations and subsequently disposed of was based on the relative fair values prior to disposition of the business disposed of and the business retained.</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assets and liabilities of RealEstate.com, REALTORS® reported as discontinued operations as of March 31, 2011 and December 31, 2010 were as follows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assets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9,368</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Net assets (liabilities)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88"/>
              </w:rPr>
              <w:t>Three Months Ended March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w w:val="96"/>
              </w:rPr>
              <w:t>Basic</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2"/>
              </w:rPr>
              <w:t>Diluted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0"/>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10"/>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(28,835)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(28,835)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8"/>
              </w:rPr>
              <w:t>(10,660)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available to common shareholders</w:t>
            </w:r>
          </w:p>
        </w:tc>
        <w:tc>
          <w:tcPr>
            <w:tcW w:w="18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(39,495)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(39,495)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(6,146)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w:t>
            </w:r>
          </w:p>
        </w:tc>
        <w:tc>
          <w:tcPr>
            <w:tcW w:w="1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(2.65)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common share</w:t>
            </w:r>
          </w:p>
        </w:tc>
        <w:tc>
          <w:tcPr>
            <w:tcW w:w="18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8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vMerge w:val="restart"/>
          </w:tcPr>
          <w:p>
            <w:pPr>
              <w:jc w:val="right"/>
              <w:ind w:right="812"/>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 AND STOCK-BASED COMPENSATION (Continued)</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months ended March 31, 2011 and 2010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5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r>
      <w:tr>
        <w:trPr>
          <w:trHeight w:val="27"/>
        </w:trPr>
        <w:tc>
          <w:tcPr>
            <w:tcW w:w="5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7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three months ended March 31, 2011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952,669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Forfeited</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March 31, 2011</w:t>
            </w:r>
          </w:p>
        </w:tc>
        <w:tc>
          <w:tcPr>
            <w:tcW w:w="2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2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March 31, 2011</w:t>
            </w:r>
          </w:p>
        </w:tc>
        <w:tc>
          <w:tcPr>
            <w:tcW w:w="2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315,756</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12.01</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20" w:type="dxa"/>
            <w:vAlign w:val="bottom"/>
            <w:vMerge w:val="restart"/>
          </w:tcPr>
          <w:p>
            <w:pPr>
              <w:jc w:val="right"/>
              <w:ind w:right="472"/>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March 31,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20" w:type="dxa"/>
            <w:vAlign w:val="bottom"/>
            <w:gridSpan w:val="4"/>
          </w:tcPr>
          <w:p>
            <w:pPr>
              <w:ind w:left="1040"/>
              <w:spacing w:after="0"/>
              <w:rPr>
                <w:sz w:val="20"/>
                <w:szCs w:val="20"/>
                <w:color w:val="auto"/>
              </w:rPr>
            </w:pPr>
            <w:r>
              <w:rPr>
                <w:rFonts w:ascii="Arial" w:cs="Arial" w:eastAsia="Arial" w:hAnsi="Arial"/>
                <w:sz w:val="14"/>
                <w:szCs w:val="14"/>
                <w:b w:val="1"/>
                <w:bCs w:val="1"/>
                <w:color w:val="auto"/>
                <w:w w:val="90"/>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7"/>
              </w:rPr>
              <w:t>Outstanding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80" w:type="dxa"/>
            <w:vAlign w:val="bottom"/>
          </w:tcPr>
          <w:p>
            <w:pPr>
              <w:jc w:val="right"/>
              <w:ind w:right="67"/>
              <w:spacing w:after="0" w:line="149" w:lineRule="exact"/>
              <w:rPr>
                <w:sz w:val="20"/>
                <w:szCs w:val="20"/>
                <w:color w:val="auto"/>
              </w:rPr>
            </w:pPr>
            <w:r>
              <w:rPr>
                <w:rFonts w:ascii="Arial" w:cs="Arial" w:eastAsia="Arial" w:hAnsi="Arial"/>
                <w:sz w:val="14"/>
                <w:szCs w:val="14"/>
                <w:b w:val="1"/>
                <w:bCs w:val="1"/>
                <w:color w:val="auto"/>
                <w:w w:val="97"/>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tcPr>
          <w:p>
            <w:pPr>
              <w:jc w:val="right"/>
              <w:ind w:right="18"/>
              <w:spacing w:after="0"/>
              <w:rPr>
                <w:sz w:val="20"/>
                <w:szCs w:val="20"/>
                <w:color w:val="auto"/>
              </w:rPr>
            </w:pPr>
            <w:r>
              <w:rPr>
                <w:rFonts w:ascii="Arial" w:cs="Arial" w:eastAsia="Arial" w:hAnsi="Arial"/>
                <w:sz w:val="14"/>
                <w:szCs w:val="14"/>
                <w:b w:val="1"/>
                <w:bCs w:val="1"/>
                <w:color w:val="auto"/>
                <w:w w:val="96"/>
              </w:rPr>
              <w:t>March 31, 2011</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Life in Years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080" w:type="dxa"/>
            <w:vAlign w:val="bottom"/>
          </w:tcPr>
          <w:p>
            <w:pPr>
              <w:jc w:val="right"/>
              <w:ind w:right="27"/>
              <w:spacing w:after="0"/>
              <w:rPr>
                <w:sz w:val="20"/>
                <w:szCs w:val="20"/>
                <w:color w:val="auto"/>
              </w:rPr>
            </w:pPr>
            <w:r>
              <w:rPr>
                <w:rFonts w:ascii="Arial" w:cs="Arial" w:eastAsia="Arial" w:hAnsi="Arial"/>
                <w:sz w:val="14"/>
                <w:szCs w:val="14"/>
                <w:b w:val="1"/>
                <w:bCs w:val="1"/>
                <w:color w:val="auto"/>
                <w:w w:val="96"/>
              </w:rPr>
              <w:t>March 31, 2011</w:t>
            </w: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$.01 to $4.99</w:t>
            </w: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1080" w:type="dxa"/>
            <w:vAlign w:val="bottom"/>
          </w:tcPr>
          <w:p>
            <w:pPr>
              <w:jc w:val="right"/>
              <w:spacing w:after="0"/>
              <w:rPr>
                <w:sz w:val="20"/>
                <w:szCs w:val="20"/>
                <w:color w:val="auto"/>
              </w:rPr>
            </w:pPr>
            <w:r>
              <w:rPr>
                <w:rFonts w:ascii="Arial" w:cs="Arial" w:eastAsia="Arial" w:hAnsi="Arial"/>
                <w:sz w:val="18"/>
                <w:szCs w:val="18"/>
                <w:color w:val="auto"/>
              </w:rPr>
              <w:t>11,290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1080" w:type="dxa"/>
            <w:vAlign w:val="bottom"/>
          </w:tcPr>
          <w:p>
            <w:pPr>
              <w:jc w:val="right"/>
              <w:spacing w:after="0"/>
              <w:rPr>
                <w:sz w:val="20"/>
                <w:szCs w:val="20"/>
                <w:color w:val="auto"/>
              </w:rPr>
            </w:pPr>
            <w:r>
              <w:rPr>
                <w:rFonts w:ascii="Arial" w:cs="Arial" w:eastAsia="Arial" w:hAnsi="Arial"/>
                <w:sz w:val="18"/>
                <w:szCs w:val="18"/>
                <w:color w:val="auto"/>
              </w:rPr>
              <w:t>53,369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53,369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1080" w:type="dxa"/>
            <w:vAlign w:val="bottom"/>
          </w:tcPr>
          <w:p>
            <w:pPr>
              <w:jc w:val="right"/>
              <w:spacing w:after="0"/>
              <w:rPr>
                <w:sz w:val="20"/>
                <w:szCs w:val="20"/>
                <w:color w:val="auto"/>
              </w:rPr>
            </w:pPr>
            <w:r>
              <w:rPr>
                <w:rFonts w:ascii="Arial" w:cs="Arial" w:eastAsia="Arial" w:hAnsi="Arial"/>
                <w:sz w:val="18"/>
                <w:szCs w:val="18"/>
                <w:color w:val="auto"/>
              </w:rPr>
              <w:t>46,663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315,756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on April 8, 2011 the Chairman and CEO was granted 153,868 stock options that vest in three equal installments beginning on April 8,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exercise price and the weighted average fair value related to these stock options were $5.89 and $2.60,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Nonvested RSUs and restricted stock outstanding as of March 31, 2011 and changes during the three months ended March 31, 2011 were as follows: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29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r>
      <w:tr>
        <w:trPr>
          <w:trHeight w:val="149"/>
        </w:trPr>
        <w:tc>
          <w:tcPr>
            <w:tcW w:w="2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9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9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634,771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2"/>
              </w:rPr>
              <w:t>412,500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297,916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(190,871)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2"/>
              </w:rPr>
              <w:t>275,000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7"/>
        </w:trPr>
        <w:tc>
          <w:tcPr>
            <w:tcW w:w="2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45" w:lineRule="exact"/>
        <w:rPr>
          <w:sz w:val="20"/>
          <w:szCs w:val="20"/>
          <w:color w:val="auto"/>
        </w:rPr>
      </w:pPr>
    </w:p>
    <w:p>
      <w:pPr>
        <w:ind w:left="1080" w:right="10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Tree.com reports IRLCs as derivative instruments at fair value with changes in fair value being recorded in current earnings as a component of revenue from the origination and sale of loans.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which results in the classification of these derivatives as Level 3. The value of the underlying loan and the anticipated loan funding probability are the most significant assumptions affecting the valuation of IRLCs. There were no significant changes to the methods and assumptions for valuing IRLCs in the period ended March 31, 2011. At March 31, 2011 and December 31, 2010, there were $301.7 million and $216.6 million, respectively, of IRLCs notional value outstanding.</w:t>
      </w:r>
    </w:p>
    <w:p>
      <w:pPr>
        <w:spacing w:after="0" w:line="175"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 and current status of the loan. There were no significant changes to the method and assumptions used to estimate the fair value of impaired loans in the period ended March 31, 2011. LendingTree Loans recognizes interest income separately from other changes in fair value.</w:t>
      </w:r>
    </w:p>
    <w:p>
      <w:pPr>
        <w:spacing w:after="0" w:line="162"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There were no significant changes to the methods and assumptions for valuing hedging instruments in the period ended March 31, 2011. TBA MBS used to hedge both IRLCs and loans are valued using quantitative risk models based primarily on inputs related to characteristics of the MBS stratified by product, coupon, and settlement date. These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current base loan price and the anticipated loan funding probability are the most significant assumptions affecting the value of the best efforts commitments.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presents Tree.com's assets and liabilities that are measured at fair value on a recurring basis at March 31, 2011 and December 31, 2010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As of March 31, 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71,554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w w:val="92"/>
              </w:rPr>
              <w:t>As of December 31, 2010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800"/>
              <w:spacing w:after="0" w:line="142" w:lineRule="exact"/>
              <w:rPr>
                <w:sz w:val="20"/>
                <w:szCs w:val="20"/>
                <w:color w:val="auto"/>
              </w:rPr>
            </w:pPr>
            <w:r>
              <w:rPr>
                <w:rFonts w:ascii="Arial" w:cs="Arial" w:eastAsia="Arial" w:hAnsi="Arial"/>
                <w:sz w:val="14"/>
                <w:szCs w:val="14"/>
                <w:b w:val="1"/>
                <w:bCs w:val="1"/>
                <w:color w:val="auto"/>
                <w:w w:val="89"/>
              </w:rPr>
              <w:t>Recurring Fair Value Measurements Using</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3"/>
          </w:tcPr>
          <w:p>
            <w:pPr>
              <w:jc w:val="center"/>
              <w:ind w:right="1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rate lock commitments ("IRLCs")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116,025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presents the changes in Tree.com's assets and liabilities that are measured at fair value on a recurring basis using significant unobservable inputs (Level 3) for the three months ended March 31, 2011 and 2010 (in thousands):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Total net gains (losses) included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(realized and unrealized)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Purchases(a)</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Balance at March 31, 2011</w:t>
            </w: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Purchased in conjunction with the acquisition of certain assets of SurePoint.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4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2"/>
              </w:rPr>
              <w:t>Loans</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31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4"/>
              </w:rPr>
              <w:t>Held for</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6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w w:val="84"/>
              </w:rPr>
              <w:t>Balance at January 1, 2010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Transfers into Level 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out of Level 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w w:val="88"/>
              </w:rPr>
              <w:t>Total net gains (losses) included in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60" w:type="dxa"/>
            <w:vAlign w:val="bottom"/>
          </w:tcPr>
          <w:p>
            <w:pPr>
              <w:ind w:left="300"/>
              <w:spacing w:after="0"/>
              <w:rPr>
                <w:sz w:val="20"/>
                <w:szCs w:val="20"/>
                <w:color w:val="auto"/>
              </w:rPr>
            </w:pPr>
            <w:r>
              <w:rPr>
                <w:rFonts w:ascii="Arial" w:cs="Arial" w:eastAsia="Arial" w:hAnsi="Arial"/>
                <w:sz w:val="18"/>
                <w:szCs w:val="18"/>
                <w:color w:val="auto"/>
              </w:rPr>
              <w:t>(realized and unrealized)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sales, and settlements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tcPr>
          <w:p>
            <w:pPr>
              <w:ind w:left="260"/>
              <w:spacing w:after="0"/>
              <w:rPr>
                <w:sz w:val="20"/>
                <w:szCs w:val="20"/>
                <w:color w:val="auto"/>
              </w:rPr>
            </w:pPr>
            <w:r>
              <w:rPr>
                <w:rFonts w:ascii="Arial" w:cs="Arial" w:eastAsia="Arial" w:hAnsi="Arial"/>
                <w:sz w:val="18"/>
                <w:szCs w:val="18"/>
                <w:color w:val="auto"/>
              </w:rPr>
              <w:t>Settlements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of IRLCs to closed loans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6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Balance at March 31, 2010</w:t>
            </w:r>
          </w:p>
        </w:tc>
        <w:tc>
          <w:tcPr>
            <w:tcW w:w="8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restart"/>
          </w:tcPr>
          <w:p>
            <w:pPr>
              <w:jc w:val="right"/>
              <w:ind w:right="4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following presents the gains (losses) included in earnings for the three months ended March 31, 2011 and 2010 relating to Tree.com's assets and liabilities that are measured at fair value on a recurring basis using significant unobservable inputs (Level 3) (in thousands):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left="426"/>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26"/>
              <w:spacing w:after="0"/>
              <w:rPr>
                <w:sz w:val="20"/>
                <w:szCs w:val="20"/>
                <w:color w:val="auto"/>
              </w:rPr>
            </w:pPr>
            <w:r>
              <w:rPr>
                <w:rFonts w:ascii="Arial" w:cs="Arial" w:eastAsia="Arial" w:hAnsi="Arial"/>
                <w:sz w:val="14"/>
                <w:szCs w:val="14"/>
                <w:b w:val="1"/>
                <w:bCs w:val="1"/>
                <w:color w:val="auto"/>
                <w:w w:val="88"/>
              </w:rPr>
              <w:t>Ended March 31, 2011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Contracts</w:t>
            </w: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Total net gains (losses) included in earnings, which are</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Arial" w:cs="Arial" w:eastAsia="Arial" w:hAnsi="Arial"/>
                <w:sz w:val="18"/>
                <w:szCs w:val="18"/>
                <w:color w:val="auto"/>
                <w:w w:val="93"/>
              </w:rPr>
              <w:t>Change in unrealized gains (losses) relating to assets</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and liabilities still held at March 31, 2011, which</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180"/>
              <w:spacing w:after="0"/>
              <w:rPr>
                <w:sz w:val="20"/>
                <w:szCs w:val="20"/>
                <w:color w:val="auto"/>
              </w:rPr>
            </w:pPr>
            <w:r>
              <w:rPr>
                <w:rFonts w:ascii="Arial" w:cs="Arial" w:eastAsia="Arial" w:hAnsi="Arial"/>
                <w:sz w:val="18"/>
                <w:szCs w:val="18"/>
                <w:color w:val="auto"/>
                <w:w w:val="98"/>
              </w:rPr>
              <w:t>are included in revenue from LendingTree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center"/>
              <w:ind w:left="426"/>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26"/>
              <w:spacing w:after="0"/>
              <w:rPr>
                <w:sz w:val="20"/>
                <w:szCs w:val="20"/>
                <w:color w:val="auto"/>
              </w:rPr>
            </w:pPr>
            <w:r>
              <w:rPr>
                <w:rFonts w:ascii="Arial" w:cs="Arial" w:eastAsia="Arial" w:hAnsi="Arial"/>
                <w:sz w:val="14"/>
                <w:szCs w:val="14"/>
                <w:b w:val="1"/>
                <w:bCs w:val="1"/>
                <w:color w:val="auto"/>
                <w:w w:val="88"/>
              </w:rPr>
              <w:t>Ended March 31, 2010</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Forward</w:t>
            </w: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Delivery</w:t>
            </w: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Contracts</w:t>
            </w: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gains included in earnings, which are</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20" w:type="dxa"/>
            <w:vAlign w:val="bottom"/>
            <w:vMerge w:val="restart"/>
          </w:tcPr>
          <w:p>
            <w:pPr>
              <w:spacing w:after="0"/>
              <w:rPr>
                <w:sz w:val="20"/>
                <w:szCs w:val="20"/>
                <w:color w:val="auto"/>
              </w:rPr>
            </w:pPr>
            <w:r>
              <w:rPr>
                <w:rFonts w:ascii="Arial" w:cs="Arial" w:eastAsia="Arial" w:hAnsi="Arial"/>
                <w:sz w:val="18"/>
                <w:szCs w:val="18"/>
                <w:color w:val="auto"/>
                <w:w w:val="93"/>
              </w:rPr>
              <w:t>Change in unrealized gains (losses) relating to assets</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w w:val="94"/>
              </w:rPr>
              <w:t>and liabilities still held at March 31, 2010 which are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180"/>
              <w:spacing w:after="0"/>
              <w:rPr>
                <w:sz w:val="20"/>
                <w:szCs w:val="20"/>
                <w:color w:val="auto"/>
              </w:rPr>
            </w:pPr>
            <w:r>
              <w:rPr>
                <w:rFonts w:ascii="Arial" w:cs="Arial" w:eastAsia="Arial" w:hAnsi="Arial"/>
                <w:sz w:val="18"/>
                <w:szCs w:val="18"/>
                <w:color w:val="auto"/>
              </w:rPr>
              <w:t>included in revenue from LendingTree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summarizes the Company's derivative instruments not designated as hedging instruments as of March 31, 2011 and December 31, 2010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380" w:type="dxa"/>
            <w:vAlign w:val="bottom"/>
            <w:tcBorders>
              <w:bottom w:val="single" w:sz="8" w:color="auto"/>
            </w:tcBorders>
          </w:tcPr>
          <w:p>
            <w:pPr>
              <w:jc w:val="center"/>
              <w:ind w:left="17"/>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2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Balance Sheet Location</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Interest Rate Lock</w:t>
            </w:r>
          </w:p>
        </w:tc>
        <w:tc>
          <w:tcPr>
            <w:tcW w:w="2380" w:type="dxa"/>
            <w:vAlign w:val="bottom"/>
            <w:shd w:val="clear" w:color="auto" w:fill="CCEEFF"/>
          </w:tcPr>
          <w:p>
            <w:pPr>
              <w:jc w:val="center"/>
              <w:ind w:left="17"/>
              <w:spacing w:after="0" w:line="201" w:lineRule="exact"/>
              <w:rPr>
                <w:sz w:val="20"/>
                <w:szCs w:val="20"/>
                <w:color w:val="auto"/>
              </w:rPr>
            </w:pPr>
            <w:r>
              <w:rPr>
                <w:rFonts w:ascii="Arial" w:cs="Arial" w:eastAsia="Arial" w:hAnsi="Arial"/>
                <w:sz w:val="18"/>
                <w:szCs w:val="18"/>
                <w:color w:val="auto"/>
                <w:w w:val="85"/>
              </w:rPr>
              <w:t>Prepaid and other current assets</w:t>
            </w:r>
          </w:p>
        </w:tc>
        <w:tc>
          <w:tcPr>
            <w:tcW w:w="500" w:type="dxa"/>
            <w:vAlign w:val="bottom"/>
            <w:gridSpan w:val="3"/>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5,707</w:t>
            </w:r>
          </w:p>
        </w:tc>
        <w:tc>
          <w:tcPr>
            <w:tcW w:w="160" w:type="dxa"/>
            <w:vAlign w:val="bottom"/>
            <w:shd w:val="clear" w:color="auto" w:fill="CCEEFF"/>
          </w:tcPr>
          <w:p>
            <w:pPr>
              <w:spacing w:after="0"/>
              <w:rPr>
                <w:sz w:val="17"/>
                <w:szCs w:val="17"/>
                <w:color w:val="auto"/>
              </w:rPr>
            </w:pP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Prepaid and other current assets</w:t>
            </w:r>
          </w:p>
        </w:tc>
        <w:tc>
          <w:tcPr>
            <w:tcW w:w="340" w:type="dxa"/>
            <w:vAlign w:val="bottom"/>
            <w:gridSpan w:val="2"/>
            <w:shd w:val="clear" w:color="auto" w:fill="CCEEFF"/>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5,991</w:t>
            </w: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Commitments</w:t>
            </w: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Forward Delivery</w:t>
            </w:r>
          </w:p>
        </w:tc>
        <w:tc>
          <w:tcPr>
            <w:tcW w:w="2380" w:type="dxa"/>
            <w:vAlign w:val="bottom"/>
          </w:tcPr>
          <w:p>
            <w:pPr>
              <w:jc w:val="center"/>
              <w:ind w:left="17"/>
              <w:spacing w:after="0"/>
              <w:rPr>
                <w:sz w:val="20"/>
                <w:szCs w:val="20"/>
                <w:color w:val="auto"/>
              </w:rPr>
            </w:pPr>
            <w:r>
              <w:rPr>
                <w:rFonts w:ascii="Arial" w:cs="Arial" w:eastAsia="Arial" w:hAnsi="Arial"/>
                <w:sz w:val="18"/>
                <w:szCs w:val="18"/>
                <w:color w:val="auto"/>
                <w:w w:val="85"/>
              </w:rPr>
              <w:t>Prepaid and other 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Prepaid and other 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Contracts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Rate Lock</w:t>
            </w:r>
          </w:p>
        </w:tc>
        <w:tc>
          <w:tcPr>
            <w:tcW w:w="23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85"/>
              </w:rPr>
              <w:t>Accrued expenses and other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Accrued expenses and 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Commitments</w:t>
            </w:r>
          </w:p>
        </w:tc>
        <w:tc>
          <w:tcPr>
            <w:tcW w:w="23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2"/>
              </w:rPr>
              <w:t>current liabilities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current liabilities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2060" w:type="dxa"/>
            <w:vAlign w:val="bottom"/>
          </w:tcPr>
          <w:p>
            <w:pPr>
              <w:ind w:left="100"/>
              <w:spacing w:after="0"/>
              <w:rPr>
                <w:sz w:val="20"/>
                <w:szCs w:val="20"/>
                <w:color w:val="auto"/>
              </w:rPr>
            </w:pPr>
            <w:r>
              <w:rPr>
                <w:rFonts w:ascii="Arial" w:cs="Arial" w:eastAsia="Arial" w:hAnsi="Arial"/>
                <w:sz w:val="18"/>
                <w:szCs w:val="18"/>
                <w:color w:val="auto"/>
              </w:rPr>
              <w:t>Forward Delivery</w:t>
            </w:r>
          </w:p>
        </w:tc>
        <w:tc>
          <w:tcPr>
            <w:tcW w:w="2380" w:type="dxa"/>
            <w:vAlign w:val="bottom"/>
          </w:tcPr>
          <w:p>
            <w:pPr>
              <w:jc w:val="center"/>
              <w:ind w:left="17"/>
              <w:spacing w:after="0"/>
              <w:rPr>
                <w:sz w:val="20"/>
                <w:szCs w:val="20"/>
                <w:color w:val="auto"/>
              </w:rPr>
            </w:pPr>
            <w:r>
              <w:rPr>
                <w:rFonts w:ascii="Arial" w:cs="Arial" w:eastAsia="Arial" w:hAnsi="Arial"/>
                <w:sz w:val="18"/>
                <w:szCs w:val="18"/>
                <w:color w:val="auto"/>
                <w:w w:val="85"/>
              </w:rPr>
              <w:t>Accrued expenses and 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Accrued expenses and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060" w:type="dxa"/>
            <w:vAlign w:val="bottom"/>
          </w:tcPr>
          <w:p>
            <w:pPr>
              <w:ind w:left="280"/>
              <w:spacing w:after="0"/>
              <w:rPr>
                <w:sz w:val="20"/>
                <w:szCs w:val="20"/>
                <w:color w:val="auto"/>
              </w:rPr>
            </w:pPr>
            <w:r>
              <w:rPr>
                <w:rFonts w:ascii="Arial" w:cs="Arial" w:eastAsia="Arial" w:hAnsi="Arial"/>
                <w:sz w:val="18"/>
                <w:szCs w:val="18"/>
                <w:color w:val="auto"/>
              </w:rPr>
              <w:t>Contracts</w:t>
            </w:r>
          </w:p>
        </w:tc>
        <w:tc>
          <w:tcPr>
            <w:tcW w:w="2380" w:type="dxa"/>
            <w:vAlign w:val="bottom"/>
          </w:tcPr>
          <w:p>
            <w:pPr>
              <w:jc w:val="center"/>
              <w:ind w:left="17"/>
              <w:spacing w:after="0"/>
              <w:rPr>
                <w:sz w:val="20"/>
                <w:szCs w:val="20"/>
                <w:color w:val="auto"/>
              </w:rPr>
            </w:pPr>
            <w:r>
              <w:rPr>
                <w:rFonts w:ascii="Arial" w:cs="Arial" w:eastAsia="Arial" w:hAnsi="Arial"/>
                <w:sz w:val="18"/>
                <w:szCs w:val="18"/>
                <w:color w:val="auto"/>
                <w:w w:val="92"/>
              </w:rPr>
              <w:t>current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current liabilities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Derivatives</w:t>
            </w:r>
          </w:p>
        </w:tc>
        <w:tc>
          <w:tcPr>
            <w:tcW w:w="23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9"/>
              </w:rPr>
              <w:t>24</w:t>
            </w: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gain/(loss) recognized in the consolidated statements of operations for derivatives for the periods ended March 31, 2011 and 2010 was as follows (in thousands):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Location of Gain/(Loss) Recognized</w:t>
            </w:r>
          </w:p>
        </w:tc>
        <w:tc>
          <w:tcPr>
            <w:tcW w:w="16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2360" w:type="dxa"/>
            <w:vAlign w:val="bottom"/>
            <w:gridSpan w:val="2"/>
            <w:vMerge w:val="continue"/>
          </w:tcPr>
          <w:p>
            <w:pPr>
              <w:spacing w:after="0"/>
              <w:rPr>
                <w:sz w:val="11"/>
                <w:szCs w:val="11"/>
                <w:color w:val="auto"/>
              </w:rPr>
            </w:pPr>
          </w:p>
        </w:tc>
        <w:tc>
          <w:tcPr>
            <w:tcW w:w="9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31,</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Income on Derivative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Interest Rate Lock Commitments</w:t>
            </w:r>
          </w:p>
        </w:tc>
        <w:tc>
          <w:tcPr>
            <w:tcW w:w="2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21,333</w:t>
            </w:r>
          </w:p>
        </w:tc>
        <w:tc>
          <w:tcPr>
            <w:tcW w:w="0" w:type="dxa"/>
            <w:vAlign w:val="bottom"/>
          </w:tcPr>
          <w:p>
            <w:pPr>
              <w:spacing w:after="0"/>
              <w:rPr>
                <w:sz w:val="1"/>
                <w:szCs w:val="1"/>
                <w:color w:val="auto"/>
              </w:rPr>
            </w:pPr>
          </w:p>
        </w:tc>
      </w:tr>
      <w:tr>
        <w:trPr>
          <w:trHeight w:val="222"/>
        </w:trPr>
        <w:tc>
          <w:tcPr>
            <w:tcW w:w="2640" w:type="dxa"/>
            <w:vAlign w:val="bottom"/>
          </w:tcPr>
          <w:p>
            <w:pPr>
              <w:ind w:left="120"/>
              <w:spacing w:after="0"/>
              <w:rPr>
                <w:sz w:val="20"/>
                <w:szCs w:val="20"/>
                <w:color w:val="auto"/>
              </w:rPr>
            </w:pPr>
            <w:r>
              <w:rPr>
                <w:rFonts w:ascii="Arial" w:cs="Arial" w:eastAsia="Arial" w:hAnsi="Arial"/>
                <w:sz w:val="18"/>
                <w:szCs w:val="18"/>
                <w:color w:val="auto"/>
              </w:rPr>
              <w:t>Forward Delivery Contracts</w:t>
            </w:r>
          </w:p>
        </w:tc>
        <w:tc>
          <w:tcPr>
            <w:tcW w:w="23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LendingTree Loans revenue</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Tree.com did not elect the fair value option on loans held for sale originated prior to January 1, 2008 and on loans that were repurchased from investors on or subsequent to that date. As of March 31, 2011 and December 31, 2010, 20 and 23 such loans, respectively, all of which were impaired, were included in loans held for sale and were carried at the lower of cost or market ("LOCOM") value assessed on an individual loan basis. The market value (or fair value) of these impaired loans at March 31, 2011 and December 31, 2010, measured on a non-recurring basis using significant unobservable inputs (Level 3), was $0.6 million and $0.8 million, respectively. This fair value measurement is management's best estimate of the market value of such loans and considers the lien position and loan status.</w:t>
      </w:r>
    </w:p>
    <w:p>
      <w:pPr>
        <w:spacing w:after="0" w:line="19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March 31, 2011 and December 31, 2010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As of March 31, 2011</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330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89"/>
              </w:rPr>
              <w:t>Total Loans</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40" w:type="dxa"/>
            <w:vAlign w:val="bottom"/>
          </w:tcPr>
          <w:p>
            <w:pPr>
              <w:spacing w:after="0"/>
              <w:rPr>
                <w:sz w:val="12"/>
                <w:szCs w:val="12"/>
                <w:color w:val="auto"/>
              </w:rPr>
            </w:pPr>
          </w:p>
        </w:tc>
        <w:tc>
          <w:tcPr>
            <w:tcW w:w="316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95"/>
              </w:rPr>
              <w:t>Held For</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73,054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0"/>
              </w:rPr>
              <w:t>Difference between fair value and aggregate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1,538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1"/>
              </w:rPr>
              <w:t>Lower of cost or market valuation allowance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60" w:type="dxa"/>
            <w:vAlign w:val="bottom"/>
            <w:vMerge w:val="restart"/>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Loans Held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for Sale—</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 Loans</w:t>
            </w:r>
          </w:p>
        </w:tc>
      </w:tr>
      <w:tr>
        <w:trPr>
          <w:trHeight w:val="149"/>
        </w:trPr>
        <w:tc>
          <w:tcPr>
            <w:tcW w:w="370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Measured at</w:t>
            </w: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Held For</w:t>
            </w:r>
          </w:p>
        </w:tc>
      </w:tr>
      <w:tr>
        <w:trPr>
          <w:trHeight w:val="161"/>
        </w:trPr>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115,406</w:t>
            </w:r>
          </w:p>
        </w:tc>
      </w:tr>
      <w:tr>
        <w:trPr>
          <w:trHeight w:val="208"/>
        </w:trPr>
        <w:tc>
          <w:tcPr>
            <w:tcW w:w="3700" w:type="dxa"/>
            <w:vAlign w:val="bottom"/>
          </w:tcPr>
          <w:p>
            <w:pPr>
              <w:spacing w:after="0"/>
              <w:rPr>
                <w:sz w:val="20"/>
                <w:szCs w:val="20"/>
                <w:color w:val="auto"/>
              </w:rPr>
            </w:pPr>
            <w:r>
              <w:rPr>
                <w:rFonts w:ascii="Arial" w:cs="Arial" w:eastAsia="Arial" w:hAnsi="Arial"/>
                <w:sz w:val="18"/>
                <w:szCs w:val="18"/>
                <w:color w:val="auto"/>
              </w:rPr>
              <w:t>Difference between fair value and aggregate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70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2,792</w:t>
            </w:r>
          </w:p>
        </w:tc>
      </w:tr>
      <w:tr>
        <w:trPr>
          <w:trHeight w:val="218"/>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116,681</w:t>
            </w:r>
          </w:p>
        </w:tc>
      </w:tr>
      <w:tr>
        <w:trPr>
          <w:trHeight w:val="27"/>
        </w:trPr>
        <w:tc>
          <w:tcPr>
            <w:tcW w:w="3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During the three months ended March 31, 2011 and 2010, the change in fair value of loans held for sale for which the fair value option was elected was a loss of $1.6 million and a gain of $2.0 million, respectively, and is included as a component of LendingTree Loans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Company's non-financial assets, such as goodwill, intangible assets and property and equipment are measured at fair value when there is an indicator of impairment and recorded at fair value only when an impairment charge is recognized. Such impairment charges incorporate fair value measurements based on Level 3 inputs. See Notes 3 and 8 for discussion of goodwill and intangible asset impairment charges.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 and Sale of Loans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summary of the initial unpaid principal balance of loans sold by type of loan for the three months ended March 31, 2011 and 2010 is presented below ($ amounts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89"/>
              </w:rPr>
              <w:t>Three Months Ended March 31,</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gridSpan w:val="2"/>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FHA</w:t>
            </w:r>
          </w:p>
        </w:tc>
        <w:tc>
          <w:tcPr>
            <w:tcW w:w="2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March 31, 2011 and December 31, 2010 ($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6"/>
              </w:rPr>
              <w:t>March 31, 2011</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54,229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FHA and Alt-A</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15,898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Subprime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ind w:left="2300"/>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73,296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116,681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vMerge w:val="restart"/>
          </w:tcPr>
          <w:p>
            <w:pPr>
              <w:jc w:val="right"/>
              <w:ind w:right="3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March 31, 2011 and December 31, 2010 (in thousands):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March 31, 2011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Loans 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3,387</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5"/>
              </w:rPr>
              <w:t>Lower of cost or market valuation allowance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w:t>
            </w: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3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Total Loans on</w:t>
            </w:r>
          </w:p>
        </w:tc>
      </w:tr>
      <w:tr>
        <w:trPr>
          <w:trHeight w:val="161"/>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3,670</w:t>
            </w:r>
          </w:p>
        </w:tc>
      </w:tr>
      <w:tr>
        <w:trPr>
          <w:trHeight w:val="208"/>
        </w:trPr>
        <w:tc>
          <w:tcPr>
            <w:tcW w:w="3360" w:type="dxa"/>
            <w:vAlign w:val="bottom"/>
          </w:tcPr>
          <w:p>
            <w:pPr>
              <w:spacing w:after="0"/>
              <w:rPr>
                <w:sz w:val="20"/>
                <w:szCs w:val="20"/>
                <w:color w:val="auto"/>
              </w:rPr>
            </w:pPr>
            <w:r>
              <w:rPr>
                <w:rFonts w:ascii="Arial" w:cs="Arial" w:eastAsia="Arial" w:hAnsi="Arial"/>
                <w:sz w:val="18"/>
                <w:szCs w:val="18"/>
                <w:color w:val="auto"/>
                <w:w w:val="94"/>
              </w:rPr>
              <w:t>Difference between fair value and aggregate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336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(496)</w:t>
            </w: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5"/>
              </w:rPr>
              <w:t>Lower of cost or market valuation allowance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Deferred loan fees, net of costs</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w:t>
            </w:r>
          </w:p>
        </w:tc>
      </w:tr>
      <w:tr>
        <w:trPr>
          <w:trHeight w:val="27"/>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within the loans on nonaccrual status are repurchased loans with a net book value of $0.2 million at March 31, 2011 and December 31,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2011 and March 31, 2010, LendingTree Loans did not repurchase any loans.</w:t>
      </w:r>
    </w:p>
    <w:p>
      <w:pPr>
        <w:spacing w:after="0" w:line="21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Real estate properties acquired in satisfaction of loans totaled $0.2 million and $0.1 million, net of estimated selling expenses, at March 31, 2011 and December 31, 2010, respectively, and are included in prepaid and other current assets in the accompanying consolidated balance sheets. The estimated fair values are determined using current real estate market conditions and estimated selling expenses, which are unobservable inputs (Level 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 shown and the aggregate loan losses through March 31, 2011: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4"/>
                <w:szCs w:val="14"/>
                <w:b w:val="1"/>
                <w:bCs w:val="1"/>
                <w:color w:val="auto"/>
                <w:w w:val="89"/>
              </w:rPr>
              <w:t>As of March 31, 2011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Period of Loan Sales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1"/>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2010</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2008</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2006</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and prior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gridSpan w:val="3"/>
            <w:vMerge w:val="continue"/>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pipeline of 97 loan repurchase requests and indemnifications as of March 31, 2011 was considered in determining the appropriate reserve amount. The status of these 97 loans varied from an initial review stage, which may result in a rescission of the request, to in process, where the probability of incurring a loss is high, to indemnification, whereby the Company has agreed to reimburse the purchaser of that loan if and when losses are incurred. The indemnification may have a specific term, thereby limiting the Company's exposure. The original principal amount of these loans is approximately $18.2 million, comprised of approximately 76% full documentation first liens, 3% full documentation second liens, 15% limited documentation first liens, and 6% limited documentation second liens.</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must also pay an additional amount of up to $0.3 million in conjunction with this settlement since it did not sell a certain volume of loans to this buyer in 2010. This amount is included in the total settlement amount and the estimated settlement payments remaining to be paid. This settlement amount is included as a charge off to the reserve in 2010 and is not included in the table above.</w:t>
      </w:r>
    </w:p>
    <w:p>
      <w:pPr>
        <w:spacing w:after="0" w:line="172"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March 31, 2011, LendingTree Loans estimated the range of remaining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possible losses due to representations and warranty issues based on the methodology described above, excluding the $0.3 million settlement remaining to be paid in 2011, as $16 million to $26 million. The Company believes that it has adequately reserved for these losses.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three months ended March 31, 2011 and 2010, is as follows (in thousands):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16,985</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offs to reserves(a)</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(5,617)</w:t>
            </w: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40" w:hanging="550"/>
        <w:spacing w:after="0" w:line="259" w:lineRule="auto"/>
        <w:tabs>
          <w:tab w:leader="none" w:pos="2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three months ended March 31, 2010 includes a charge off for the amount of the $4.5 million loan loss settlement plus a portion of the $0.3 million additional accrual discussed above. The remaining settlement payment due of $0.3 million is tracked as a liability separate from the loan loss reserve (see table below).</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an analysis of the Company's historical loan loss experience, it has been determined that a portion of the loan losses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 portion of the reserve as a long-term liability. The liability for losses on previously sold loans is presented in the accompanying consolidated balance sheet as of March 31, 2011 and December 31, 2010 as follows (in thousands):</w:t>
      </w:r>
    </w:p>
    <w:p>
      <w:pPr>
        <w:spacing w:after="0" w:line="15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As of March 31,</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Current portion related to settlement above, included in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w w:val="90"/>
              </w:rPr>
              <w:t>Other current portion, included in accrued expenses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included in other long-term</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For the three months ended March 31, 2011 and 2010, Tree.com recorded a tax provision of $0.3 million and $0.5 million, respectively, which represents effective tax rates of (0.9)% and (12.6)%, respectively. In the first quarter of 2011, the tax rate is lower than the federal statutory rate of 35%</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mainly due to the change in the valuation allowance on deferred tax assets. In the first quarter of 2010, the tax rate was lower than the federal statutory rate of 35% due to the change in the valuation allowance on deferred tax assets and an increase to the FIN 48 reserve.</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Tree.com's unrecognized tax benefits increased by an immaterial amount in the first quarter of 2011. The increase was due to penalty and interest on uncertain tax positions in prior years. Tree.com believes that it is reasonably possible that its remaining unrecognized tax benefits could decrease by approximately $0.06 million within twelve months of the current reporting date due to the expiration of state statute of limitations. An estimate of other changes in unrecognized tax benefits cannot be made, but are not expected to be significant.</w:t>
      </w:r>
    </w:p>
    <w:p>
      <w:pPr>
        <w:spacing w:after="0" w:line="19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For the three months ended March 31, 2011, Tree.com determined that its activity yielded an unusual effective tax rate; therefore, Tree.com utilized the actual year to date effective tax rate for purposes of determining year to date tax expense. This approach is consistent with the three months ended March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13—CONTINGENCIES</w:t>
      </w:r>
    </w:p>
    <w:p>
      <w:pPr>
        <w:spacing w:after="0" w:line="23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During the three months ended March 31, 2011 and 2010, provisions for litigation settlements and contingencies of $4.5 million and $-0- million, respectively, were recorded in litigation settlements and contingencies in the accompanying consolidated statements of operations. The balance of the related liability was $4.8 million and $0.5 million at March 31, 2011 and December 31, 2010, respectively.</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CHARGES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restructuring charges in 2010 primarily relate to continuing lease obligations on facilities previously used for call center operations, for which management had a plan to exit at December 31, 2009, but the cease-use date did not occur until January 2010. Costs that relate to ongoing operations are not part of restructuring charges. Restructuring charges by segment and type are as follows (in thousands):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17"/>
          </w:tcPr>
          <w:p>
            <w:pPr>
              <w:ind w:left="280"/>
              <w:spacing w:after="0"/>
              <w:rPr>
                <w:sz w:val="20"/>
                <w:szCs w:val="20"/>
                <w:color w:val="auto"/>
              </w:rPr>
            </w:pPr>
            <w:r>
              <w:rPr>
                <w:rFonts w:ascii="Arial" w:cs="Arial" w:eastAsia="Arial" w:hAnsi="Arial"/>
                <w:sz w:val="14"/>
                <w:szCs w:val="14"/>
                <w:b w:val="1"/>
                <w:bCs w:val="1"/>
                <w:color w:val="auto"/>
              </w:rPr>
              <w:t>For The Three Months Ended March 31, 2011</w:t>
            </w: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Continuing</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Asset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2"/>
              </w:rPr>
              <w:t>Costs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r>
      <w:tr>
        <w:trPr>
          <w:trHeight w:val="21"/>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5"/>
              </w:rPr>
              <w:t>For The Three Months Ended March 31, 2010</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Employee</w:t>
            </w:r>
          </w:p>
        </w:tc>
        <w:tc>
          <w:tcPr>
            <w:tcW w:w="40" w:type="dxa"/>
            <w:vAlign w:val="bottom"/>
          </w:tcPr>
          <w:p>
            <w:pPr>
              <w:spacing w:after="0"/>
              <w:rPr>
                <w:sz w:val="11"/>
                <w:szCs w:val="11"/>
                <w:color w:val="auto"/>
              </w:rPr>
            </w:pPr>
          </w:p>
        </w:tc>
        <w:tc>
          <w:tcPr>
            <w:tcW w:w="96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Continuing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1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0"/>
              </w:rPr>
              <w:t>Lease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Exchanges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2,603</w:t>
            </w:r>
          </w:p>
        </w:tc>
      </w:tr>
      <w:tr>
        <w:trPr>
          <w:trHeight w:val="21"/>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2,610</w:t>
            </w:r>
          </w:p>
        </w:tc>
      </w:tr>
      <w:tr>
        <w:trPr>
          <w:trHeight w:val="27"/>
        </w:trPr>
        <w:tc>
          <w:tcPr>
            <w:tcW w:w="3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Restructuring charges and spending against liabilities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rPr>
              <w:t>For The Three Months Ended March 31, 2011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4"/>
              </w:rPr>
              <w:t>Employee</w:t>
            </w: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Continuing</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4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8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160" w:type="dxa"/>
            <w:vAlign w:val="bottom"/>
          </w:tcPr>
          <w:p>
            <w:pPr>
              <w:spacing w:after="0"/>
              <w:rPr>
                <w:sz w:val="12"/>
                <w:szCs w:val="12"/>
                <w:color w:val="auto"/>
              </w:rPr>
            </w:pPr>
          </w:p>
        </w:tc>
        <w:tc>
          <w:tcPr>
            <w:tcW w:w="5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2,358</w:t>
            </w: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22"/>
        </w:trPr>
        <w:tc>
          <w:tcPr>
            <w:tcW w:w="2460" w:type="dxa"/>
            <w:vAlign w:val="bottom"/>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r>
      <w:tr>
        <w:trPr>
          <w:trHeight w:val="27"/>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March 31, 2011, restructuring liabilities of $1.1 million are included in accrued expenses and other current liabilities and $1.1 million are included in other long-term liabilities in the accompanying consolidated balance sheet. At December 31, 2010, restructuring liabilities of $1.2 million are included in accrued expenses and other current liabilities and $1.2 million are included in other long-term liabilities in the accompanying consolidated balance sheet. Tree.com does not expect to incur significant additional costs related to the prior restructurings noted above.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On May 12, 2011, we entered into an Asset Purchase Agreement with Discover Bank, a wholly-owned subsidiary of Discover Financial Services. The Asset Purchase Agreement provides for the sale of substantially all of the operating assets of our LendingTree Loans segment to Discover Bank.</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the terms of the Asset Purchase Agreement, Discover Bank has agreed to pay approximately $55.9 million in cash for the assets, subject to certain adjustments as described in the Asset Purchase Agreement. $35.9 million is due upon the closing of the transaction and $10 million is due on each of the first and second anniversaries of the closing, subject to certain conditions as described in the Asset Purchase Agreement, including maintenance of the LendingTree Exchange and certain financial and operational metrics associated with the LendingTree Exchange business.</w:t>
      </w:r>
    </w:p>
    <w:p>
      <w:pPr>
        <w:spacing w:after="0" w:line="16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Discover Bank generally will not assume liabilities of the LendingTree Loans business that arose before the closing date. A portion of the initial purchase price payment will be held in escrow pending the discharge of certain liabilities that will remain with us.</w:t>
      </w:r>
    </w:p>
    <w:p>
      <w:pPr>
        <w:spacing w:after="0" w:line="18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transaction is subject to various closing conditions, including the receipt of regulatory approvals and loan repurchase proposals for Discover Bank and the approval of our stockholders. Our board of directors has unanimously recommended that our stockholders approve the transaction. Douglas Lebda, our Chairman and Chief Executive Officer, who beneficially owns approximately 20% of our outstanding shares, a subsidiary of Liberty Media Corporation which owns approximately 25% of our outstanding shares, and various funds managed by Second Curve, LLC, which own less than 5% of our outstanding shares, have entered into voting and support agreements with Discover Bank which obligate them to vote in favor of the transaction. The transaction is expected to close by the end of 2011.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 Purchase Agreement contains customary representations, warranties, covenants and indemnification obligations of the parties.</w:t>
      </w:r>
    </w:p>
    <w:p>
      <w:pPr>
        <w:spacing w:after="0" w:line="225"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Asset Purchase Agreement also includes covenants of us and Discover Bank. Subject to certain exceptions stated in the Asset Purchase Agreement, we have agreed to operate the LendingTree Loans business in the ordinary course and to maintain certain operational and financial metrics until the closing of the transaction.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 Bank's consent. If the requirements of these covenants are not met, Discover Bank has the option to terminate the Asset Purchase Agreement.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9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Asset Purchase Agreement also includes customary termination provisions, including that each of our company and Discover Bank may terminate the Asset Purchase Agreement if the other party has materially breached any representation, warranty or covenant contained in the Asset Purchase Agreement and failed to cure such breach, if our stockholders do not approve the transaction or if the closing has not occurred within 150 days from the signing (subject to certain extensions for up to 150 additional days). Discover Bank may terminate the Asset Purchase Agreement if our board of directors determines, after considering any modified proposals from Discover Bank, to change 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recommendation to our stockholders because a failure to do so would constitute a breach of its fiduciary duties, or if we materially breach our non-solicitation obligations or our obligation to hold a meeting of our stockholders to approve the transaction. If the Asset Purchase Agreement is terminated under certain circumstances, including due to a change of recommendation by our board of directors, we will be required to pay Discover Bank a termination fee of</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$2.2 million. If Discover Bank does not complete the acquisition as a result of its inability to obtain proposals for loan purchase arrangements that are customary for a bank that is similarly situated to Discover Bank, Discover Bank will be required to pay us a termination fee of $5 million.</w:t>
      </w:r>
    </w:p>
    <w:p>
      <w:pPr>
        <w:spacing w:after="0" w:line="14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also agreed to perform certain services to Discover Bank in connection with its mortgage origination business for a two-year term commencing on the date of entry into the Asset Purchase Agreement. Discover Bank has also agreed to be a participating lender in the LendingTree Network following the closing of the 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320" w:firstLine="348"/>
        <w:spacing w:after="0" w:line="241"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our customers' lives. Our family of brands includes: LendingTree.com®, GetSmart.com®, RealEstate.com®, DegreeTree.com</w:t>
      </w:r>
      <w:r>
        <w:rPr>
          <w:rFonts w:ascii="Arial" w:cs="Arial" w:eastAsia="Arial" w:hAnsi="Arial"/>
          <w:sz w:val="26"/>
          <w:szCs w:val="26"/>
          <w:color w:val="auto"/>
          <w:vertAlign w:val="superscript"/>
        </w:rPr>
        <w:t>SM</w:t>
      </w:r>
      <w:r>
        <w:rPr>
          <w:rFonts w:ascii="Arial" w:cs="Arial" w:eastAsia="Arial" w:hAnsi="Arial"/>
          <w:sz w:val="16"/>
          <w:szCs w:val="16"/>
          <w:color w:val="auto"/>
        </w:rPr>
        <w:t>,</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HealthTree.com</w:t>
      </w:r>
      <w:r>
        <w:rPr>
          <w:rFonts w:ascii="Arial" w:cs="Arial" w:eastAsia="Arial" w:hAnsi="Arial"/>
          <w:sz w:val="26"/>
          <w:szCs w:val="26"/>
          <w:color w:val="auto"/>
          <w:vertAlign w:val="superscript"/>
        </w:rPr>
        <w:t>SM</w:t>
      </w:r>
      <w:r>
        <w:rPr>
          <w:rFonts w:ascii="Arial" w:cs="Arial" w:eastAsia="Arial" w:hAnsi="Arial"/>
          <w:sz w:val="16"/>
          <w:szCs w:val="16"/>
          <w:color w:val="auto"/>
        </w:rPr>
        <w:t>, LendingTreeAutos.com, DoneRight.com®, and InsuranceTree.com</w:t>
      </w:r>
      <w:r>
        <w:rPr>
          <w:rFonts w:ascii="Arial" w:cs="Arial" w:eastAsia="Arial" w:hAnsi="Arial"/>
          <w:sz w:val="26"/>
          <w:szCs w:val="26"/>
          <w:color w:val="auto"/>
          <w:vertAlign w:val="superscript"/>
        </w:rPr>
        <w:t>SM</w:t>
      </w:r>
      <w:r>
        <w:rPr>
          <w:rFonts w:ascii="Arial" w:cs="Arial" w:eastAsia="Arial" w:hAnsi="Arial"/>
          <w:sz w:val="16"/>
          <w:szCs w:val="16"/>
          <w:color w:val="auto"/>
        </w:rPr>
        <w:t>. Together, these brands serve as an ally for consumers who are looking to comparison shop for loans, real estate and other services from multiple businesses and professionals who will compete for their business.</w:t>
      </w:r>
    </w:p>
    <w:p>
      <w:pPr>
        <w:spacing w:after="0" w:line="21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On March 10, 2011, management of the Company made the decision and finalized a plan to close all of the field offices of the proprietary full service real estate brokerage business known as RealEstate.com, REALTORS®, which was previously reported within the Real Estate reporting segment. The Company exited all markets by March 31, 2011. Accordingly, RealEstate.com, REALTORS® are presented as discontinued operations in the consolidated financial statements for all periods presented. The following discussion, unless otherwise noted, excludes information related to the discontinued operations.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connection with exiting the RealEstate.com, REALTORS® business that is discussed above, the Company re-evaluated its reporting segments based on the continuing operations of the Company. In prior periods, the segments "LendingTree Loans", "Exchanges", "Real Estate" and "Unallocated-Corporate" were presented, which have been changed to "LendingTree Loans" and "Exchanges". The "Exchanges" segment now includes the continuing operations of the previous "Real Estate" segment and the previous "Unallocated—Corporate" segment. Segment results for prior periods have been restated to conform to the new presentation.</w:t>
      </w:r>
    </w:p>
    <w:p>
      <w:pPr>
        <w:spacing w:after="0" w:line="197"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LendingTree Loans segment originates, processes, approves and funds various residential real estate loans through Home Loan Center, Inc. dba LendingTree Loans ("HLC"). The HLC and LendingTree Loans brand names are collectively referred to in this report as "LendingTree Loans."</w:t>
      </w:r>
    </w:p>
    <w:p>
      <w:pPr>
        <w:spacing w:after="0" w:line="13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Exchanges segment consists of online lead generation networks and call centers that connect consumers and service providers principally in the lending, real estate, higher education, home services, insurance and automobile marketplaces.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From time to time, we may evaluate the potential acquisition of various assets and other businesses that may complement our current services, enhance our capabilities, improve or sustain our competitive position, or otherwise offer growth opportunities. From time to time, also we may consider the potential disposition of certain of our assets, subsidiaries or lines of businesses. As a general rule, we publicly announce any material acquisitions or dispositions when a definitive agreement has been reached.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Banking Trends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Interest rate and market risk can be substantial in the mortgage business. Fluctuations in interest rates drive consumer demand for new mortgages and the level of refinancing activity, which in turn affects total revenue from the origination and sale of loans. Typically, a decline in mortgage interest rates will lead to an increase in mortgage originations and revenue, and an increase in mortgage interest rates will lead to a decrease in mortgage originations and revenue.</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Mortgage rates hit a recent low of 4.2% in November 2010, but swiftly increased to 5.0% by year-end. Consequently, mortgage applications dropped off significantly at the end of 2010 and in the first quarter of 2011. Most economic forecasts also predict an increase in mortgage rates of another 0.50% throughout 2011.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operations, cash flows and financial position of the Company were negatively impacted by the continued deterioration in the housing market in 2010 and early 2011. In particular, revenues for the LendingTree Loans and Exchange segments have been impacted by falling home prices and increased foreclosures. While nationwide sales of existing homes have risen in recent months, most of the increase is due to a rise in foreclosure sales and distressed transactions. Overall home prices continued to decline during 2010 and most economic forecasts indicate that conditions are unlikely to improve significantly in 2011. Falling home prices also make it more difficult to make accurate home value appraisals and lenders typically require higher down payments and higher credit scores, which could further restrict the pool of prospective homebuyers.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revenues have declined, the Company has focused on expense savings and is taking various initiatives to reduce costs. During the first quarter of 2011, the Company commenced a voluntary severance plan for certain corporate employees and conducted a reduction in force at HLC. In addition, the Company has taken steps to minimize ineffective marketing costs. The Company is seeking to set expenses consistent with its reduced revenues.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Discover Asset Sale</w:t>
      </w:r>
    </w:p>
    <w:p>
      <w:pPr>
        <w:spacing w:after="0" w:line="225"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On May 12, 2011, the Company entered into an Asset Purchase Agreement (the "APA") with Discover Bank, a wholly-owned subsidiary of Discover Financial Services. The APA provides for the sale of substantially all of the operating assets of HLC to Discover Bank. Under the terms of the APA, Discover Bank will pay approximately $55.9 million in cash for the assets, subject to certain adjustments as described in the APA. $35.9 million is due upon the closing of the transaction and $10 million is due on each of the first and second anniversaries of the closing, subject to certain conditions as described in the APA. Discover Bank generally will not assume liabilities of the LendingTree Loans business that arose before the closing date. A portion of the initial purchase price payment will be held in escrow for certain liabilities that will remain with the Company. The transaction is subject to various closing conditions, including regulatory approvals for Discover Bank and the approval of the Company's stockholders. The acquisition is expected to close by the end of 2011. Subject to certain exceptions stated in the APA, the Company has agreed to operate the LendingTree Loans business in the ordinary course until the closing of the acquisition.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2011 compared to the three months ended March 31, 2010:</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85"/>
              </w:rPr>
              <w:t>Change</w:t>
            </w:r>
          </w:p>
        </w:tc>
        <w:tc>
          <w:tcPr>
            <w:tcW w:w="108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2"/>
              </w:rPr>
              <w:t>thousands)</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Origination and sale of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17,309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(6,091)</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23,400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LendingTree Loans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19,250</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(6,488)</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25,738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Exchanges: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color w:val="auto"/>
              </w:rPr>
              <w:t>Match fees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(1,621)</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14,248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Closed loan fees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(2,752)</w:t>
            </w:r>
          </w:p>
        </w:tc>
        <w:tc>
          <w:tcPr>
            <w:tcW w:w="10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2"/>
        </w:trPr>
        <w:tc>
          <w:tcPr>
            <w:tcW w:w="312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(489)</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Exchanges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(4,862)</w:t>
            </w:r>
          </w:p>
        </w:tc>
        <w:tc>
          <w:tcPr>
            <w:tcW w:w="10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18,986</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33,374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(11,350)</w:t>
            </w:r>
          </w:p>
        </w:tc>
        <w:tc>
          <w:tcPr>
            <w:tcW w:w="160" w:type="dxa"/>
            <w:vAlign w:val="bottom"/>
          </w:tcPr>
          <w:p>
            <w:pPr>
              <w:spacing w:after="0"/>
              <w:rPr>
                <w:sz w:val="18"/>
                <w:szCs w:val="18"/>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color w:val="auto"/>
              </w:rPr>
              <w:t>(25)%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44,724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LendingTree Loans revenue in 2011 decreased from the same period in 2010 reflecting the higher mortgage interest rates experienced in the first quarter of 2011. Refinance originations decreased 20%, purchase mortgage originations decreased 5%, and total loans closed decreased 10% compared to the same period in 2010. The increase in interest rates also caused the revenue per funded loan to be lower by 13% as compared to the same period in 2010. In addition, the provision for previously sold loans, which is recorded as reduction of revenue, increased $2.3 million versus the three months ended March 31, 2010.</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directly by LendingTree Loans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0"/>
              </w:rPr>
              <w:t>Three Months Ended 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Purchase mortgages</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1"/>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r>
      <w:tr>
        <w:trPr>
          <w:trHeight w:val="27"/>
        </w:trPr>
        <w:tc>
          <w:tcPr>
            <w:tcW w:w="3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LendingTree Loans originates mortgage loans on property located throughout the United States. Revenue from loans originated for property in California totaled approximately 13% and 10% of Tree.com's consolidated revenue for the three months ended March 31, 2011 and 2010, respectively.</w:t>
      </w:r>
    </w:p>
    <w:p>
      <w:pPr>
        <w:spacing w:after="0" w:line="13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Revenue from Exchanges in 2011 decreased from the same period in 2010 primarily due to fewer loan requests from consumers, resulting in fewer matched requests and fewer loans closed through Network Lenders. Overall, matched requests in the first quarter of 2011 declined 22% from the same period in 2010, which reflects a decline of 30% in home loan matches and a decline of 7% in matches for the new consumer vertical areas of higher education, home services, insurance and automobile. Home loan matches were down because of the rising interest rates in 2011. Revenue from closed loan fees decreased due to a previously announced shift in pricing on home loan related matches to increase the average match fee while decreasing the average closed loan fee, and a 34% decline in closed units in the period as a result of the decline in matched loan requests.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dollar value of loans closed by Exchange network lenders is as follows: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Refinance mortgages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12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Purchase mortgages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3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single Exchange network lender accounts for revenue representing more than 10% of Tree.com's consolidated revenue for any periods presented.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1"/>
              </w:rPr>
              <w:t>Three Months Ended March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2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in</w:t>
            </w:r>
          </w:p>
        </w:tc>
        <w:tc>
          <w:tcPr>
            <w:tcW w:w="76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2"/>
              </w:rPr>
              <w:t>thousands)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10,764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10,274</w:t>
            </w: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(126)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1,474</w:t>
            </w:r>
          </w:p>
        </w:tc>
      </w:tr>
      <w:tr>
        <w:trPr>
          <w:trHeight w:val="21"/>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12,112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364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11,748</w:t>
            </w:r>
          </w:p>
        </w:tc>
      </w:tr>
      <w:tr>
        <w:trPr>
          <w:trHeight w:val="27"/>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40" w:type="dxa"/>
            <w:vAlign w:val="bottom"/>
          </w:tcPr>
          <w:p>
            <w:pPr>
              <w:jc w:val="right"/>
              <w:ind w:right="1452"/>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6"/>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40" w:type="dxa"/>
            <w:vAlign w:val="bottom"/>
          </w:tcPr>
          <w:p>
            <w:pPr>
              <w:spacing w:after="0"/>
              <w:rPr>
                <w:sz w:val="14"/>
                <w:szCs w:val="14"/>
                <w:color w:val="auto"/>
              </w:rPr>
            </w:pPr>
          </w:p>
        </w:tc>
        <w:tc>
          <w:tcPr>
            <w:tcW w:w="1280" w:type="dxa"/>
            <w:vAlign w:val="bottom"/>
            <w:gridSpan w:val="5"/>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24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Cost of revenue consists primarily of costs associated with loan originations, compensation and other employee related costs (including stock-based compensation) related to customer call centers, real estate network support staff and loan officers, as well as credit scoring fees, consumer incentive costs, and website network hosting and server fees.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Cost of revenue in 2011 increased from the same period in 2010 primarily due to increases of $0.8 million in compensation costs related to increased headcount for LendingTree Loans following the acquisition of SurePoint, and $0.2 million in server hosting fees and licensing agreements, offset by a decrease of $0.8 million in net origination costs at LendingTree Loans. The net origination costs at LendingTree Loans were lower due to decreased origination volume.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9"/>
              </w:rPr>
              <w:t>Three Months Ended March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Exchanges</w:t>
            </w: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15,630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14,664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23,333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19,559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70%</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44%</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39</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w:t>
      </w:r>
    </w:p>
    <w:p>
      <w:pPr>
        <w:jc w:val="center"/>
        <w:ind w:left="5420"/>
        <w:spacing w:after="0" w:line="223" w:lineRule="auto"/>
        <w:rPr>
          <w:sz w:val="20"/>
          <w:szCs w:val="20"/>
          <w:color w:val="auto"/>
        </w:rPr>
      </w:pPr>
      <w:r>
        <w:rPr>
          <w:rFonts w:ascii="Arial" w:cs="Arial" w:eastAsia="Arial" w:hAnsi="Arial"/>
          <w:sz w:val="14"/>
          <w:szCs w:val="14"/>
          <w:b w:val="1"/>
          <w:bCs w:val="1"/>
          <w:color w:val="auto"/>
        </w:rPr>
        <w:t>Ended</w:t>
      </w:r>
    </w:p>
    <w:p>
      <w:pPr>
        <w:jc w:val="center"/>
        <w:ind w:left="5420"/>
        <w:spacing w:after="0" w:line="220" w:lineRule="auto"/>
        <w:rPr>
          <w:sz w:val="20"/>
          <w:szCs w:val="20"/>
          <w:color w:val="auto"/>
        </w:rPr>
      </w:pPr>
      <w:r>
        <w:rPr>
          <w:rFonts w:ascii="Arial" w:cs="Arial" w:eastAsia="Arial" w:hAnsi="Arial"/>
          <w:sz w:val="14"/>
          <w:szCs w:val="14"/>
          <w:b w:val="1"/>
          <w:bCs w:val="1"/>
          <w:color w:val="auto"/>
        </w:rPr>
        <w:t>March 31,</w:t>
      </w:r>
    </w:p>
    <w:tbl>
      <w:tblPr>
        <w:tblLayout w:type="fixed"/>
        <w:tblInd w:w="2300" w:type="dxa"/>
        <w:tblCellMar>
          <w:top w:w="0" w:type="dxa"/>
          <w:left w:w="0" w:type="dxa"/>
          <w:bottom w:w="0" w:type="dxa"/>
          <w:right w:w="0" w:type="dxa"/>
        </w:tblCellMar>
      </w:tblPr>
      <w:tr>
        <w:trPr>
          <w:trHeight w:val="142"/>
        </w:trPr>
        <w:tc>
          <w:tcPr>
            <w:tcW w:w="5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As a Percentage of Segment Revenue</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42" w:lineRule="exact"/>
        <w:rPr>
          <w:sz w:val="20"/>
          <w:szCs w:val="20"/>
          <w:color w:val="auto"/>
        </w:rPr>
      </w:pPr>
    </w:p>
    <w:p>
      <w:pPr>
        <w:jc w:val="both"/>
        <w:ind w:right="140" w:firstLine="351"/>
        <w:spacing w:after="0" w:line="370" w:lineRule="auto"/>
        <w:rPr>
          <w:sz w:val="20"/>
          <w:szCs w:val="20"/>
          <w:color w:val="auto"/>
        </w:rPr>
      </w:pPr>
      <w:r>
        <w:rPr>
          <w:rFonts w:ascii="Arial" w:cs="Arial" w:eastAsia="Arial" w:hAnsi="Arial"/>
          <w:sz w:val="15"/>
          <w:szCs w:val="15"/>
          <w:color w:val="auto"/>
        </w:rPr>
        <w:t>During the third quarter of 2010, the Company changed its accounting policy for inter-segment revenue and inter-segment marketing expense between the LendingTree Loans and Exchanges segments. This change only impacts the segment results, and does not impact the consolidated financial results of Tree.com.</w:t>
      </w:r>
    </w:p>
    <w:p>
      <w:pPr>
        <w:spacing w:after="0" w:line="11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Marketing expense for the Exchanges is primarily the building and maintaining of the Company's core brands, using both online and offline spending, and generates leads not only for the Exchanges but for the LendingTree Loans segment as well. Previously, marketing expense for LendingTree Loans was primarily comprised of inter-segment purchases of leads from the Exchanges, leveraging the LendingTree and GetSmart brands. The Exchanges received inter-segment revenue for the sale of these leads, and that revenue and the related marketing expense at LendingTree Loans would then be eliminated in consolidation of the total Company results.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now uses a cost sharing approach for these marketing expenses, whereby LendingTree Loans and the Exchanges share the marketing expense on a pro rata basis, based on the quantity of leads received by each segment. There is no longer inter-segment revenue or inter-segment marketing expense related to these leads. Management believes that this cost sharing approach is preferable because it more closely aligns the overall goals of the Company with the goals of segment management.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reporting results for prior periods reflect the policy change noted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85"/>
              </w:rPr>
              <w:t>Change</w:t>
            </w:r>
          </w:p>
        </w:tc>
        <w:tc>
          <w:tcPr>
            <w:tcW w:w="11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12,906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13,082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2,932</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21,903</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increase in advertising expense is related directly to the increased interest rates compared to the same period in 2010. In a higher interest rate environment, the incentive for consumers to come into the market to refinance is much lower. The Exchanges responded by increasing advertising expense by 18%, but matched requests decreased by 22%, resulting in advertising expense increasing to 70% of revenue compared to 44% for the same period in 2010. The increase in marketing expense per closed loan for LendingTree Loans is also reflected in the table above by the fact that advertising expense remained fairly flat despite a 25% decrease in revenue.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w w:val="85"/>
              </w:rPr>
              <w:t>Change</w:t>
            </w:r>
          </w:p>
        </w:tc>
        <w:tc>
          <w:tcPr>
            <w:tcW w:w="10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7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79"/>
              </w:rPr>
              <w:t>thousands)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2,329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4,816</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(624)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6,582</w:t>
            </w:r>
          </w:p>
        </w:tc>
      </w:tr>
      <w:tr>
        <w:trPr>
          <w:trHeight w:val="21"/>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13,103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1,705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11,398</w:t>
            </w:r>
          </w:p>
        </w:tc>
      </w:tr>
      <w:tr>
        <w:trPr>
          <w:trHeight w:val="27"/>
        </w:trPr>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3240" w:type="dxa"/>
            <w:vAlign w:val="bottom"/>
          </w:tcPr>
          <w:p>
            <w:pPr>
              <w:jc w:val="right"/>
              <w:ind w:right="1452"/>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gridSpan w:val="3"/>
          </w:tcPr>
          <w:p>
            <w:pPr>
              <w:jc w:val="center"/>
              <w:ind w:left="286"/>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3240" w:type="dxa"/>
            <w:vAlign w:val="bottom"/>
          </w:tcPr>
          <w:p>
            <w:pPr>
              <w:spacing w:after="0"/>
              <w:rPr>
                <w:sz w:val="14"/>
                <w:szCs w:val="14"/>
                <w:color w:val="auto"/>
              </w:rPr>
            </w:pPr>
          </w:p>
        </w:tc>
        <w:tc>
          <w:tcPr>
            <w:tcW w:w="1280" w:type="dxa"/>
            <w:vAlign w:val="bottom"/>
            <w:gridSpan w:val="5"/>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324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General and administrative expense for the three months ended March 31, 2011 increased compared to the same period for 2010, primarily reflecting a</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$1.3 million increase in compensation and other employee-related costs (excluding non-cash compensation) due to higher headcount both in the existing business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as part of the SurePoint acquisition.</w:t>
      </w:r>
    </w:p>
    <w:p>
      <w:pPr>
        <w:spacing w:after="0" w:line="219"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General and administrative expense within the LendingTree Loans segment increased $2.3 million primarily due to increases of $1.7 million in compensation and other employee related costs (excluding non-cash compensation) due to higher headcount both in the existing business and as part of the SurePoint acquisition.</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General and administrative expense within the Exchanges segment decreased $0.6 million primarily due to lower compensation and other employee-related costs due to a reduction in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3"/>
              </w:rPr>
              <w:t>88%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Exchanges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w w:val="99"/>
              </w:rPr>
              <w:t>16%</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1,110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10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93"/>
              </w:rPr>
              <w:t>24% $</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w:t>
      </w:r>
    </w:p>
    <w:p>
      <w:pPr>
        <w:jc w:val="center"/>
        <w:ind w:left="5420"/>
        <w:spacing w:after="0" w:line="223" w:lineRule="auto"/>
        <w:rPr>
          <w:sz w:val="20"/>
          <w:szCs w:val="20"/>
          <w:color w:val="auto"/>
        </w:rPr>
      </w:pPr>
      <w:r>
        <w:rPr>
          <w:rFonts w:ascii="Arial" w:cs="Arial" w:eastAsia="Arial" w:hAnsi="Arial"/>
          <w:sz w:val="14"/>
          <w:szCs w:val="14"/>
          <w:b w:val="1"/>
          <w:bCs w:val="1"/>
          <w:color w:val="auto"/>
        </w:rPr>
        <w:t>Ended</w:t>
      </w:r>
    </w:p>
    <w:p>
      <w:pPr>
        <w:jc w:val="center"/>
        <w:ind w:left="5420"/>
        <w:spacing w:after="0" w:line="220" w:lineRule="auto"/>
        <w:rPr>
          <w:sz w:val="20"/>
          <w:szCs w:val="20"/>
          <w:color w:val="auto"/>
        </w:rPr>
      </w:pPr>
      <w:r>
        <w:rPr>
          <w:rFonts w:ascii="Arial" w:cs="Arial" w:eastAsia="Arial" w:hAnsi="Arial"/>
          <w:sz w:val="14"/>
          <w:szCs w:val="14"/>
          <w:b w:val="1"/>
          <w:bCs w:val="1"/>
          <w:color w:val="auto"/>
        </w:rPr>
        <w:t>March 31,</w:t>
      </w:r>
    </w:p>
    <w:tbl>
      <w:tblPr>
        <w:tblLayout w:type="fixed"/>
        <w:tblInd w:w="2300" w:type="dxa"/>
        <w:tblCellMar>
          <w:top w:w="0" w:type="dxa"/>
          <w:left w:w="0" w:type="dxa"/>
          <w:bottom w:w="0" w:type="dxa"/>
          <w:right w:w="0" w:type="dxa"/>
        </w:tblCellMar>
      </w:tblPr>
      <w:tr>
        <w:trPr>
          <w:trHeight w:val="142"/>
        </w:trPr>
        <w:tc>
          <w:tcPr>
            <w:tcW w:w="5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As a Percentage of Segment Revenue</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3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Product development expense consists primarily of compensation and other employee related costs (including stock-based compensation) for personnel engaged in product development, which include costs related to the design, development, testing and enhancement of technology that are not capitalized.</w:t>
      </w:r>
    </w:p>
    <w:p>
      <w:pPr>
        <w:spacing w:after="0" w:line="11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Product development expense in the three months ended March 31, 2011 increased from the same period in 2010, due to an increase in use of temporary labor.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For a reconciliation of Adjusted EBITDA to operating income (loss) for Tree.com's operating segments and to net loss in total, see Note 7 to the consolidated financial statements.</w:t>
      </w:r>
    </w:p>
    <w:p>
      <w:pPr>
        <w:spacing w:after="0" w:line="24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5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(Dollars in</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8"/>
              </w:rPr>
              <w:t>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(12,208)</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5,753</w:t>
            </w:r>
          </w:p>
        </w:tc>
      </w:tr>
      <w:tr>
        <w:trPr>
          <w:trHeight w:val="222"/>
        </w:trPr>
        <w:tc>
          <w:tcPr>
            <w:tcW w:w="300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(8,953)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(3,877)</w:t>
            </w:r>
          </w:p>
        </w:tc>
      </w:tr>
      <w:tr>
        <w:trPr>
          <w:trHeight w:val="21"/>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(15,408)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(17,284)</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w:t>
            </w: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 a percentage of total revenue</w:t>
            </w:r>
          </w:p>
        </w:tc>
        <w:tc>
          <w:tcPr>
            <w:tcW w:w="2940" w:type="dxa"/>
            <w:vAlign w:val="bottom"/>
          </w:tcPr>
          <w:p>
            <w:pPr>
              <w:jc w:val="right"/>
              <w:ind w:right="1192"/>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40" w:type="dxa"/>
            <w:vAlign w:val="bottom"/>
            <w:gridSpan w:val="2"/>
          </w:tcPr>
          <w:p>
            <w:pPr>
              <w:jc w:val="center"/>
              <w:ind w:left="286"/>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As a Percentage of Segment Revenue</w:t>
            </w:r>
          </w:p>
        </w:tc>
        <w:tc>
          <w:tcPr>
            <w:tcW w:w="2940" w:type="dxa"/>
            <w:vAlign w:val="bottom"/>
          </w:tcPr>
          <w:p>
            <w:pPr>
              <w:spacing w:after="0"/>
              <w:rPr>
                <w:sz w:val="14"/>
                <w:szCs w:val="14"/>
                <w:color w:val="auto"/>
              </w:rPr>
            </w:pPr>
          </w:p>
        </w:tc>
        <w:tc>
          <w:tcPr>
            <w:tcW w:w="15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2940" w:type="dxa"/>
            <w:vAlign w:val="bottom"/>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Exchanges</w:t>
            </w:r>
          </w:p>
        </w:tc>
        <w:tc>
          <w:tcPr>
            <w:tcW w:w="29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decrease in Adjusted EBITDA for the three months ended March 31, 2011 compared to the same period for 2010 reflects the Company's decreased revenue at LendingTree Loans, increased expenses for advertising and general and administrative expenses.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89"/>
              </w:rPr>
              <w:t>Three Months Ended March 31,</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5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(Dollars in</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77"/>
              </w:rPr>
              <w:t>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(12,411)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2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Exchanges</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(21,188)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(11,914)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(9,274)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(28,490)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(24,325)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 $</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(4,165)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(85)</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Three Months</w:t>
      </w:r>
    </w:p>
    <w:p>
      <w:pPr>
        <w:jc w:val="center"/>
        <w:ind w:left="4780"/>
        <w:spacing w:after="0" w:line="223" w:lineRule="auto"/>
        <w:rPr>
          <w:sz w:val="20"/>
          <w:szCs w:val="20"/>
          <w:color w:val="auto"/>
        </w:rPr>
      </w:pPr>
      <w:r>
        <w:rPr>
          <w:rFonts w:ascii="Arial" w:cs="Arial" w:eastAsia="Arial" w:hAnsi="Arial"/>
          <w:sz w:val="14"/>
          <w:szCs w:val="14"/>
          <w:b w:val="1"/>
          <w:bCs w:val="1"/>
          <w:color w:val="auto"/>
        </w:rPr>
        <w:t>Ended</w:t>
      </w:r>
    </w:p>
    <w:p>
      <w:pPr>
        <w:jc w:val="center"/>
        <w:ind w:left="4780"/>
        <w:spacing w:after="0" w:line="220" w:lineRule="auto"/>
        <w:rPr>
          <w:sz w:val="20"/>
          <w:szCs w:val="20"/>
          <w:color w:val="auto"/>
        </w:rPr>
      </w:pPr>
      <w:r>
        <w:rPr>
          <w:rFonts w:ascii="Arial" w:cs="Arial" w:eastAsia="Arial" w:hAnsi="Arial"/>
          <w:sz w:val="14"/>
          <w:szCs w:val="14"/>
          <w:b w:val="1"/>
          <w:bCs w:val="1"/>
          <w:color w:val="auto"/>
        </w:rPr>
        <w:t>March 31,</w:t>
      </w:r>
    </w:p>
    <w:tbl>
      <w:tblPr>
        <w:tblLayout w:type="fixed"/>
        <w:tblInd w:w="2300" w:type="dxa"/>
        <w:tblCellMar>
          <w:top w:w="0" w:type="dxa"/>
          <w:left w:w="0" w:type="dxa"/>
          <w:bottom w:w="0" w:type="dxa"/>
          <w:right w:w="0" w:type="dxa"/>
        </w:tblCellMar>
      </w:tblPr>
      <w:tr>
        <w:trPr>
          <w:trHeight w:val="142"/>
        </w:trPr>
        <w:tc>
          <w:tcPr>
            <w:tcW w:w="5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As a Percentage of Segment Revenue</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LendingTree Loans</w:t>
            </w:r>
          </w:p>
        </w:tc>
        <w:tc>
          <w:tcPr>
            <w:tcW w:w="2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Exchanges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Operating loss in the three months ended March 31, 2011 increased from the same period in 2010 due to the reduction in revenue and the increase in operating expenses. In addition to the reasons provided above, operating expenses were higher in 2011 due to a $4.5 million increase in legal settlement and contingency costs, offset by a $2.2 million decrease to restructuring expense. The increase in legal settlement costs was the result of the Company entering into settlement discussions regarding a pending legal matter in 2011. The reduction in restructuring expense is a result of restructuring expenses recorded in the first quarter of 2010 that primarily related to continuing lease obligations on facilities previously used for call center operations.</w:t>
      </w:r>
    </w:p>
    <w:p>
      <w:pPr>
        <w:spacing w:after="0" w:line="170"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Additionally, in connection with closing all of the field offices of RealEstate.com, REALTORS® as described in the Management Overview section, the Company incurred impairment charges totaling $5.0 million in the first quarter of 2011. Trademark impairment totaled $4.1 million and property and equipment impairment totaled $0.9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For the three months ended March 31, 2011 and 2010, Tree.com recorded a tax provision of $0.3 million and $0.5 million, respectively, which represents effective tax rates of (0.9%) and (12.6)%, respectively. In the first quarter of 2011, the tax rate is lower than the federal statutory rate of 35% mainly due to the change in the valuation allowance on deferred tax assets. In the first quarter of 2010, the tax rate was lower than the federal statutory rate of 35% due to the change in the valuation allowance on deferred tax assets and an increase to the FIN 48 reserve.</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Tree.com's unrecognized tax benefits increased by an immaterial amount in the first quarter of 2011. The increase was due to penalty and interest on uncertain tax positions in prior years. Tree.com believes that it is reasonably possible that its remaining unrecognized tax benefits could decrease by approximately $0.1 million within twelve months of the current reporting date due to the expiration of state statute of limitations. An estimate of other changes in unrecognized tax benefits cannot be made, but are not expected to be significant.</w:t>
      </w:r>
    </w:p>
    <w:p>
      <w:pPr>
        <w:spacing w:after="0" w:line="19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For the three months ended March 31, 2011, Tree.com determined that its activity yielded an unusual effective tax rate; therefore, Tree.com utilized the actual year to date effective tax rate for purposes of determining year to date tax expense. This approach is consistent with the three months ended March 31, 2010.</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March 31, 2011, Tree.com had $63.5 million of cash and cash equivalents and restricted cash and cash equivalents, compared to $79.5 million as of December 31, 2010.</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provided by operating activities was $29.6 million in the three months ended March 31, 2011, compared to $14.1 million used in operating activities in the same period in 2010. The change from cash used in operating activities in 2010 to cash provided by operating activities in 2011 was primarily due to a $53.9 million increase in the amount of net cash proceeds from the origination and sale of loans and a $14.2 million increase in accounts payable and other current liabilities, which principally related to litigation payments of $8.0 million that were made in 2010.</w:t>
      </w:r>
    </w:p>
    <w:p>
      <w:pPr>
        <w:spacing w:after="0" w:line="167" w:lineRule="exact"/>
        <w:rPr>
          <w:sz w:val="20"/>
          <w:szCs w:val="20"/>
          <w:color w:val="auto"/>
        </w:rPr>
      </w:pPr>
    </w:p>
    <w:p>
      <w:pPr>
        <w:ind w:right="760" w:firstLine="351"/>
        <w:spacing w:after="0" w:line="306" w:lineRule="auto"/>
        <w:rPr>
          <w:sz w:val="20"/>
          <w:szCs w:val="20"/>
          <w:color w:val="auto"/>
        </w:rPr>
      </w:pPr>
      <w:r>
        <w:rPr>
          <w:rFonts w:ascii="Arial" w:cs="Arial" w:eastAsia="Arial" w:hAnsi="Arial"/>
          <w:sz w:val="16"/>
          <w:szCs w:val="16"/>
          <w:color w:val="auto"/>
        </w:rPr>
        <w:t>Net cash used in investing activities in the three months ended March 31, 2011 of $10.7 million primarily resulted from the SurePoint acquisition expenditures of $7.8 million and capital expenditures of $3.5 million. Net cash used in investing activities in the three months ended March 31, 2010 of $1.2 million primarily resulted from capital expenditures of $1.4 million, offset by the release of restricted cash of $0.2 million.</w:t>
      </w:r>
    </w:p>
    <w:p>
      <w:pPr>
        <w:spacing w:after="0" w:line="161"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Net cash used in financing activities in the three months ended March 31, 2011 of $34.1 million was primarily due to net repayments of warehouse line credit related to the decrease in loans held for sale as discussed above. Net cash provided by financing activities in the three months ended March 31, 2010 of $3.2 million was primarily due to net borrowings under warehouse lines of credit of $5.0 million less purchase of treasury stock of $0.7 million, releases of restricted cash of $0.6 million, and issuances of common stock of $0.5 million.</w:t>
      </w:r>
    </w:p>
    <w:p>
      <w:pPr>
        <w:spacing w:after="0" w:line="197"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March 31, 2011, LendingTree Loans had two committed lines of credit totaling $150.0 million of borrowing capacity.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by LendingTree Loans.</w:t>
      </w:r>
    </w:p>
    <w:p>
      <w:pPr>
        <w:spacing w:after="0" w:line="16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$50.0 million first line is scheduled to expire on June 29, 2011. This line can be cancelled at the option of the lender without default upon sixty days notice. This first line includes an additional uncommitted credit facility of $25.0 million. This first line is also guaranteed by Tree.com, Inc., LendingTree, LLC and LendingTree Holdings Corp. The interest rate under the first line is the 30-day London InterBank Offered Rate ("LIBOR") or 2.00% (whichever is greater) plus 2.25%. The interest rate under the $25.0 million uncommitted line is the 30-day LIBOR plus 1.50%. LendingTree Loans is also required to sell at least 25% of the loans it originates to the lender under this line or pay a "pair-off fee" of 0.25% on the difference between the required and actual volume of loans sold.</w:t>
      </w:r>
    </w:p>
    <w:p>
      <w:pPr>
        <w:spacing w:after="0" w:line="170"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$100.0 million second line is scheduled to expire on October 28, 2011. This line is also guaranteed by Tree.com, Inc., LendingTree, LLC and LendingTree Holdings Corp. The interest rate under this line is the 30-day Adjusted LIBOR or 2.0% (whichever is greater) plus 2.25% to 2.5% for loans being sold to the lender and 30-day Adjusted LIBOR or 2.0% (whichever is greater) plus 2.25% for loans not being sold to the lender.</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terms of these warehouse lines, LendingTree Loans is required to maintain various financial and other covenants. These financial covenants include, but are not limited to, maintaining (i) minimum tangible net worth of $25.0 million, (ii) minimum liquidity, (iii) a minimum current ratio, (iv) a maximum ratio of total liabilities to net worth, (v) a maximum leverage ratio, (vi) pre-tax net income requirements and (vii) a maximum warehouse capacity ratio. During the quarter ended March 31, 2011, LendingTree Loans was in compliance with the covenants under these lines.</w:t>
      </w:r>
    </w:p>
    <w:p>
      <w:pPr>
        <w:spacing w:after="0" w:line="16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LendingTree Loans business is highly dependent on the availability of these warehouse lines. Although we believe that our existing lines of credit are adequate for our current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one, but not both, of the warehouse lines were lost. We intend to renew both of these lines upon expiration.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Tree.com anticipates that it will need to make capital and other expenditures in connection with the development and expansion of its overall operations.</w:t>
      </w:r>
    </w:p>
    <w:p>
      <w:pPr>
        <w:spacing w:after="0" w:line="248"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discussed in Item 4—Controls and Procedures, the Company has concluded that due to a material weakness in internal control over financial reporting related to income taxes as of December 31, 2010, as described in the Company's annual report on Form 10K for the year ended December 31, 2010 (the "2010 Form 10K"), the Company's disclosure controls and procedures are not effective as of March 31, 2011. The Company has taken appropriate actions in 2011 to address and remediate the deficiencies that gave rise to the material weakness. However, the material weakness will not be fully remediated until, in the opinion of management, the revised control procedures have been operating for a sufficient period of time to provide reasonable assurances as to their effectiveness, and management does not believe that a sufficient period of time has passed to make this determination. The Company does not believe this would have a significant impact on liquidity.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Less Than</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w w:val="92"/>
              </w:rPr>
              <w:t>3 - 5</w:t>
            </w:r>
          </w:p>
        </w:tc>
        <w:tc>
          <w:tcPr>
            <w:tcW w:w="16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gridSpan w:val="4"/>
          </w:tcPr>
          <w:p>
            <w:pPr>
              <w:spacing w:after="0"/>
              <w:rPr>
                <w:sz w:val="20"/>
                <w:szCs w:val="20"/>
                <w:color w:val="auto"/>
              </w:rPr>
            </w:pPr>
            <w:r>
              <w:rPr>
                <w:rFonts w:ascii="Arial" w:cs="Arial" w:eastAsia="Arial" w:hAnsi="Arial"/>
                <w:sz w:val="14"/>
                <w:szCs w:val="14"/>
                <w:b w:val="1"/>
                <w:bCs w:val="1"/>
                <w:color w:val="auto"/>
              </w:rPr>
              <w:t>Contractual Obligations as of March 31, 2011</w:t>
            </w: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1 Year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78"/>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obligations(b)</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Loan loss settlement obligations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liquidation value and accreted interest(c)</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Termination fee for restructured lease agreement(d)</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gridSpan w:val="4"/>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40" w:type="dxa"/>
            <w:vAlign w:val="bottom"/>
            <w:gridSpan w:val="4"/>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100,569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81,280</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12,191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79"/>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80" w:hanging="531"/>
        <w:spacing w:after="0" w:line="259"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short-term borrowings are the Company's warehouse lines of credit that are used exclusively for funding loans held for sale. These borrowings are collateralized by and are repaid from proceeds from selling the loans held for sale. Interest on these borrowings as of March 31, 2011 is not significant.</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obligations primarily relate to marketing event contracts in 2011.</w:t>
      </w:r>
    </w:p>
    <w:p>
      <w:pPr>
        <w:spacing w:after="0" w:line="238" w:lineRule="exact"/>
        <w:rPr>
          <w:rFonts w:ascii="Arial" w:cs="Arial" w:eastAsia="Arial" w:hAnsi="Arial"/>
          <w:sz w:val="18"/>
          <w:szCs w:val="18"/>
          <w:color w:val="auto"/>
        </w:rPr>
      </w:pPr>
    </w:p>
    <w:p>
      <w:pPr>
        <w:ind w:left="1680" w:hanging="531"/>
        <w:spacing w:after="0" w:line="256"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preferred stock obligation represents the obligation the Company has to redeem at maturity the 2,902.33 shares of Series A redeemable preferred stock which the Company's CEO was granted in LendingTree Holdings Corp., a subsidiary of Tree.com at the time of the spin-off from IAC. These shares earn dividends at 12%, will fully vest on August 20, 2011 but are not payable until 2013, and have a liquidation preference of $1,000 per share.</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fee payable to lessor for early building lease cancellation.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LendingTree Loans and Exchanges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jc w:val="both"/>
        <w:ind w:right="120" w:firstLine="348"/>
        <w:spacing w:after="0" w:line="291" w:lineRule="auto"/>
        <w:rPr>
          <w:sz w:val="20"/>
          <w:szCs w:val="20"/>
          <w:color w:val="auto"/>
        </w:rPr>
      </w:pPr>
      <w:r>
        <w:rPr>
          <w:rFonts w:ascii="Arial" w:cs="Arial" w:eastAsia="Arial" w:hAnsi="Arial"/>
          <w:sz w:val="16"/>
          <w:szCs w:val="16"/>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discussed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Tree.com's Non-GAAP Measures</w:t>
      </w:r>
    </w:p>
    <w:p>
      <w:pPr>
        <w:spacing w:after="0" w:line="23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Adjusted EBITDA is defined as EBITDA excluding (1) non-cash compensation expense, (2) non-cash intangible asset impairment charges, (3) gain/loss on disposal of assets, (4) restructuring expenses, (5) litigation settlements and contingencies,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Expenses That Are Excluded From Tree.com's Non-GAAP Measures</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Non-cash compensation expense consists principally of expense associated with the grants of restricted stock units and stock options. These expenses are not paid in cash, and Tree.com will include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39"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EBITDA</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a reconciliation of EBITDA and Adjusted EBITDA to operating income (loss) for Tree.com's operating segments and to net loss in total for the three months March 31, 2011 and 2010, see Note 7 to the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REALTORS®—a registered collective membership mark that identifies a real estate professional who is a member of the National Association of REALTORS® and subscribes to its strict Code of Ethics.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Tree.com's exposure to market rate risk for changes in interest rates relates primarily to LendingTree Loans' loans held for sale and interest rate lock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and Interest Rate Lock Commitments</w:t>
      </w:r>
    </w:p>
    <w:p>
      <w:pPr>
        <w:spacing w:after="0" w:line="23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"to be announced mortgage-backed securities" ("TBA MBS") and best efforts forward delivery commitments. The changes in fair value of the derivative instruments are recognized in current earnings as a component of revenue.</w:t>
      </w:r>
    </w:p>
    <w:p>
      <w:pPr>
        <w:spacing w:after="0" w:line="15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TBA MBS and best efforts forward delivery commitments.</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fair values of derivative financial instruments at LendingTree Loans are impacted by movements in market interest rates. Changes in the fair value of the derivative financial instruments are substantially offset by changes in the fair value of the items for which risk is being mitigated. As of March 31, 2011, if market interest rates had increased by 1.00%, the aggregate fair value of the derivative financial instruments and the hedged items at LendingTree Loans would have decreased by $1.3 million. As of March 31, 2010, if market interest rates had decreased by 1.00%, the aggregate fair value of the derivative financial instruments and the hedged items at LendingTree Loans would have decreased by $0.6 million. Valuation techniques are described in Note 10 to the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principal executive officer and principal financial officer. Based on that evaluation, the Company's principal executive officer and principal financial officer have concluded that due to a material weakness in internal control over financial reporting related to income taxes as of December 31, 2010, as described in the Company's 2010 Form 10-K, the Company's disclosure controls and procedures are not effective as of March 31, 2011. The Company has taken appropriate actions in 2011 to address and remediate the deficiencies that gave rise to the material weakness, including evaluating our available resources to provide effective oversight of the work performed by our third party tax advisors and evaluating the resources provided by the third party tax advisors. However, the material weakness will not be fully remediated until, in the opinion of management, the revised control procedures have been operating for a sufficient period of time to provide reasonable assurances as to their effectiveness, and management does not believe that a sufficient period of time has passed to make this determination.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Other than as noted above, there has been no change in the Company's internal controls over financial reporting during the first quarter of 2011 that has materially affected, or is reasonably likely to materially affect, the Company's internal controls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2010. During the quarter ended March 31, 2011, there were no material developments to the legal proceedings disclosed in the 2010 Form 10-K and no new material proceedings except as set forth below.</w:t>
      </w:r>
    </w:p>
    <w:p>
      <w:pPr>
        <w:spacing w:after="0" w:line="191" w:lineRule="exact"/>
        <w:rPr>
          <w:sz w:val="20"/>
          <w:szCs w:val="20"/>
          <w:color w:val="auto"/>
        </w:rPr>
      </w:pPr>
    </w:p>
    <w:p>
      <w:pPr>
        <w:jc w:val="both"/>
        <w:ind w:right="20" w:firstLine="351"/>
        <w:spacing w:after="0" w:line="309" w:lineRule="auto"/>
        <w:rPr>
          <w:sz w:val="20"/>
          <w:szCs w:val="20"/>
          <w:color w:val="auto"/>
        </w:rPr>
      </w:pPr>
      <w:r>
        <w:rPr>
          <w:rFonts w:ascii="Arial" w:cs="Arial" w:eastAsia="Arial" w:hAnsi="Arial"/>
          <w:sz w:val="15"/>
          <w:szCs w:val="15"/>
          <w:b w:val="1"/>
          <w:bCs w:val="1"/>
          <w:i w:val="1"/>
          <w:iCs w:val="1"/>
          <w:color w:val="auto"/>
        </w:rPr>
        <w:t xml:space="preserve">Adams v. LendingTree, </w:t>
      </w:r>
      <w:r>
        <w:rPr>
          <w:rFonts w:ascii="Arial" w:cs="Arial" w:eastAsia="Arial" w:hAnsi="Arial"/>
          <w:sz w:val="15"/>
          <w:szCs w:val="15"/>
          <w:b w:val="1"/>
          <w:bCs w:val="1"/>
          <w:color w:val="auto"/>
        </w:rPr>
        <w:t>No. 2008-CP-04-03021 (S.C. Common Pleas, 10th Judicial Cir. filed Sept. 9, 2008), No. 8:08-cv-03496-HFF (removed Oct. 15,</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 xml:space="preserve">2008); </w:t>
      </w:r>
      <w:r>
        <w:rPr>
          <w:rFonts w:ascii="Arial" w:cs="Arial" w:eastAsia="Arial" w:hAnsi="Arial"/>
          <w:sz w:val="15"/>
          <w:szCs w:val="15"/>
          <w:b w:val="1"/>
          <w:bCs w:val="1"/>
          <w:i w:val="1"/>
          <w:iCs w:val="1"/>
          <w:color w:val="auto"/>
        </w:rPr>
        <w:t>Ariail v. LendingTree</w:t>
      </w:r>
      <w:r>
        <w:rPr>
          <w:rFonts w:ascii="Arial" w:cs="Arial" w:eastAsia="Arial" w:hAnsi="Arial"/>
          <w:sz w:val="15"/>
          <w:szCs w:val="15"/>
          <w:b w:val="1"/>
          <w:bCs w:val="1"/>
          <w:color w:val="auto"/>
        </w:rPr>
        <w:t>, No. 2008-CP-23-5834 (S.C. Common Pleas, 13th Judicial Cir. filed Aug. 1, 2008), No. 6:08-cv-03044-HFF (removed Sept. 3,</w:t>
      </w:r>
    </w:p>
    <w:p>
      <w:pPr>
        <w:ind w:right="20"/>
        <w:spacing w:after="0" w:line="281" w:lineRule="auto"/>
        <w:rPr>
          <w:sz w:val="20"/>
          <w:szCs w:val="20"/>
          <w:color w:val="auto"/>
        </w:rPr>
      </w:pPr>
      <w:r>
        <w:rPr>
          <w:rFonts w:ascii="Arial" w:cs="Arial" w:eastAsia="Arial" w:hAnsi="Arial"/>
          <w:sz w:val="16"/>
          <w:szCs w:val="16"/>
          <w:b w:val="1"/>
          <w:bCs w:val="1"/>
          <w:color w:val="auto"/>
        </w:rPr>
        <w:t xml:space="preserve">2008); </w:t>
      </w:r>
      <w:r>
        <w:rPr>
          <w:rFonts w:ascii="Arial" w:cs="Arial" w:eastAsia="Arial" w:hAnsi="Arial"/>
          <w:sz w:val="16"/>
          <w:szCs w:val="16"/>
          <w:b w:val="1"/>
          <w:bCs w:val="1"/>
          <w:i w:val="1"/>
          <w:iCs w:val="1"/>
          <w:color w:val="auto"/>
        </w:rPr>
        <w:t>Brackett v. LendingTree,</w:t>
      </w:r>
      <w:r>
        <w:rPr>
          <w:rFonts w:ascii="Arial" w:cs="Arial" w:eastAsia="Arial" w:hAnsi="Arial"/>
          <w:sz w:val="16"/>
          <w:szCs w:val="16"/>
          <w:b w:val="1"/>
          <w:bCs w:val="1"/>
          <w:color w:val="auto"/>
        </w:rPr>
        <w:t xml:space="preserve"> No. 2008-CP-46-3450 (S.C. Common Pleas, 16th Judicial Cir. filed Sept. 4, 2008), No. 0:08-cv-03504-HFF (removed Oct. 15, 2008); </w:t>
      </w:r>
      <w:r>
        <w:rPr>
          <w:rFonts w:ascii="Arial" w:cs="Arial" w:eastAsia="Arial" w:hAnsi="Arial"/>
          <w:sz w:val="16"/>
          <w:szCs w:val="16"/>
          <w:b w:val="1"/>
          <w:bCs w:val="1"/>
          <w:i w:val="1"/>
          <w:iCs w:val="1"/>
          <w:color w:val="auto"/>
        </w:rPr>
        <w:t>Clements v. LendingTree,</w:t>
      </w:r>
      <w:r>
        <w:rPr>
          <w:rFonts w:ascii="Arial" w:cs="Arial" w:eastAsia="Arial" w:hAnsi="Arial"/>
          <w:sz w:val="16"/>
          <w:szCs w:val="16"/>
          <w:b w:val="1"/>
          <w:bCs w:val="1"/>
          <w:color w:val="auto"/>
        </w:rPr>
        <w:t xml:space="preserve"> No. 2008-CP-21-1730 (S.C. Common Pleas, 12th Judicial Cir. filed Sept. 4, 2008), No. 4:08-cv-03508-HFF (removed Oct. 15, 2008); </w:t>
      </w:r>
      <w:r>
        <w:rPr>
          <w:rFonts w:ascii="Arial" w:cs="Arial" w:eastAsia="Arial" w:hAnsi="Arial"/>
          <w:sz w:val="16"/>
          <w:szCs w:val="16"/>
          <w:b w:val="1"/>
          <w:bCs w:val="1"/>
          <w:i w:val="1"/>
          <w:iCs w:val="1"/>
          <w:color w:val="auto"/>
        </w:rPr>
        <w:t>Gowdy v. LendingTree,</w:t>
      </w:r>
      <w:r>
        <w:rPr>
          <w:rFonts w:ascii="Arial" w:cs="Arial" w:eastAsia="Arial" w:hAnsi="Arial"/>
          <w:sz w:val="16"/>
          <w:szCs w:val="16"/>
          <w:b w:val="1"/>
          <w:bCs w:val="1"/>
          <w:color w:val="auto"/>
        </w:rPr>
        <w:t xml:space="preserve"> No. 2008-CP-42-4666 (S.C. Common Pleas, 7th Judicial Cir. filed Sept. 4, 2008), No. 7:08-cv-03495-HFF (removed Oct. 15, 2008); </w:t>
      </w:r>
      <w:r>
        <w:rPr>
          <w:rFonts w:ascii="Arial" w:cs="Arial" w:eastAsia="Arial" w:hAnsi="Arial"/>
          <w:sz w:val="16"/>
          <w:szCs w:val="16"/>
          <w:b w:val="1"/>
          <w:bCs w:val="1"/>
          <w:i w:val="1"/>
          <w:iCs w:val="1"/>
          <w:color w:val="auto"/>
        </w:rPr>
        <w:t>Hembree v. LendingTree,</w:t>
      </w:r>
      <w:r>
        <w:rPr>
          <w:rFonts w:ascii="Arial" w:cs="Arial" w:eastAsia="Arial" w:hAnsi="Arial"/>
          <w:sz w:val="16"/>
          <w:szCs w:val="16"/>
          <w:b w:val="1"/>
          <w:bCs w:val="1"/>
          <w:color w:val="auto"/>
        </w:rPr>
        <w:t xml:space="preserve"> No. 2008-CP-26-7100 (S.C. Common Pleas, 15th Judicial Cir. filed Sept. 8, 2008), No. 4:08-cv-03499-HFF (removed Oct. 15, 2008); </w:t>
      </w:r>
      <w:r>
        <w:rPr>
          <w:rFonts w:ascii="Arial" w:cs="Arial" w:eastAsia="Arial" w:hAnsi="Arial"/>
          <w:sz w:val="16"/>
          <w:szCs w:val="16"/>
          <w:b w:val="1"/>
          <w:bCs w:val="1"/>
          <w:i w:val="1"/>
          <w:iCs w:val="1"/>
          <w:color w:val="auto"/>
        </w:rPr>
        <w:t>Hodge v. LendingTree,</w:t>
      </w:r>
      <w:r>
        <w:rPr>
          <w:rFonts w:ascii="Arial" w:cs="Arial" w:eastAsia="Arial" w:hAnsi="Arial"/>
          <w:sz w:val="16"/>
          <w:szCs w:val="16"/>
          <w:b w:val="1"/>
          <w:bCs w:val="1"/>
          <w:color w:val="auto"/>
        </w:rPr>
        <w:t xml:space="preserve"> No. 2008-CP-13-356 (S.C. Common Pleas, 4th Judicial Cir. filed Sept. 4, 2008), No. 4:08-cv-03507-HFF (removed Oct. 15, 2008); </w:t>
      </w:r>
      <w:r>
        <w:rPr>
          <w:rFonts w:ascii="Arial" w:cs="Arial" w:eastAsia="Arial" w:hAnsi="Arial"/>
          <w:sz w:val="16"/>
          <w:szCs w:val="16"/>
          <w:b w:val="1"/>
          <w:bCs w:val="1"/>
          <w:i w:val="1"/>
          <w:iCs w:val="1"/>
          <w:color w:val="auto"/>
        </w:rPr>
        <w:t>Morgan v. LendingTree,</w:t>
      </w:r>
      <w:r>
        <w:rPr>
          <w:rFonts w:ascii="Arial" w:cs="Arial" w:eastAsia="Arial" w:hAnsi="Arial"/>
          <w:sz w:val="16"/>
          <w:szCs w:val="16"/>
          <w:b w:val="1"/>
          <w:bCs w:val="1"/>
          <w:color w:val="auto"/>
        </w:rPr>
        <w:t xml:space="preserve"> No. 2008-CP-02-1529 (S.C. Common Pleas, 2nd Judicial Cir. filed Sept. 8, 2008), No. 1:08-cv-03503-HFF (removed Oct. 15, 2008); </w:t>
      </w:r>
      <w:r>
        <w:rPr>
          <w:rFonts w:ascii="Arial" w:cs="Arial" w:eastAsia="Arial" w:hAnsi="Arial"/>
          <w:sz w:val="16"/>
          <w:szCs w:val="16"/>
          <w:b w:val="1"/>
          <w:bCs w:val="1"/>
          <w:i w:val="1"/>
          <w:iCs w:val="1"/>
          <w:color w:val="auto"/>
        </w:rPr>
        <w:t>Stone v. LendingTree,</w:t>
      </w:r>
      <w:r>
        <w:rPr>
          <w:rFonts w:ascii="Arial" w:cs="Arial" w:eastAsia="Arial" w:hAnsi="Arial"/>
          <w:sz w:val="16"/>
          <w:szCs w:val="16"/>
          <w:b w:val="1"/>
          <w:bCs w:val="1"/>
          <w:color w:val="auto"/>
        </w:rPr>
        <w:t xml:space="preserve"> No. 2008-CP-07-03458 (S.C. Common Pleas, 14th Judicial Cir. filed Sept. 8, 2008), No. 9:08-cv-03505-HFF (removed Oct. 15, 2008); </w:t>
      </w:r>
      <w:r>
        <w:rPr>
          <w:rFonts w:ascii="Arial" w:cs="Arial" w:eastAsia="Arial" w:hAnsi="Arial"/>
          <w:sz w:val="16"/>
          <w:szCs w:val="16"/>
          <w:b w:val="1"/>
          <w:bCs w:val="1"/>
          <w:i w:val="1"/>
          <w:iCs w:val="1"/>
          <w:color w:val="auto"/>
        </w:rPr>
        <w:t>Wilson v. LendingTree,</w:t>
      </w:r>
      <w:r>
        <w:rPr>
          <w:rFonts w:ascii="Arial" w:cs="Arial" w:eastAsia="Arial" w:hAnsi="Arial"/>
          <w:sz w:val="16"/>
          <w:szCs w:val="16"/>
          <w:b w:val="1"/>
          <w:bCs w:val="1"/>
          <w:color w:val="auto"/>
        </w:rPr>
        <w:t xml:space="preserve"> No. 2008-CP-10-5451 (S.C. Common Pleas, 9th Judicial Cir. filed Sept. 24, 2008),</w:t>
      </w:r>
    </w:p>
    <w:p>
      <w:pPr>
        <w:spacing w:after="0" w:line="5"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b w:val="1"/>
          <w:bCs w:val="1"/>
          <w:color w:val="auto"/>
        </w:rPr>
        <w:t xml:space="preserve">No. 2:08-cv-03677-HFF (removed Oct. 20, 2008); </w:t>
      </w:r>
      <w:r>
        <w:rPr>
          <w:rFonts w:ascii="Arial" w:cs="Arial" w:eastAsia="Arial" w:hAnsi="Arial"/>
          <w:sz w:val="15"/>
          <w:szCs w:val="15"/>
          <w:b w:val="1"/>
          <w:bCs w:val="1"/>
          <w:i w:val="1"/>
          <w:iCs w:val="1"/>
          <w:color w:val="auto"/>
        </w:rPr>
        <w:t>Giese v. LendingTree</w:t>
      </w:r>
      <w:r>
        <w:rPr>
          <w:rFonts w:ascii="Arial" w:cs="Arial" w:eastAsia="Arial" w:hAnsi="Arial"/>
          <w:sz w:val="15"/>
          <w:szCs w:val="15"/>
          <w:b w:val="1"/>
          <w:bCs w:val="1"/>
          <w:color w:val="auto"/>
        </w:rPr>
        <w:t xml:space="preserve">, No. 2008-CP-40-6714 (S.C. Common Pleas, 5th Judicial Cir. filed Sept. 17, 2008); </w:t>
      </w:r>
      <w:r>
        <w:rPr>
          <w:rFonts w:ascii="Arial" w:cs="Arial" w:eastAsia="Arial" w:hAnsi="Arial"/>
          <w:sz w:val="15"/>
          <w:szCs w:val="15"/>
          <w:b w:val="1"/>
          <w:bCs w:val="1"/>
          <w:i w:val="1"/>
          <w:iCs w:val="1"/>
          <w:color w:val="auto"/>
        </w:rPr>
        <w:t>Myers v. LendingTree</w:t>
      </w:r>
      <w:r>
        <w:rPr>
          <w:rFonts w:ascii="Arial" w:cs="Arial" w:eastAsia="Arial" w:hAnsi="Arial"/>
          <w:sz w:val="15"/>
          <w:szCs w:val="15"/>
          <w:b w:val="1"/>
          <w:bCs w:val="1"/>
          <w:color w:val="auto"/>
        </w:rPr>
        <w:t>, No. 2008-CP-32-03841 (S.C. Common Pleas, 11th Judicial Cir. filed Sept. 17, 2008);</w:t>
      </w:r>
      <w:r>
        <w:rPr>
          <w:rFonts w:ascii="Arial" w:cs="Arial" w:eastAsia="Arial" w:hAnsi="Arial"/>
          <w:sz w:val="15"/>
          <w:szCs w:val="15"/>
          <w:b w:val="1"/>
          <w:bCs w:val="1"/>
          <w:i w:val="1"/>
          <w:iCs w:val="1"/>
          <w:color w:val="auto"/>
        </w:rPr>
        <w:t xml:space="preserve"> Pascoe v. LendingTree</w:t>
      </w:r>
      <w:r>
        <w:rPr>
          <w:rFonts w:ascii="Arial" w:cs="Arial" w:eastAsia="Arial" w:hAnsi="Arial"/>
          <w:sz w:val="15"/>
          <w:szCs w:val="15"/>
          <w:b w:val="1"/>
          <w:bCs w:val="1"/>
          <w:color w:val="auto"/>
        </w:rPr>
        <w:t>, No. 2008-CP-09-00136</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 xml:space="preserve">(S.C. Common Pleas, 1st Judicial Cir. filed Sept. 18, 2008); </w:t>
      </w:r>
      <w:r>
        <w:rPr>
          <w:rFonts w:ascii="Arial" w:cs="Arial" w:eastAsia="Arial" w:hAnsi="Arial"/>
          <w:sz w:val="18"/>
          <w:szCs w:val="18"/>
          <w:b w:val="1"/>
          <w:bCs w:val="1"/>
          <w:i w:val="1"/>
          <w:iCs w:val="1"/>
          <w:color w:val="auto"/>
        </w:rPr>
        <w:t>Jackson v. LendingTree,</w:t>
      </w:r>
      <w:r>
        <w:rPr>
          <w:rFonts w:ascii="Arial" w:cs="Arial" w:eastAsia="Arial" w:hAnsi="Arial"/>
          <w:sz w:val="18"/>
          <w:szCs w:val="18"/>
          <w:b w:val="1"/>
          <w:bCs w:val="1"/>
          <w:color w:val="auto"/>
        </w:rPr>
        <w:t xml:space="preserve"> No 2009-CP-43-1240 (S.C. Court of Common Pleas,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Judicial Cir., filed June 1, 2009); </w:t>
      </w:r>
      <w:r>
        <w:rPr>
          <w:rFonts w:ascii="Arial" w:cs="Arial" w:eastAsia="Arial" w:hAnsi="Arial"/>
          <w:sz w:val="18"/>
          <w:szCs w:val="18"/>
          <w:b w:val="1"/>
          <w:bCs w:val="1"/>
          <w:i w:val="1"/>
          <w:iCs w:val="1"/>
          <w:color w:val="auto"/>
        </w:rPr>
        <w:t>Barfield v. LendingTree</w:t>
      </w:r>
      <w:r>
        <w:rPr>
          <w:rFonts w:ascii="Arial" w:cs="Arial" w:eastAsia="Arial" w:hAnsi="Arial"/>
          <w:sz w:val="18"/>
          <w:szCs w:val="18"/>
          <w:b w:val="1"/>
          <w:bCs w:val="1"/>
          <w:color w:val="auto"/>
        </w:rPr>
        <w:t xml:space="preserve">, No. 2009-CP-29-780 (S.C. Court of Common Pleas, 6th Judicial Cir., filed June 1, 2009); </w:t>
      </w:r>
      <w:r>
        <w:rPr>
          <w:rFonts w:ascii="Arial" w:cs="Arial" w:eastAsia="Arial" w:hAnsi="Arial"/>
          <w:sz w:val="18"/>
          <w:szCs w:val="18"/>
          <w:b w:val="1"/>
          <w:bCs w:val="1"/>
          <w:i w:val="1"/>
          <w:iCs w:val="1"/>
          <w:color w:val="auto"/>
        </w:rPr>
        <w:t>Peace v.</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LendingTree</w:t>
      </w:r>
      <w:r>
        <w:rPr>
          <w:rFonts w:ascii="Arial" w:cs="Arial" w:eastAsia="Arial" w:hAnsi="Arial"/>
          <w:sz w:val="18"/>
          <w:szCs w:val="18"/>
          <w:b w:val="1"/>
          <w:bCs w:val="1"/>
          <w:color w:val="auto"/>
        </w:rPr>
        <w:t>, No. 2009-CP-24-00801 (S.C. Court of Common Pleas, 8th Judicial Cir., filed June 1,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sixteen lawsuits were filed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 2008 and June 1, 2009 by the State of South Carolina, through its various circuit solicitors, against LendingTree. These lawsuits allege that LendingTree failed to provide certain disclosures required by the South Carolina Registration of Mortgage Loan Brokers Act. The complaints seek an award of statutory penalties, forfeiture of all fees paid and recovery of actual costs, including attorneys' fees on behalf of the State. The parties are presently in settlement negotiations.</w:t>
      </w:r>
    </w:p>
    <w:p>
      <w:pPr>
        <w:spacing w:after="0" w:line="21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Mortgage Store, Inc. v. LendingTree Loans d/b/a Home Loan Center, Inc., No. 06CC00250 (Cal. Super. Ct., Orange Cty.). </w:t>
      </w:r>
      <w:r>
        <w:rPr>
          <w:rFonts w:ascii="Arial" w:cs="Arial" w:eastAsia="Arial" w:hAnsi="Arial"/>
          <w:sz w:val="16"/>
          <w:szCs w:val="16"/>
          <w:color w:val="auto"/>
        </w:rPr>
        <w:t>On November 30,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Mortgage Store, Inc. and Castleview Home Loans, Inc. filed this putative class action against HLC in the California Superior Court for Orange County. Plaintiffs, two former Network Lenders, allege that HLC interfered with LendingTree's contracts with Network Lenders by taking referrals from LendingTree. The complaint is largely based upon the factual allegations made in the </w:t>
      </w:r>
      <w:r>
        <w:rPr>
          <w:rFonts w:ascii="Arial" w:cs="Arial" w:eastAsia="Arial" w:hAnsi="Arial"/>
          <w:sz w:val="16"/>
          <w:szCs w:val="16"/>
          <w:i w:val="1"/>
          <w:iCs w:val="1"/>
          <w:color w:val="auto"/>
        </w:rPr>
        <w:t>Schnee</w:t>
      </w:r>
      <w:r>
        <w:rPr>
          <w:rFonts w:ascii="Arial" w:cs="Arial" w:eastAsia="Arial" w:hAnsi="Arial"/>
          <w:sz w:val="16"/>
          <w:szCs w:val="16"/>
          <w:color w:val="auto"/>
        </w:rPr>
        <w:t xml:space="preserve"> complaint (described above). Based upon these factual allegations, Plaintiffs assert claims for intentional interference with contractual relations, intentional interference with prospective economic advantage, and violation of the UCL and California Business and Professions Code § 17500. Plaintiffs purport to represent all Network Lenders from December 14, 2004 to date, and seek damages, restitution, attorneys' fees, and punitive damages.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Plaintiffs' motion for class certification was granted April 29, 2010. Defendant's motion for summary judgment was filed April 12, 2011. The hearing date for the motion for summary judgment is scheduled on June 23, 2011. This matter is currently scheduled for trial in July, 2011.</w:t>
      </w:r>
    </w:p>
    <w:p>
      <w:pPr>
        <w:spacing w:after="0" w:line="1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This quarterly report on Form 10-Q contains "forward-looking statements" within the meaning of the Securities Act of 1933 and the Securities Exchange Act of 1934, as amended by the Private Securities Litigation Reform Act of 1995. These forward-looking statements include, among others, statements relating to: the adequacy of our current warehouse lines for our current operations and our ability to operate our LendingTree Loans business at a reduced capacity if we were to lose one of these lines;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 compensation will result in our executives and employees being paid for performance and will better align their incentives with our strategic goals; our belief that we will need to make capital and other expenditures in connection with the development and expansion of our overall operations; and our belief that our sources of liquidity are sufficient to fund our operating needs, including debt requirements, commitments and contingencies, and capital and investing commitments for the foreseeable future.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66"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the following: volatility in our stock price and trading volume; our ability to obtain financing on acceptable terms; limitations on our ability to enter into transactions due to spin-related restrictions; adverse conditions in the primary and secondary mortgage markets and in the economy; adverse conditions in our industries; adverse conditions in the credit markets; seasonality in our businesses; potential liabilities to secondary market purchasers; changes in our relationships with network lenders, real estate professionals, credit providers and secondary market purchasers; breaches of our network security or the misappropriation or misuse of personal consumer information; our failure to provide competitive service; our failure to maintain brand recognition; our ability to attract and retain customers in a cost-effective manner; our ability to develop new products and services and enhance existing ones; competition from our network lenders and affiliated real estate professionals; our failure to comply with existing or changing laws, rules or regulations, or to obtain and maintain required licenses; failure of our network lenders or other affiliated parties to comply with regulatory requirements; failure to maintain the integrity of our systems and infrastructure; liabilities as a result of privacy regulations; failure to adequately protect our intellectual property rights or allegations of infringement of intellectual property rights; changes in our management; and deficiencies in our disclosure controls and procedures and internal control over financial reporting.</w:t>
      </w:r>
    </w:p>
    <w:p>
      <w:pPr>
        <w:spacing w:after="0" w:line="178"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These and additional factors to be considered are set forth under "Risk Factors" in our 2010 Form 10-K, and in our other filings with the SEC. Other unknown or unpredictable factors that could also adversely affect our business, financial condition and results of operations may arise from time to time. In light of these risks and uncertainties, the forward-looking statements discussed in this report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may not prove to be accurate. Accordingly, you should not place undue reliance on these forward-looking statements, which only reflect the views of Tree.com management as of the date of this prospectus. We undertake no obligation to update or revise forward-looking statements to reflect changed assumptions, the occurrence of unanticipated events or changes to future operating results or expectations.</w:t>
      </w:r>
    </w:p>
    <w:p>
      <w:pPr>
        <w:spacing w:after="0" w:line="19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2010 Form 10-K.</w:t>
      </w: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72"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March 31, 2011, LendingTree Loans had two committed lines of credit totaling $150.0 million of borrowing capacity. LendingTree Loans also has a $25.0 million uncommitted line with one of these lenders. Borrowings under these lines of credit are used to fund, and are secured by, consumer residential loans that are held for sale. Loans under these lines of credit are repaid using proceeds from the sales of loans by LendingTree Loans. At March 31, 2011, there was $66.5 million outstanding under the lines of credit.</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$50.0 million first line is scheduled to expire on June 29, 2011. This line can be cancelled at the option of the lender without default upon sixty days notice. This first line includes an additional uncommitted credit facility of $25.0 million. This first line is also guaranteed by Tree.com, Inc., Lending Tree, LLC and Lending Tree Holdings Corp. The interest rate under the first line is the 30-day London InterBank Offered Rate ("LIBOR") or 2.00% (whichever is greater) plus 2.25%. The interest rate under the $25.0 million uncommitted line is the 30-day LIBOR plus 1.50%. LendingTree Loans is also required to sell at least 25% of the loans it originates to the lender under this line or pay a "pair-off fee" of 0.25% on the difference between the required and actual volume of loans sold.</w:t>
      </w:r>
    </w:p>
    <w:p>
      <w:pPr>
        <w:spacing w:after="0" w:line="170"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$100.0 million second line is scheduled to expire on October 28, 2011. This second line is also guaranteed by Tree.com, Inc., LendingTree, LLC and LendingTree Holdings Corp. The interest rate under this line is the 30-day Adjusted LIBOR or 2.0% (whichever is greater) plus 2.25% to 2.5% for loans being sold to the lender and the 30-day Adjusted LIBOR or 2.0% (whichever is greater) plus 2.25% for loans not being sold to the lender.</w:t>
      </w:r>
    </w:p>
    <w:p>
      <w:pPr>
        <w:spacing w:after="0" w:line="161" w:lineRule="exact"/>
        <w:rPr>
          <w:sz w:val="20"/>
          <w:szCs w:val="20"/>
          <w:color w:val="auto"/>
        </w:rPr>
      </w:pPr>
    </w:p>
    <w:p>
      <w:pPr>
        <w:ind w:right="60" w:firstLine="341"/>
        <w:spacing w:after="0" w:line="318" w:lineRule="auto"/>
        <w:rPr>
          <w:sz w:val="20"/>
          <w:szCs w:val="20"/>
          <w:color w:val="auto"/>
        </w:rPr>
      </w:pPr>
      <w:r>
        <w:rPr>
          <w:rFonts w:ascii="Arial" w:cs="Arial" w:eastAsia="Arial" w:hAnsi="Arial"/>
          <w:sz w:val="15"/>
          <w:szCs w:val="15"/>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sale of LendingTree Loans assets to Discover Bank may not be completed unless important conditions to the merger are satisfied and unless we maintain certain operational or financial metrics.</w:t>
      </w:r>
    </w:p>
    <w:p>
      <w:pPr>
        <w:spacing w:after="0" w:line="186" w:lineRule="exact"/>
        <w:rPr>
          <w:sz w:val="20"/>
          <w:szCs w:val="20"/>
          <w:color w:val="auto"/>
        </w:rPr>
      </w:pPr>
    </w:p>
    <w:p>
      <w:pPr>
        <w:jc w:val="both"/>
        <w:ind w:right="100" w:firstLine="351"/>
        <w:spacing w:after="0" w:line="303" w:lineRule="auto"/>
        <w:rPr>
          <w:sz w:val="20"/>
          <w:szCs w:val="20"/>
          <w:color w:val="auto"/>
        </w:rPr>
      </w:pPr>
      <w:r>
        <w:rPr>
          <w:rFonts w:ascii="Arial" w:cs="Arial" w:eastAsia="Arial" w:hAnsi="Arial"/>
          <w:sz w:val="15"/>
          <w:szCs w:val="15"/>
          <w:color w:val="auto"/>
        </w:rPr>
        <w:t>Completion of the transaction with Discover Bank is subject to certain conditions, including receipt of regulatory approvals and approval of the Company's stockholders. If these conditions are not satisfied or waived (to the extent permitted by law), the transaction may be delayed or may not occur, and we could lose some or all of the intended benefits of the transaction, which could have a material adverse effect on our business, results of operations or financial condition.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Discover Bank may not receive the applicable regulatory approvals, or governmental authorities may impose conditions upon the completion of the transaction or require changes in the terms of the transaction. These conditions or changes could result in the termination of the Asset Purchase Agreement or could have the effect of delaying the completion of the transaction or imposing additional costs, which could have a material adverse effect on our business, results of operations or financial condition.</w:t>
      </w:r>
    </w:p>
    <w:p>
      <w:pPr>
        <w:spacing w:after="0" w:line="198"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Additionally, the Asset Purchase Agreement imposes on the Company covenants regarding maintenance of certain operational and financial metrics until the closing of the transaction. If the requirements of these covenants are not met, Discover Bank has the option to terminate the Asset Purchase Agreement, which could have a material adverse effect on our business, results of operations or financial condition.</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Further, the purchase price for the assets is comprised of a payment of $35.9 million at closing and future contingent payments of $10 million on each of the first and second anniversaries of the closing, subject to the Company satisfying certain conditions, including maintenance of the LendingTree Exchange and certain financial and operational metrics. If these conditions are not met, these future contingent payments could be reduced or eliminated, which could have a material adverse effect on our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transaction with Discover Bank may distract our management from other responsibilities.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transaction to sell assets of LendingTree Loans to Discover Bank could cause our management to focus its time and energies on matters related to the transaction that otherwise would be directed to our business and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2011.</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Average Price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Shares Purchased(1)</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Paid 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01/01/11 - 01/31/11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02/01/11 - 02/28/11</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112,672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03/01/11 - 03/31/11</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gridSpan w:val="4"/>
            <w:vMerge w:val="continue"/>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113,731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quarter ended March 31, 2011, 113,731 shares of the Company's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93" w:lineRule="exact"/>
        <w:rPr>
          <w:rFonts w:ascii="Arial" w:cs="Arial" w:eastAsia="Arial" w:hAnsi="Arial"/>
          <w:sz w:val="16"/>
          <w:szCs w:val="16"/>
          <w:color w:val="auto"/>
        </w:rPr>
      </w:pPr>
    </w:p>
    <w:p>
      <w:pPr>
        <w:ind w:left="1680" w:hanging="531"/>
        <w:spacing w:after="0"/>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11, 2010, the Company announced that its Board of Directors approved a stock repurchase program for an amount up to</w:t>
      </w:r>
    </w:p>
    <w:p>
      <w:pPr>
        <w:spacing w:after="0" w:line="38" w:lineRule="exact"/>
        <w:rPr>
          <w:rFonts w:ascii="Arial" w:cs="Arial" w:eastAsia="Arial" w:hAnsi="Arial"/>
          <w:sz w:val="16"/>
          <w:szCs w:val="16"/>
          <w:color w:val="auto"/>
        </w:rPr>
      </w:pPr>
    </w:p>
    <w:p>
      <w:pPr>
        <w:ind w:left="1680"/>
        <w:spacing w:after="0" w:line="295" w:lineRule="auto"/>
        <w:rPr>
          <w:rFonts w:ascii="Arial" w:cs="Arial" w:eastAsia="Arial" w:hAnsi="Arial"/>
          <w:sz w:val="16"/>
          <w:szCs w:val="16"/>
          <w:color w:val="auto"/>
        </w:rPr>
      </w:pPr>
      <w:r>
        <w:rPr>
          <w:rFonts w:ascii="Arial" w:cs="Arial" w:eastAsia="Arial" w:hAnsi="Arial"/>
          <w:sz w:val="16"/>
          <w:szCs w:val="16"/>
          <w:color w:val="auto"/>
        </w:rPr>
        <w:t>$10 million. The program authorizes repurchases of common shares in the open market or through privately-negotiated transactions. The Company began this program in February 2010 and expects to use available cash to finance these repurchases. It will determine the timing and amount of such repurchases based on its evaluation of market conditions, applicable SEC guidelines and regulations, and other factors. This program may be suspended or discontinued at any time at the discretion of the Board of Directors.</w:t>
      </w:r>
    </w:p>
    <w:p>
      <w:pPr>
        <w:sectPr>
          <w:pgSz w:w="11900" w:h="16838" w:orient="portrait"/>
          <w:cols w:equalWidth="0" w:num="1">
            <w:col w:w="11400"/>
          </w:cols>
          <w:pgMar w:left="240" w:top="131" w:right="259" w:bottom="1440" w:gutter="0" w:footer="0" w:header="0"/>
        </w:sectPr>
      </w:pP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80"/>
        <w:spacing w:after="0"/>
        <w:tabs>
          <w:tab w:leader="none" w:pos="4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87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160" w:hanging="509"/>
        <w:spacing w:after="0" w:line="259" w:lineRule="auto"/>
        <w:tabs>
          <w:tab w:leader="none" w:pos="2040" w:val="left"/>
        </w:tabs>
        <w:rPr>
          <w:sz w:val="20"/>
          <w:szCs w:val="20"/>
          <w:color w:val="auto"/>
        </w:rPr>
      </w:pPr>
      <w:r>
        <w:rPr>
          <w:rFonts w:ascii="Arial" w:cs="Arial" w:eastAsia="Arial" w:hAnsi="Arial"/>
          <w:sz w:val="18"/>
          <w:szCs w:val="18"/>
          <w:color w:val="auto"/>
        </w:rPr>
        <w:t>10.1</w:t>
        <w:tab/>
        <w:t>Award Letter between Greg Hanson and Tree.com BU Holding Company, Inc., dated January 28, 2011</w:t>
      </w:r>
    </w:p>
    <w:p>
      <w:pPr>
        <w:spacing w:after="0" w:line="200" w:lineRule="exact"/>
        <w:rPr>
          <w:sz w:val="20"/>
          <w:szCs w:val="20"/>
          <w:color w:val="auto"/>
        </w:rPr>
      </w:pPr>
    </w:p>
    <w:p>
      <w:pPr>
        <w:spacing w:after="0" w:line="237" w:lineRule="exact"/>
        <w:rPr>
          <w:sz w:val="20"/>
          <w:szCs w:val="20"/>
          <w:color w:val="auto"/>
        </w:rPr>
      </w:pPr>
    </w:p>
    <w:p>
      <w:pPr>
        <w:ind w:left="2060" w:right="220" w:hanging="509"/>
        <w:spacing w:after="0" w:line="332" w:lineRule="auto"/>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Amendment to Asset Purchase Agreement dated March 14, 2011 by and among HLC, SurePoint and the shareholders party thereto</w:t>
      </w:r>
    </w:p>
    <w:p>
      <w:pPr>
        <w:spacing w:after="0" w:line="382" w:lineRule="exact"/>
        <w:rPr>
          <w:sz w:val="20"/>
          <w:szCs w:val="20"/>
          <w:color w:val="auto"/>
        </w:rPr>
      </w:pPr>
    </w:p>
    <w:p>
      <w:pPr>
        <w:ind w:left="2060" w:right="20" w:hanging="509"/>
        <w:spacing w:after="0" w:line="332" w:lineRule="auto"/>
        <w:tabs>
          <w:tab w:leader="none" w:pos="2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Purchase Agreement dated March 15, 2011 by and among HLC, SurePoint and the shareholders party thereto</w:t>
      </w:r>
    </w:p>
    <w:p>
      <w:pPr>
        <w:spacing w:after="0" w:line="382" w:lineRule="exact"/>
        <w:rPr>
          <w:sz w:val="20"/>
          <w:szCs w:val="20"/>
          <w:color w:val="auto"/>
        </w:rPr>
      </w:pPr>
    </w:p>
    <w:p>
      <w:pPr>
        <w:ind w:left="2060" w:hanging="509"/>
        <w:spacing w:after="0" w:line="370" w:lineRule="auto"/>
        <w:tabs>
          <w:tab w:leader="none" w:pos="2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Amendment No. 5 to Master Repurchase Agreement, dated March 31, 2011, by and between Home Loan Center, Inc. and JPMorgan Chase Bank, N.A.</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808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380"/>
        <w:spacing w:after="0" w:line="301" w:lineRule="auto"/>
        <w:rPr>
          <w:sz w:val="20"/>
          <w:szCs w:val="20"/>
          <w:color w:val="auto"/>
        </w:rPr>
      </w:pPr>
      <w:r>
        <w:rPr>
          <w:rFonts w:ascii="Arial" w:cs="Arial" w:eastAsia="Arial" w:hAnsi="Arial"/>
          <w:sz w:val="16"/>
          <w:szCs w:val="16"/>
          <w:color w:val="auto"/>
        </w:rPr>
        <w:t>Exhibit 10.1 to the Registrant's Current Report on Form 8-K filed February 3, 2011</w:t>
      </w:r>
    </w:p>
    <w:p>
      <w:pPr>
        <w:spacing w:after="0" w:line="191" w:lineRule="exact"/>
        <w:rPr>
          <w:sz w:val="20"/>
          <w:szCs w:val="20"/>
          <w:color w:val="auto"/>
        </w:rPr>
      </w:pPr>
    </w:p>
    <w:p>
      <w:pPr>
        <w:ind w:right="1380"/>
        <w:spacing w:after="0" w:line="259" w:lineRule="auto"/>
        <w:rPr>
          <w:sz w:val="20"/>
          <w:szCs w:val="20"/>
          <w:color w:val="auto"/>
        </w:rPr>
      </w:pPr>
      <w:r>
        <w:rPr>
          <w:rFonts w:ascii="Arial" w:cs="Arial" w:eastAsia="Arial" w:hAnsi="Arial"/>
          <w:sz w:val="18"/>
          <w:szCs w:val="18"/>
          <w:color w:val="auto"/>
        </w:rPr>
        <w:t>Exhibit 2.1 to the Registrant's Current Report on Form 8-K filed March 21, 2011</w:t>
      </w:r>
    </w:p>
    <w:p>
      <w:pPr>
        <w:spacing w:after="0" w:line="221" w:lineRule="exact"/>
        <w:rPr>
          <w:sz w:val="20"/>
          <w:szCs w:val="20"/>
          <w:color w:val="auto"/>
        </w:rPr>
      </w:pPr>
    </w:p>
    <w:p>
      <w:pPr>
        <w:ind w:right="1380"/>
        <w:spacing w:after="0" w:line="259" w:lineRule="auto"/>
        <w:rPr>
          <w:sz w:val="20"/>
          <w:szCs w:val="20"/>
          <w:color w:val="auto"/>
        </w:rPr>
      </w:pPr>
      <w:r>
        <w:rPr>
          <w:rFonts w:ascii="Arial" w:cs="Arial" w:eastAsia="Arial" w:hAnsi="Arial"/>
          <w:sz w:val="18"/>
          <w:szCs w:val="18"/>
          <w:color w:val="auto"/>
        </w:rPr>
        <w:t>Exhibit 2.2 to the Registrant's Current Report on Form 8-K filed March 21, 2011</w:t>
      </w:r>
    </w:p>
    <w:p>
      <w:pPr>
        <w:spacing w:after="0" w:line="221" w:lineRule="exact"/>
        <w:rPr>
          <w:sz w:val="20"/>
          <w:szCs w:val="20"/>
          <w:color w:val="auto"/>
        </w:rPr>
      </w:pPr>
    </w:p>
    <w:p>
      <w:pPr>
        <w:ind w:right="1380"/>
        <w:spacing w:after="0" w:line="306" w:lineRule="auto"/>
        <w:rPr>
          <w:sz w:val="20"/>
          <w:szCs w:val="20"/>
          <w:color w:val="auto"/>
        </w:rPr>
      </w:pPr>
      <w:r>
        <w:rPr>
          <w:rFonts w:ascii="Arial" w:cs="Arial" w:eastAsia="Arial" w:hAnsi="Arial"/>
          <w:sz w:val="16"/>
          <w:szCs w:val="16"/>
          <w:color w:val="auto"/>
        </w:rPr>
        <w:t>Exhibit 10.1 to the Registrant's Current Report on Form 8-K filed April 6, 2011</w:t>
      </w:r>
    </w:p>
    <w:p>
      <w:pPr>
        <w:sectPr>
          <w:pgSz w:w="11900" w:h="16838" w:orient="portrait"/>
          <w:cols w:equalWidth="0" w:num="2">
            <w:col w:w="7420" w:space="220"/>
            <w:col w:w="3760"/>
          </w:cols>
          <w:pgMar w:left="240" w:top="131" w:right="2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80"/>
        <w:spacing w:after="0"/>
        <w:tabs>
          <w:tab w:leader="none" w:pos="4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878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240" w:hanging="509"/>
        <w:spacing w:after="0" w:line="321" w:lineRule="auto"/>
        <w:tabs>
          <w:tab w:leader="none" w:pos="2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Third Amendment to Side Letter, dated March 31, 2011, by and between Home Loan Center, Inc. and JPMorgan Chase Bank, N.A.</w:t>
      </w:r>
    </w:p>
    <w:p>
      <w:pPr>
        <w:spacing w:after="0" w:line="391" w:lineRule="exact"/>
        <w:rPr>
          <w:sz w:val="20"/>
          <w:szCs w:val="20"/>
          <w:color w:val="auto"/>
        </w:rPr>
      </w:pPr>
    </w:p>
    <w:p>
      <w:pPr>
        <w:ind w:left="2060" w:right="100" w:hanging="509"/>
        <w:spacing w:after="0" w:line="268" w:lineRule="auto"/>
        <w:tabs>
          <w:tab w:leader="none" w:pos="2040" w:val="left"/>
        </w:tabs>
        <w:rPr>
          <w:sz w:val="20"/>
          <w:szCs w:val="20"/>
          <w:color w:val="auto"/>
        </w:rPr>
      </w:pPr>
      <w:r>
        <w:rPr>
          <w:rFonts w:ascii="Arial" w:cs="Arial" w:eastAsia="Arial" w:hAnsi="Arial"/>
          <w:sz w:val="18"/>
          <w:szCs w:val="18"/>
          <w:color w:val="auto"/>
        </w:rPr>
        <w:t>10.6</w:t>
        <w:tab/>
        <w:t>Confidential Severance Agreement and Release, dated March 31, 2011, by and between Tree.com, Inc. and Steven Ozonian</w:t>
      </w:r>
    </w:p>
    <w:p>
      <w:pPr>
        <w:spacing w:after="0" w:line="200" w:lineRule="exact"/>
        <w:rPr>
          <w:sz w:val="20"/>
          <w:szCs w:val="20"/>
          <w:color w:val="auto"/>
        </w:rPr>
      </w:pPr>
    </w:p>
    <w:p>
      <w:pPr>
        <w:spacing w:after="0" w:line="229" w:lineRule="exact"/>
        <w:rPr>
          <w:sz w:val="20"/>
          <w:szCs w:val="20"/>
          <w:color w:val="auto"/>
        </w:rPr>
      </w:pPr>
    </w:p>
    <w:p>
      <w:pPr>
        <w:jc w:val="both"/>
        <w:ind w:left="2060" w:hanging="509"/>
        <w:spacing w:after="0" w:line="306" w:lineRule="auto"/>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808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99"/>
        <w:spacing w:after="0" w:line="301" w:lineRule="auto"/>
        <w:rPr>
          <w:sz w:val="20"/>
          <w:szCs w:val="20"/>
          <w:color w:val="auto"/>
        </w:rPr>
      </w:pPr>
      <w:r>
        <w:rPr>
          <w:rFonts w:ascii="Arial" w:cs="Arial" w:eastAsia="Arial" w:hAnsi="Arial"/>
          <w:sz w:val="16"/>
          <w:szCs w:val="16"/>
          <w:color w:val="auto"/>
        </w:rPr>
        <w:t>Exhibit 10.2 to the Registrant's Current Report on Form 8-K filed April 6, 2011</w:t>
      </w:r>
    </w:p>
    <w:p>
      <w:pPr>
        <w:spacing w:after="0" w:line="191" w:lineRule="exact"/>
        <w:rPr>
          <w:sz w:val="20"/>
          <w:szCs w:val="20"/>
          <w:color w:val="auto"/>
        </w:rPr>
      </w:pPr>
    </w:p>
    <w:p>
      <w:pPr>
        <w:ind w:right="199"/>
        <w:spacing w:after="0" w:line="306" w:lineRule="auto"/>
        <w:rPr>
          <w:sz w:val="20"/>
          <w:szCs w:val="20"/>
          <w:color w:val="auto"/>
        </w:rPr>
      </w:pPr>
      <w:r>
        <w:rPr>
          <w:rFonts w:ascii="Arial" w:cs="Arial" w:eastAsia="Arial" w:hAnsi="Arial"/>
          <w:sz w:val="16"/>
          <w:szCs w:val="16"/>
          <w:color w:val="auto"/>
        </w:rPr>
        <w:t>Exhibit 10.3 to the Registrant's Current Report on Form 8-K filed April 6,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4" w:lineRule="exact"/>
        <w:rPr>
          <w:sz w:val="20"/>
          <w:szCs w:val="20"/>
          <w:color w:val="auto"/>
        </w:rPr>
      </w:pPr>
    </w:p>
    <w:p>
      <w:pPr>
        <w:sectPr>
          <w:pgSz w:w="11900" w:h="16838" w:orient="portrait"/>
          <w:cols w:equalWidth="0" w:num="2">
            <w:col w:w="7400" w:space="240"/>
            <w:col w:w="2579"/>
          </w:cols>
          <w:pgMar w:left="240" w:top="131" w:right="1440" w:bottom="1440" w:gutter="0" w:footer="0" w:header="0"/>
        </w:sectPr>
      </w:pPr>
    </w:p>
    <w:tbl>
      <w:tblPr>
        <w:tblLayout w:type="fixed"/>
        <w:tblInd w:w="1160" w:type="dxa"/>
        <w:tblCellMar>
          <w:top w:w="0" w:type="dxa"/>
          <w:left w:w="0" w:type="dxa"/>
          <w:bottom w:w="0" w:type="dxa"/>
          <w:right w:w="0" w:type="dxa"/>
        </w:tblCellMar>
      </w:tblPr>
      <w:tr>
        <w:trPr>
          <w:trHeight w:val="216"/>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the principal financial officer pursuant to Rule 13a-14(a) or</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9"/>
              </w:rPr>
              <w:t>Rule 15d-14(a) of the Securities Exchange Act of 1934 as adopted pursuant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to Section 302 of the Sarbanes-Oxley Act of 2002</w:t>
            </w:r>
          </w:p>
        </w:tc>
        <w:tc>
          <w:tcPr>
            <w:tcW w:w="30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Certification of the principal executive officer pursuant to 18 U.S.C.</w:t>
            </w:r>
          </w:p>
        </w:tc>
        <w:tc>
          <w:tcPr>
            <w:tcW w:w="300" w:type="dxa"/>
            <w:vAlign w:val="bottom"/>
          </w:tcPr>
          <w:p>
            <w:pPr>
              <w:ind w:left="14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30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Certification of the principal financial officer pursuant to 18 U.S.C.</w:t>
            </w:r>
          </w:p>
        </w:tc>
        <w:tc>
          <w:tcPr>
            <w:tcW w:w="300" w:type="dxa"/>
            <w:vAlign w:val="bottom"/>
          </w:tcPr>
          <w:p>
            <w:pPr>
              <w:ind w:left="14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300" w:type="dxa"/>
            <w:vAlign w:val="bottom"/>
          </w:tcPr>
          <w:p>
            <w:pPr>
              <w:spacing w:after="0"/>
              <w:rPr>
                <w:sz w:val="19"/>
                <w:szCs w:val="19"/>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 May 16, 2011</w:t>
      </w:r>
    </w:p>
    <w:p>
      <w:pPr>
        <w:spacing w:after="0" w:line="25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08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71120</wp:posOffset>
            </wp:positionV>
            <wp:extent cx="30270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78" w:lineRule="exact"/>
        <w:rPr>
          <w:sz w:val="20"/>
          <w:szCs w:val="20"/>
          <w:color w:val="auto"/>
        </w:rPr>
      </w:pPr>
    </w:p>
    <w:p>
      <w:pPr>
        <w:jc w:val="center"/>
        <w:ind w:left="438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left="4380"/>
        <w:spacing w:after="0"/>
        <w:rPr>
          <w:sz w:val="20"/>
          <w:szCs w:val="20"/>
          <w:color w:val="auto"/>
        </w:rPr>
      </w:pPr>
      <w:r>
        <w:rPr>
          <w:rFonts w:ascii="Arial" w:cs="Arial" w:eastAsia="Arial" w:hAnsi="Arial"/>
          <w:sz w:val="18"/>
          <w:szCs w:val="18"/>
          <w:i w:val="1"/>
          <w:iCs w:val="1"/>
          <w:color w:val="auto"/>
        </w:rPr>
        <w:t>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80"/>
        <w:spacing w:after="0"/>
        <w:tabs>
          <w:tab w:leader="none" w:pos="43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39878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160" w:hanging="509"/>
        <w:spacing w:after="0" w:line="259" w:lineRule="auto"/>
        <w:tabs>
          <w:tab w:leader="none" w:pos="2040" w:val="left"/>
        </w:tabs>
        <w:rPr>
          <w:sz w:val="20"/>
          <w:szCs w:val="20"/>
          <w:color w:val="auto"/>
        </w:rPr>
      </w:pPr>
      <w:r>
        <w:rPr>
          <w:rFonts w:ascii="Arial" w:cs="Arial" w:eastAsia="Arial" w:hAnsi="Arial"/>
          <w:sz w:val="18"/>
          <w:szCs w:val="18"/>
          <w:color w:val="auto"/>
        </w:rPr>
        <w:t>10.1</w:t>
        <w:tab/>
        <w:t>Award Letter between Greg Hanson and Tree.com BU Holding Company, Inc., dated January 28, 2011</w:t>
      </w:r>
    </w:p>
    <w:p>
      <w:pPr>
        <w:spacing w:after="0" w:line="200" w:lineRule="exact"/>
        <w:rPr>
          <w:sz w:val="20"/>
          <w:szCs w:val="20"/>
          <w:color w:val="auto"/>
        </w:rPr>
      </w:pPr>
    </w:p>
    <w:p>
      <w:pPr>
        <w:spacing w:after="0" w:line="237" w:lineRule="exact"/>
        <w:rPr>
          <w:sz w:val="20"/>
          <w:szCs w:val="20"/>
          <w:color w:val="auto"/>
        </w:rPr>
      </w:pPr>
    </w:p>
    <w:p>
      <w:pPr>
        <w:ind w:left="2060" w:right="220" w:hanging="509"/>
        <w:spacing w:after="0" w:line="332" w:lineRule="auto"/>
        <w:tabs>
          <w:tab w:leader="none" w:pos="2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First Amendment to Asset Purchase Agreement dated March 14, 2011 by and among HLC, SurePoint and the shareholders party thereto</w:t>
      </w:r>
    </w:p>
    <w:p>
      <w:pPr>
        <w:spacing w:after="0" w:line="382" w:lineRule="exact"/>
        <w:rPr>
          <w:sz w:val="20"/>
          <w:szCs w:val="20"/>
          <w:color w:val="auto"/>
        </w:rPr>
      </w:pPr>
    </w:p>
    <w:p>
      <w:pPr>
        <w:jc w:val="both"/>
        <w:ind w:left="2060" w:right="20" w:hanging="509"/>
        <w:spacing w:after="0" w:line="332" w:lineRule="auto"/>
        <w:tabs>
          <w:tab w:leader="none" w:pos="2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Purchase Agreement dated March 15, 2011 by and among HLC, SurePoint and the shareholders party thereto</w:t>
      </w:r>
    </w:p>
    <w:p>
      <w:pPr>
        <w:spacing w:after="0" w:line="382" w:lineRule="exact"/>
        <w:rPr>
          <w:sz w:val="20"/>
          <w:szCs w:val="20"/>
          <w:color w:val="auto"/>
        </w:rPr>
      </w:pPr>
    </w:p>
    <w:p>
      <w:pPr>
        <w:jc w:val="both"/>
        <w:ind w:left="2060" w:hanging="509"/>
        <w:spacing w:after="0" w:line="370" w:lineRule="auto"/>
        <w:tabs>
          <w:tab w:leader="none" w:pos="2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Amendment No. 5 to Master Repurchase Agreement, dated March 31, 2011, by and between Home Loan Center, Inc. and JPMorgan Chase Bank, N.A.</w:t>
      </w:r>
    </w:p>
    <w:p>
      <w:pPr>
        <w:spacing w:after="0" w:line="360" w:lineRule="exact"/>
        <w:rPr>
          <w:sz w:val="20"/>
          <w:szCs w:val="20"/>
          <w:color w:val="auto"/>
        </w:rPr>
      </w:pPr>
    </w:p>
    <w:p>
      <w:pPr>
        <w:ind w:left="2060" w:right="260" w:hanging="509"/>
        <w:spacing w:after="0" w:line="332" w:lineRule="auto"/>
        <w:tabs>
          <w:tab w:leader="none" w:pos="20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Third Amendment to Side Letter, dated March 31, 2011, by and between Home Loan Center, Inc. and JPMorgan Chase Bank, N.A.</w:t>
      </w:r>
    </w:p>
    <w:p>
      <w:pPr>
        <w:spacing w:after="0" w:line="382" w:lineRule="exact"/>
        <w:rPr>
          <w:sz w:val="20"/>
          <w:szCs w:val="20"/>
          <w:color w:val="auto"/>
        </w:rPr>
      </w:pPr>
    </w:p>
    <w:p>
      <w:pPr>
        <w:ind w:left="2060" w:right="120" w:hanging="509"/>
        <w:spacing w:after="0" w:line="268" w:lineRule="auto"/>
        <w:tabs>
          <w:tab w:leader="none" w:pos="2040" w:val="left"/>
        </w:tabs>
        <w:rPr>
          <w:sz w:val="20"/>
          <w:szCs w:val="20"/>
          <w:color w:val="auto"/>
        </w:rPr>
      </w:pPr>
      <w:r>
        <w:rPr>
          <w:rFonts w:ascii="Arial" w:cs="Arial" w:eastAsia="Arial" w:hAnsi="Arial"/>
          <w:sz w:val="18"/>
          <w:szCs w:val="18"/>
          <w:color w:val="auto"/>
        </w:rPr>
        <w:t>10.6</w:t>
        <w:tab/>
        <w:t>Confidential Severance Agreement and Release, dated March 31, 2011, by and between Tree.com, Inc. and Steven Ozonian</w:t>
      </w:r>
    </w:p>
    <w:p>
      <w:pPr>
        <w:spacing w:after="0" w:line="200" w:lineRule="exact"/>
        <w:rPr>
          <w:sz w:val="20"/>
          <w:szCs w:val="20"/>
          <w:color w:val="auto"/>
        </w:rPr>
      </w:pPr>
    </w:p>
    <w:p>
      <w:pPr>
        <w:spacing w:after="0" w:line="229" w:lineRule="exact"/>
        <w:rPr>
          <w:sz w:val="20"/>
          <w:szCs w:val="20"/>
          <w:color w:val="auto"/>
        </w:rPr>
      </w:pPr>
    </w:p>
    <w:p>
      <w:pPr>
        <w:jc w:val="both"/>
        <w:ind w:left="2060" w:right="20" w:hanging="509"/>
        <w:spacing w:after="0" w:line="306" w:lineRule="auto"/>
        <w:tabs>
          <w:tab w:leader="none" w:pos="2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680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99"/>
        <w:spacing w:after="0" w:line="301" w:lineRule="auto"/>
        <w:rPr>
          <w:sz w:val="20"/>
          <w:szCs w:val="20"/>
          <w:color w:val="auto"/>
        </w:rPr>
      </w:pPr>
      <w:r>
        <w:rPr>
          <w:rFonts w:ascii="Arial" w:cs="Arial" w:eastAsia="Arial" w:hAnsi="Arial"/>
          <w:sz w:val="16"/>
          <w:szCs w:val="16"/>
          <w:color w:val="auto"/>
        </w:rPr>
        <w:t>Exhibit 10.1 to the Registrant's Current Report on Form 8-K filed February 3, 2011</w:t>
      </w:r>
    </w:p>
    <w:p>
      <w:pPr>
        <w:spacing w:after="0" w:line="191"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Exhibit 2.1 to the Registrant's Current Report on Form 8-K filed March 21, 2011</w:t>
      </w:r>
    </w:p>
    <w:p>
      <w:pPr>
        <w:spacing w:after="0" w:line="221"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Exhibit 2.2 to the Registrant's Current Report on Form 8-K filed March 21, 2011</w:t>
      </w:r>
    </w:p>
    <w:p>
      <w:pPr>
        <w:spacing w:after="0" w:line="221" w:lineRule="exact"/>
        <w:rPr>
          <w:sz w:val="20"/>
          <w:szCs w:val="20"/>
          <w:color w:val="auto"/>
        </w:rPr>
      </w:pPr>
    </w:p>
    <w:p>
      <w:pPr>
        <w:ind w:right="199"/>
        <w:spacing w:after="0" w:line="306" w:lineRule="auto"/>
        <w:rPr>
          <w:sz w:val="20"/>
          <w:szCs w:val="20"/>
          <w:color w:val="auto"/>
        </w:rPr>
      </w:pPr>
      <w:r>
        <w:rPr>
          <w:rFonts w:ascii="Arial" w:cs="Arial" w:eastAsia="Arial" w:hAnsi="Arial"/>
          <w:sz w:val="16"/>
          <w:szCs w:val="16"/>
          <w:color w:val="auto"/>
        </w:rPr>
        <w:t>Exhibit 10.1 to the Registrant's Current Report on Form 8-K filed April 6, 2011</w:t>
      </w:r>
    </w:p>
    <w:p>
      <w:pPr>
        <w:spacing w:after="0" w:line="188" w:lineRule="exact"/>
        <w:rPr>
          <w:sz w:val="20"/>
          <w:szCs w:val="20"/>
          <w:color w:val="auto"/>
        </w:rPr>
      </w:pPr>
    </w:p>
    <w:p>
      <w:pPr>
        <w:ind w:right="199"/>
        <w:spacing w:after="0" w:line="306" w:lineRule="auto"/>
        <w:rPr>
          <w:sz w:val="20"/>
          <w:szCs w:val="20"/>
          <w:color w:val="auto"/>
        </w:rPr>
      </w:pPr>
      <w:r>
        <w:rPr>
          <w:rFonts w:ascii="Arial" w:cs="Arial" w:eastAsia="Arial" w:hAnsi="Arial"/>
          <w:sz w:val="16"/>
          <w:szCs w:val="16"/>
          <w:color w:val="auto"/>
        </w:rPr>
        <w:t>Exhibit 10.2 to the Registrant's Current Report on Form 8-K filed April 6, 2011</w:t>
      </w:r>
    </w:p>
    <w:p>
      <w:pPr>
        <w:spacing w:after="0" w:line="188" w:lineRule="exact"/>
        <w:rPr>
          <w:sz w:val="20"/>
          <w:szCs w:val="20"/>
          <w:color w:val="auto"/>
        </w:rPr>
      </w:pPr>
    </w:p>
    <w:p>
      <w:pPr>
        <w:ind w:right="199"/>
        <w:spacing w:after="0" w:line="306" w:lineRule="auto"/>
        <w:rPr>
          <w:sz w:val="20"/>
          <w:szCs w:val="20"/>
          <w:color w:val="auto"/>
        </w:rPr>
      </w:pPr>
      <w:r>
        <w:rPr>
          <w:rFonts w:ascii="Arial" w:cs="Arial" w:eastAsia="Arial" w:hAnsi="Arial"/>
          <w:sz w:val="16"/>
          <w:szCs w:val="16"/>
          <w:color w:val="auto"/>
        </w:rPr>
        <w:t>Exhibit 10.3 to the Registrant's Current Report on Form 8-K filed April 6,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84" w:lineRule="exact"/>
        <w:rPr>
          <w:sz w:val="20"/>
          <w:szCs w:val="20"/>
          <w:color w:val="auto"/>
        </w:rPr>
      </w:pPr>
    </w:p>
    <w:p>
      <w:pPr>
        <w:sectPr>
          <w:pgSz w:w="11900" w:h="16838" w:orient="portrait"/>
          <w:cols w:equalWidth="0" w:num="2">
            <w:col w:w="7420" w:space="220"/>
            <w:col w:w="2579"/>
          </w:cols>
          <w:pgMar w:left="240" w:top="131"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16"/>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the principal financial officer pursuant to Rule 13a-14(a) or</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9"/>
              </w:rPr>
              <w:t>Rule 15d-14(a) of the Securities Exchange Act of 1934 as adopted pursuant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to Section 302 of the Sarbanes-Oxley Act of 2002</w:t>
            </w:r>
          </w:p>
        </w:tc>
        <w:tc>
          <w:tcPr>
            <w:tcW w:w="30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Certification of the principal executive officer pursuant to 18 U.S.C.</w:t>
            </w:r>
          </w:p>
        </w:tc>
        <w:tc>
          <w:tcPr>
            <w:tcW w:w="300" w:type="dxa"/>
            <w:vAlign w:val="bottom"/>
          </w:tcPr>
          <w:p>
            <w:pPr>
              <w:ind w:left="14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300" w:type="dxa"/>
            <w:vAlign w:val="bottom"/>
          </w:tcPr>
          <w:p>
            <w:pPr>
              <w:spacing w:after="0"/>
              <w:rPr>
                <w:sz w:val="19"/>
                <w:szCs w:val="19"/>
                <w:color w:val="auto"/>
              </w:rPr>
            </w:pPr>
          </w:p>
        </w:tc>
      </w:tr>
      <w:tr>
        <w:trPr>
          <w:trHeight w:val="453"/>
        </w:trPr>
        <w:tc>
          <w:tcPr>
            <w:tcW w:w="80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Certification of the principal financial officer pursuant to 18 U.S.C.</w:t>
            </w:r>
          </w:p>
        </w:tc>
        <w:tc>
          <w:tcPr>
            <w:tcW w:w="300" w:type="dxa"/>
            <w:vAlign w:val="bottom"/>
          </w:tcPr>
          <w:p>
            <w:pPr>
              <w:ind w:left="140"/>
              <w:spacing w:after="0"/>
              <w:rPr>
                <w:sz w:val="20"/>
                <w:szCs w:val="20"/>
                <w:color w:val="auto"/>
              </w:rPr>
            </w:pPr>
            <w:r>
              <w:rPr>
                <w:rFonts w:ascii="Arial" w:cs="Arial" w:eastAsia="Arial" w:hAnsi="Arial"/>
                <w:sz w:val="16"/>
                <w:szCs w:val="16"/>
                <w:color w:val="auto"/>
                <w:w w:val="78"/>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w w:val="88"/>
              </w:rPr>
              <w:t>Section 1350 as adopted pursuant to Section 906 of the Sarbanes-Oxley Act</w:t>
            </w:r>
          </w:p>
        </w:tc>
        <w:tc>
          <w:tcPr>
            <w:tcW w:w="3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300" w:type="dxa"/>
            <w:vAlign w:val="bottom"/>
          </w:tcPr>
          <w:p>
            <w:pPr>
              <w:spacing w:after="0"/>
              <w:rPr>
                <w:sz w:val="19"/>
                <w:szCs w:val="19"/>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6720" w:val="left"/>
        </w:tabs>
        <w:rPr>
          <w:sz w:val="20"/>
          <w:szCs w:val="20"/>
          <w:color w:val="auto"/>
        </w:rPr>
      </w:pPr>
      <w:r>
        <w:rPr>
          <w:rFonts w:ascii="Arial" w:cs="Arial" w:eastAsia="Arial" w:hAnsi="Arial"/>
          <w:sz w:val="18"/>
          <w:szCs w:val="18"/>
          <w:color w:val="auto"/>
        </w:rPr>
        <w:t>Dated: May 16,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62230</wp:posOffset>
            </wp:positionV>
            <wp:extent cx="3319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59">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60" w:name="page61"/>
    <w:bookmarkEnd w:id="60"/>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2011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140"/>
        <w:spacing w:after="0"/>
        <w:tabs>
          <w:tab w:leader="none" w:pos="6540" w:val="left"/>
        </w:tabs>
        <w:rPr>
          <w:sz w:val="20"/>
          <w:szCs w:val="20"/>
          <w:color w:val="auto"/>
        </w:rPr>
      </w:pPr>
      <w:r>
        <w:rPr>
          <w:rFonts w:ascii="Arial" w:cs="Arial" w:eastAsia="Arial" w:hAnsi="Arial"/>
          <w:sz w:val="18"/>
          <w:szCs w:val="18"/>
          <w:color w:val="auto"/>
        </w:rPr>
        <w:t>Dated: May 16,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62230</wp:posOffset>
            </wp:positionV>
            <wp:extent cx="3319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39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62" w:name="page63"/>
    <w:bookmarkEnd w:id="62"/>
    <w:p>
      <w:pPr>
        <w:spacing w:after="0"/>
        <w:rPr>
          <w:rFonts w:ascii="Arial" w:cs="Arial" w:eastAsia="Arial" w:hAnsi="Arial"/>
          <w:sz w:val="22"/>
          <w:szCs w:val="22"/>
          <w:color w:val="0000EE"/>
        </w:rPr>
      </w:pPr>
      <w:hyperlink w:anchor="page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Douglas R. Lebda, certify, pursuant to 18 U.S.C. Section 1350, as adopted pursuant to Section 906 of the Sarbanes-Oxley Act of 2002, that:</w:t>
      </w:r>
    </w:p>
    <w:p>
      <w:pPr>
        <w:spacing w:after="0" w:line="262" w:lineRule="exact"/>
        <w:rPr>
          <w:sz w:val="20"/>
          <w:szCs w:val="20"/>
          <w:color w:val="auto"/>
        </w:rPr>
      </w:pPr>
    </w:p>
    <w:p>
      <w:pPr>
        <w:ind w:left="1080" w:hanging="532"/>
        <w:spacing w:after="0" w:line="37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March 31,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May 16, 2011</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62230</wp:posOffset>
            </wp:positionV>
            <wp:extent cx="2907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0" w:right="299" w:bottom="1440"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Christopher R. Hayek, certify, pursuant to 18 U.S.C. Section 1350, as adopted pursuant to Section 906 of the Sarbanes-Oxley Act of 2002, that:</w:t>
      </w:r>
    </w:p>
    <w:p>
      <w:pPr>
        <w:spacing w:after="0" w:line="262" w:lineRule="exact"/>
        <w:rPr>
          <w:sz w:val="20"/>
          <w:szCs w:val="20"/>
          <w:color w:val="auto"/>
        </w:rPr>
      </w:pPr>
    </w:p>
    <w:p>
      <w:pPr>
        <w:ind w:left="1080" w:hanging="532"/>
        <w:spacing w:after="0" w:line="370"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March 31, 2011 of Tree.com, Inc. (the "Report") which this statement accompanies fully complies with the requirements of Section 13(a) or 15(d) of the Securities Exchange Act of 1934 (15 U.S.C. 78m or 78o(d));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6860" w:val="left"/>
        </w:tabs>
        <w:rPr>
          <w:sz w:val="20"/>
          <w:szCs w:val="20"/>
          <w:color w:val="auto"/>
        </w:rPr>
      </w:pPr>
      <w:r>
        <w:rPr>
          <w:rFonts w:ascii="Arial" w:cs="Arial" w:eastAsia="Arial" w:hAnsi="Arial"/>
          <w:sz w:val="18"/>
          <w:szCs w:val="18"/>
          <w:color w:val="auto"/>
        </w:rPr>
        <w:t>Dated: May 16, 2011</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Senior Vice President,</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2019-12-11T08:07:06Z</dcterms:created>
  <dcterms:modified xsi:type="dcterms:W3CDTF">2019-12-11T08:07:06Z</dcterms:modified>
</cp:coreProperties>
</file>