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389890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347345</wp:posOffset>
            </wp:positionV>
            <wp:extent cx="7132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1" w:lineRule="exact"/>
        <w:rPr>
          <w:sz w:val="24"/>
          <w:szCs w:val="24"/>
          <w:color w:val="auto"/>
        </w:rPr>
      </w:pPr>
    </w:p>
    <w:p>
      <w:pPr>
        <w:ind w:left="4280"/>
        <w:spacing w:after="0"/>
        <w:rPr>
          <w:sz w:val="20"/>
          <w:szCs w:val="20"/>
          <w:color w:val="auto"/>
        </w:rPr>
      </w:pPr>
      <w:r>
        <w:rPr>
          <w:rFonts w:ascii="Arial" w:cs="Arial" w:eastAsia="Arial" w:hAnsi="Arial"/>
          <w:sz w:val="11"/>
          <w:szCs w:val="11"/>
          <w:color w:val="auto"/>
        </w:rPr>
        <w:t>__________________________________________________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8" w:lineRule="exact"/>
        <w:rPr>
          <w:sz w:val="24"/>
          <w:szCs w:val="24"/>
          <w:color w:val="auto"/>
        </w:rPr>
      </w:pPr>
    </w:p>
    <w:p>
      <w:pPr>
        <w:ind w:left="4280"/>
        <w:spacing w:after="0"/>
        <w:rPr>
          <w:sz w:val="20"/>
          <w:szCs w:val="20"/>
          <w:color w:val="auto"/>
        </w:rPr>
      </w:pPr>
      <w:r>
        <w:rPr>
          <w:rFonts w:ascii="Arial" w:cs="Arial" w:eastAsia="Arial" w:hAnsi="Arial"/>
          <w:sz w:val="11"/>
          <w:szCs w:val="11"/>
          <w:color w:val="auto"/>
        </w:rPr>
        <w:t>__________________________________________________</w:t>
      </w:r>
    </w:p>
    <w:p>
      <w:pPr>
        <w:spacing w:after="0" w:line="59"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(Mark One)</w:t>
      </w:r>
    </w:p>
    <w:p>
      <w:pPr>
        <w:spacing w:after="0" w:line="85" w:lineRule="exact"/>
        <w:rPr>
          <w:sz w:val="24"/>
          <w:szCs w:val="24"/>
          <w:color w:val="auto"/>
        </w:rPr>
      </w:pPr>
    </w:p>
    <w:p>
      <w:pPr>
        <w:jc w:val="center"/>
        <w:ind w:left="3880" w:right="1360" w:hanging="3086"/>
        <w:spacing w:after="0" w:line="357" w:lineRule="auto"/>
        <w:tabs>
          <w:tab w:leader="none" w:pos="11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tbl>
      <w:tblPr>
        <w:tblLayout w:type="fixed"/>
        <w:tblInd w:w="520" w:type="dxa"/>
        <w:tblCellMar>
          <w:top w:w="0" w:type="dxa"/>
          <w:left w:w="0" w:type="dxa"/>
          <w:bottom w:w="0" w:type="dxa"/>
          <w:right w:w="0" w:type="dxa"/>
        </w:tblCellMar>
      </w:tblPr>
      <w:tr>
        <w:trPr>
          <w:trHeight w:val="282"/>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rPr>
              <w:t>OR</w:t>
            </w:r>
          </w:p>
        </w:tc>
        <w:tc>
          <w:tcPr>
            <w:tcW w:w="958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b w:val="1"/>
                <w:bCs w:val="1"/>
                <w:color w:val="auto"/>
                <w:w w:val="99"/>
              </w:rPr>
              <w:t xml:space="preserve">  TRANSITION REPORT PURSUANT TO SECTION 13 OR 15(d) OF THE SECURITIES EXCHANGE ACT OF 1934</w:t>
            </w:r>
          </w:p>
        </w:tc>
        <w:tc>
          <w:tcPr>
            <w:tcW w:w="0" w:type="dxa"/>
            <w:vAlign w:val="bottom"/>
          </w:tcPr>
          <w:p>
            <w:pPr>
              <w:spacing w:after="0"/>
              <w:rPr>
                <w:sz w:val="1"/>
                <w:szCs w:val="1"/>
                <w:color w:val="auto"/>
              </w:rPr>
            </w:pPr>
          </w:p>
        </w:tc>
      </w:tr>
      <w:tr>
        <w:trPr>
          <w:trHeight w:val="75"/>
        </w:trPr>
        <w:tc>
          <w:tcPr>
            <w:tcW w:w="300" w:type="dxa"/>
            <w:vAlign w:val="bottom"/>
            <w:vMerge w:val="continue"/>
          </w:tcPr>
          <w:p>
            <w:pPr>
              <w:spacing w:after="0"/>
              <w:rPr>
                <w:sz w:val="6"/>
                <w:szCs w:val="6"/>
                <w:color w:val="auto"/>
              </w:rPr>
            </w:pPr>
          </w:p>
        </w:tc>
        <w:tc>
          <w:tcPr>
            <w:tcW w:w="5840" w:type="dxa"/>
            <w:vAlign w:val="bottom"/>
            <w:vMerge w:val="restart"/>
          </w:tcPr>
          <w:p>
            <w:pPr>
              <w:ind w:left="3160"/>
              <w:spacing w:after="0"/>
              <w:rPr>
                <w:sz w:val="20"/>
                <w:szCs w:val="20"/>
                <w:color w:val="auto"/>
              </w:rPr>
            </w:pPr>
            <w:r>
              <w:rPr>
                <w:rFonts w:ascii="Arial" w:cs="Arial" w:eastAsia="Arial" w:hAnsi="Arial"/>
                <w:sz w:val="17"/>
                <w:szCs w:val="17"/>
                <w:b w:val="1"/>
                <w:bCs w:val="1"/>
                <w:color w:val="auto"/>
              </w:rPr>
              <w:t>For the transition period from</w:t>
            </w:r>
          </w:p>
        </w:tc>
        <w:tc>
          <w:tcPr>
            <w:tcW w:w="374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to</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001-34063</w:t>
      </w:r>
    </w:p>
    <w:p>
      <w:pPr>
        <w:spacing w:after="0" w:line="16" w:lineRule="exact"/>
        <w:rPr>
          <w:sz w:val="24"/>
          <w:szCs w:val="24"/>
          <w:color w:val="auto"/>
        </w:rPr>
      </w:pPr>
    </w:p>
    <w:p>
      <w:pPr>
        <w:ind w:left="4280"/>
        <w:spacing w:after="0"/>
        <w:rPr>
          <w:sz w:val="20"/>
          <w:szCs w:val="20"/>
          <w:color w:val="auto"/>
        </w:rPr>
      </w:pPr>
      <w:r>
        <w:rPr>
          <w:rFonts w:ascii="Arial" w:cs="Arial" w:eastAsia="Arial" w:hAnsi="Arial"/>
          <w:sz w:val="11"/>
          <w:szCs w:val="11"/>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-1905</wp:posOffset>
            </wp:positionV>
            <wp:extent cx="1134745" cy="409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4745" cy="409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LendingTree,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24" w:right="339" w:bottom="1440" w:gutter="0" w:footer="0" w:header="0"/>
        </w:sectPr>
      </w:pPr>
    </w:p>
    <w:p>
      <w:pPr>
        <w:spacing w:after="0" w:line="33" w:lineRule="exact"/>
        <w:rPr>
          <w:sz w:val="24"/>
          <w:szCs w:val="24"/>
          <w:color w:val="auto"/>
        </w:rPr>
      </w:pPr>
    </w:p>
    <w:p>
      <w:pPr>
        <w:ind w:left="28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26-2414818</w:t>
      </w:r>
    </w:p>
    <w:p>
      <w:pPr>
        <w:spacing w:after="0" w:line="49" w:lineRule="exact"/>
        <w:rPr>
          <w:sz w:val="24"/>
          <w:szCs w:val="24"/>
          <w:color w:val="auto"/>
        </w:rPr>
      </w:pPr>
    </w:p>
    <w:p>
      <w:pPr>
        <w:sectPr>
          <w:pgSz w:w="11900" w:h="16838" w:orient="portrait"/>
          <w:cols w:equalWidth="0" w:num="2">
            <w:col w:w="7000" w:space="720"/>
            <w:col w:w="3520"/>
          </w:cols>
          <w:pgMar w:left="320" w:top="224" w:right="339" w:bottom="1440" w:gutter="0" w:footer="0" w:header="0"/>
          <w:type w:val="continuous"/>
        </w:sectPr>
      </w:pPr>
    </w:p>
    <w:p>
      <w:pPr>
        <w:ind w:left="14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224" w:right="339" w:bottom="1440" w:gutter="0" w:footer="0" w:header="0"/>
          <w:type w:val="continuous"/>
        </w:sectPr>
      </w:pP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1415 Vantage Park Dr., Suite 700, Charlotte, North Carolina 28203</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offices)(Zip Code)</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1" w:lineRule="exact"/>
        <w:rPr>
          <w:sz w:val="24"/>
          <w:szCs w:val="24"/>
          <w:color w:val="auto"/>
        </w:rPr>
      </w:pPr>
    </w:p>
    <w:p>
      <w:pPr>
        <w:ind w:left="4280"/>
        <w:spacing w:after="0"/>
        <w:rPr>
          <w:sz w:val="20"/>
          <w:szCs w:val="20"/>
          <w:color w:val="auto"/>
        </w:rPr>
      </w:pPr>
      <w:r>
        <w:rPr>
          <w:rFonts w:ascii="Arial" w:cs="Arial" w:eastAsia="Arial" w:hAnsi="Arial"/>
          <w:sz w:val="11"/>
          <w:szCs w:val="11"/>
          <w:color w:val="auto"/>
        </w:rPr>
        <w:t>__________________________________________________</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0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7"/>
        </w:trPr>
        <w:tc>
          <w:tcPr>
            <w:tcW w:w="2220" w:type="dxa"/>
            <w:vAlign w:val="bottom"/>
          </w:tcPr>
          <w:p>
            <w:pPr>
              <w:spacing w:after="0"/>
              <w:rPr>
                <w:sz w:val="18"/>
                <w:szCs w:val="18"/>
                <w:color w:val="auto"/>
              </w:rPr>
            </w:pPr>
          </w:p>
        </w:tc>
        <w:tc>
          <w:tcPr>
            <w:tcW w:w="2800" w:type="dxa"/>
            <w:vAlign w:val="bottom"/>
            <w:gridSpan w:val="2"/>
          </w:tcPr>
          <w:p>
            <w:pPr>
              <w:jc w:val="center"/>
              <w:ind w:right="1640"/>
              <w:spacing w:after="0"/>
              <w:rPr>
                <w:sz w:val="20"/>
                <w:szCs w:val="20"/>
                <w:color w:val="auto"/>
              </w:rPr>
            </w:pPr>
            <w:r>
              <w:rPr>
                <w:rFonts w:ascii="Arial" w:cs="Arial" w:eastAsia="Arial" w:hAnsi="Arial"/>
                <w:sz w:val="16"/>
                <w:szCs w:val="16"/>
                <w:color w:val="auto"/>
                <w:w w:val="90"/>
              </w:rPr>
              <w:t>Title of each class</w:t>
            </w: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Trading Symbol(s)</w:t>
            </w:r>
          </w:p>
        </w:tc>
        <w:tc>
          <w:tcPr>
            <w:tcW w:w="3260" w:type="dxa"/>
            <w:vAlign w:val="bottom"/>
            <w:gridSpan w:val="2"/>
          </w:tcPr>
          <w:p>
            <w:pPr>
              <w:jc w:val="center"/>
              <w:ind w:left="319"/>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5020" w:type="dxa"/>
            <w:vAlign w:val="bottom"/>
            <w:gridSpan w:val="3"/>
          </w:tcPr>
          <w:p>
            <w:pPr>
              <w:jc w:val="center"/>
              <w:ind w:left="499"/>
              <w:spacing w:after="0"/>
              <w:rPr>
                <w:sz w:val="20"/>
                <w:szCs w:val="20"/>
                <w:color w:val="auto"/>
              </w:rPr>
            </w:pPr>
            <w:r>
              <w:rPr>
                <w:rFonts w:ascii="Arial" w:cs="Arial" w:eastAsia="Arial" w:hAnsi="Arial"/>
                <w:sz w:val="16"/>
                <w:szCs w:val="16"/>
                <w:color w:val="auto"/>
                <w:w w:val="90"/>
              </w:rPr>
              <w:t>Common Stock, $0.01 par value per share</w:t>
            </w:r>
          </w:p>
        </w:tc>
        <w:tc>
          <w:tcPr>
            <w:tcW w:w="160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TREE</w:t>
            </w:r>
          </w:p>
        </w:tc>
        <w:tc>
          <w:tcPr>
            <w:tcW w:w="40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2" w:lineRule="exact"/>
        <w:rPr>
          <w:sz w:val="24"/>
          <w:szCs w:val="24"/>
          <w:color w:val="auto"/>
        </w:rPr>
      </w:pPr>
    </w:p>
    <w:p>
      <w:pPr>
        <w:ind w:left="160" w:right="2300"/>
        <w:spacing w:after="0" w:line="21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161"/>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161"/>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jc w:val="both"/>
        <w:ind w:firstLine="161"/>
        <w:spacing w:after="0" w:line="287" w:lineRule="auto"/>
        <w:rPr>
          <w:sz w:val="20"/>
          <w:szCs w:val="20"/>
          <w:color w:val="auto"/>
        </w:rPr>
      </w:pPr>
      <w:r>
        <w:rPr>
          <w:rFonts w:ascii="Arial" w:cs="Arial" w:eastAsia="Arial" w:hAnsi="Arial"/>
          <w:sz w:val="14"/>
          <w:szCs w:val="14"/>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5"/>
          <w:szCs w:val="15"/>
          <w:color w:val="auto"/>
        </w:rPr>
        <w:t>“</w:t>
      </w:r>
      <w:r>
        <w:rPr>
          <w:rFonts w:ascii="Arial" w:cs="Arial" w:eastAsia="Arial" w:hAnsi="Arial"/>
          <w:sz w:val="14"/>
          <w:szCs w:val="14"/>
          <w:color w:val="auto"/>
        </w:rPr>
        <w:t>large accelerated filer,</w:t>
      </w:r>
      <w:r>
        <w:rPr>
          <w:rFonts w:ascii="Arial" w:cs="Arial" w:eastAsia="Arial" w:hAnsi="Arial"/>
          <w:sz w:val="15"/>
          <w:szCs w:val="15"/>
          <w:color w:val="auto"/>
        </w:rPr>
        <w:t>” “</w:t>
      </w:r>
      <w:r>
        <w:rPr>
          <w:rFonts w:ascii="Arial" w:cs="Arial" w:eastAsia="Arial" w:hAnsi="Arial"/>
          <w:sz w:val="14"/>
          <w:szCs w:val="14"/>
          <w:color w:val="auto"/>
        </w:rPr>
        <w:t>accelerated filer,</w:t>
      </w:r>
      <w:r>
        <w:rPr>
          <w:rFonts w:ascii="Arial" w:cs="Arial" w:eastAsia="Arial" w:hAnsi="Arial"/>
          <w:sz w:val="15"/>
          <w:szCs w:val="15"/>
          <w:color w:val="auto"/>
        </w:rPr>
        <w:t>” “</w:t>
      </w:r>
      <w:r>
        <w:rPr>
          <w:rFonts w:ascii="Arial" w:cs="Arial" w:eastAsia="Arial" w:hAnsi="Arial"/>
          <w:sz w:val="14"/>
          <w:szCs w:val="14"/>
          <w:color w:val="auto"/>
        </w:rPr>
        <w:t>smaller reporting company,</w:t>
      </w:r>
      <w:r>
        <w:rPr>
          <w:rFonts w:ascii="Arial" w:cs="Arial" w:eastAsia="Arial" w:hAnsi="Arial"/>
          <w:sz w:val="15"/>
          <w:szCs w:val="15"/>
          <w:color w:val="auto"/>
        </w:rPr>
        <w:t>”</w:t>
      </w:r>
      <w:r>
        <w:rPr>
          <w:rFonts w:ascii="Arial" w:cs="Arial" w:eastAsia="Arial" w:hAnsi="Arial"/>
          <w:sz w:val="14"/>
          <w:szCs w:val="14"/>
          <w:color w:val="auto"/>
        </w:rPr>
        <w:t xml:space="preserve"> and </w:t>
      </w:r>
      <w:r>
        <w:rPr>
          <w:rFonts w:ascii="Arial" w:cs="Arial" w:eastAsia="Arial" w:hAnsi="Arial"/>
          <w:sz w:val="15"/>
          <w:szCs w:val="15"/>
          <w:color w:val="auto"/>
        </w:rPr>
        <w:t>“</w:t>
      </w:r>
      <w:r>
        <w:rPr>
          <w:rFonts w:ascii="Arial" w:cs="Arial" w:eastAsia="Arial" w:hAnsi="Arial"/>
          <w:sz w:val="14"/>
          <w:szCs w:val="14"/>
          <w:color w:val="auto"/>
        </w:rPr>
        <w:t>emerging growth company</w:t>
      </w:r>
      <w:r>
        <w:rPr>
          <w:rFonts w:ascii="Arial" w:cs="Arial" w:eastAsia="Arial" w:hAnsi="Arial"/>
          <w:sz w:val="15"/>
          <w:szCs w:val="15"/>
          <w:color w:val="auto"/>
        </w:rPr>
        <w:t>”</w:t>
      </w:r>
      <w:r>
        <w:rPr>
          <w:rFonts w:ascii="Arial" w:cs="Arial" w:eastAsia="Arial" w:hAnsi="Arial"/>
          <w:sz w:val="14"/>
          <w:szCs w:val="14"/>
          <w:color w:val="auto"/>
        </w:rPr>
        <w:t xml:space="preserve"> in Rule 12b-2 of the Exchange</w:t>
      </w:r>
    </w:p>
    <w:p>
      <w:pPr>
        <w:spacing w:after="0"/>
        <w:rPr>
          <w:sz w:val="20"/>
          <w:szCs w:val="20"/>
          <w:color w:val="auto"/>
        </w:rPr>
      </w:pPr>
      <w:r>
        <w:rPr>
          <w:rFonts w:ascii="Arial" w:cs="Arial" w:eastAsia="Arial" w:hAnsi="Arial"/>
          <w:sz w:val="16"/>
          <w:szCs w:val="16"/>
          <w:color w:val="auto"/>
        </w:rPr>
        <w:t>Act. (Check one):</w:t>
      </w:r>
    </w:p>
    <w:p>
      <w:pPr>
        <w:sectPr>
          <w:pgSz w:w="11900" w:h="16838" w:orient="portrait"/>
          <w:cols w:equalWidth="0" w:num="1">
            <w:col w:w="11240"/>
          </w:cols>
          <w:pgMar w:left="320" w:top="224" w:right="339" w:bottom="1440" w:gutter="0" w:footer="0" w:header="0"/>
          <w:type w:val="continuous"/>
        </w:sectPr>
      </w:pPr>
    </w:p>
    <w:p>
      <w:pPr>
        <w:spacing w:after="0" w:line="45" w:lineRule="exact"/>
        <w:rPr>
          <w:sz w:val="24"/>
          <w:szCs w:val="24"/>
          <w:color w:val="auto"/>
        </w:rPr>
      </w:pPr>
    </w:p>
    <w:p>
      <w:pPr>
        <w:ind w:left="3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8" w:lineRule="exact"/>
        <w:rPr>
          <w:sz w:val="24"/>
          <w:szCs w:val="24"/>
          <w:color w:val="auto"/>
        </w:rPr>
      </w:pPr>
    </w:p>
    <w:p>
      <w:pPr>
        <w:sectPr>
          <w:pgSz w:w="11900" w:h="16838" w:orient="portrait"/>
          <w:cols w:equalWidth="0" w:num="5">
            <w:col w:w="2020" w:space="520"/>
            <w:col w:w="1260" w:space="580"/>
            <w:col w:w="1560" w:space="620"/>
            <w:col w:w="1940" w:space="640"/>
            <w:col w:w="2100"/>
          </w:cols>
          <w:pgMar w:left="320" w:top="224" w:right="339" w:bottom="1440" w:gutter="0" w:footer="0" w:header="0"/>
          <w:type w:val="continuous"/>
        </w:sectPr>
      </w:pPr>
    </w:p>
    <w:p>
      <w:pPr>
        <w:jc w:val="both"/>
        <w:ind w:firstLine="161"/>
        <w:spacing w:after="0" w:line="20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jc w:val="both"/>
        <w:ind w:right="20" w:firstLine="161"/>
        <w:spacing w:after="0" w:line="19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firstLine="161"/>
        <w:spacing w:after="0" w:line="195"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jc w:val="both"/>
        <w:ind w:firstLine="161"/>
        <w:spacing w:after="0" w:line="192" w:lineRule="exact"/>
        <w:rPr>
          <w:sz w:val="20"/>
          <w:szCs w:val="20"/>
          <w:color w:val="auto"/>
        </w:rPr>
      </w:pPr>
      <w:r>
        <w:rPr>
          <w:rFonts w:ascii="Arial" w:cs="Arial" w:eastAsia="Arial" w:hAnsi="Arial"/>
          <w:sz w:val="16"/>
          <w:szCs w:val="16"/>
          <w:color w:val="auto"/>
        </w:rPr>
        <w:t xml:space="preserve">Indicate by check mark whether any of those error corrections are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160"/>
        <w:spacing w:after="0" w:line="173" w:lineRule="exact"/>
        <w:tabs>
          <w:tab w:leader="none" w:pos="74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22" w:lineRule="exact"/>
        <w:rPr>
          <w:sz w:val="24"/>
          <w:szCs w:val="24"/>
          <w:color w:val="auto"/>
        </w:rPr>
      </w:pPr>
    </w:p>
    <w:p>
      <w:pPr>
        <w:jc w:val="both"/>
        <w:ind w:firstLine="161"/>
        <w:spacing w:after="0" w:line="251" w:lineRule="auto"/>
        <w:rPr>
          <w:sz w:val="20"/>
          <w:szCs w:val="20"/>
          <w:color w:val="auto"/>
        </w:rPr>
      </w:pPr>
      <w:r>
        <w:rPr>
          <w:rFonts w:ascii="Arial" w:cs="Arial" w:eastAsia="Arial" w:hAnsi="Arial"/>
          <w:sz w:val="16"/>
          <w:szCs w:val="16"/>
          <w:color w:val="auto"/>
        </w:rPr>
        <w:t>As of June 30, 2022, the aggregate market value of the voting common stock held by non-affiliates of the Registrant was approximately $476 million. For the purposes of the foregoing calculation only, all directors and executive officers of the Registrant and a single stockholder who owned in excess of 20% of the voting common stock are assumed to be affiliates of the Registrant.</w:t>
      </w:r>
    </w:p>
    <w:p>
      <w:pPr>
        <w:spacing w:after="0" w:line="1" w:lineRule="exact"/>
        <w:rPr>
          <w:sz w:val="24"/>
          <w:szCs w:val="24"/>
          <w:color w:val="auto"/>
        </w:rPr>
      </w:pPr>
    </w:p>
    <w:p>
      <w:pPr>
        <w:ind w:left="160"/>
        <w:spacing w:after="0"/>
        <w:rPr>
          <w:sz w:val="20"/>
          <w:szCs w:val="20"/>
          <w:color w:val="auto"/>
        </w:rPr>
      </w:pPr>
      <w:r>
        <w:rPr>
          <w:rFonts w:ascii="Arial" w:cs="Arial" w:eastAsia="Arial" w:hAnsi="Arial"/>
          <w:sz w:val="16"/>
          <w:szCs w:val="16"/>
          <w:color w:val="auto"/>
        </w:rPr>
        <w:t>As of February 21, 2023, there were 12,814,252 shares of the Registrant's common stock, par value $.01 per share, outstanding.</w:t>
      </w:r>
    </w:p>
    <w:p>
      <w:pPr>
        <w:spacing w:after="0" w:line="67"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48" w:lineRule="exact"/>
        <w:rPr>
          <w:sz w:val="24"/>
          <w:szCs w:val="24"/>
          <w:color w:val="auto"/>
        </w:rPr>
      </w:pPr>
    </w:p>
    <w:p>
      <w:pPr>
        <w:jc w:val="both"/>
        <w:spacing w:after="0" w:line="273" w:lineRule="auto"/>
        <w:rPr>
          <w:sz w:val="20"/>
          <w:szCs w:val="20"/>
          <w:color w:val="auto"/>
        </w:rPr>
      </w:pPr>
      <w:r>
        <w:rPr>
          <w:rFonts w:ascii="Arial" w:cs="Arial" w:eastAsia="Arial" w:hAnsi="Arial"/>
          <w:sz w:val="16"/>
          <w:szCs w:val="16"/>
          <w:color w:val="auto"/>
        </w:rPr>
        <w:t>Portions of the Registrant's proxy statement for its 2023 Annual Meeting of Stockholders are incorporated by reference into Part III herein. Such proxy statement will be filed with the U.S.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393065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64770</wp:posOffset>
            </wp:positionV>
            <wp:extent cx="70935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3585" cy="1714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39370</wp:posOffset>
            </wp:positionV>
            <wp:extent cx="7093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3585" cy="8255"/>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60" w:type="dxa"/>
            <w:vAlign w:val="bottom"/>
            <w:gridSpan w:val="18"/>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880" w:type="dxa"/>
            <w:vAlign w:val="bottom"/>
            <w:gridSpan w:val="13"/>
            <w:vMerge w:val="restart"/>
          </w:tcPr>
          <w:p>
            <w:pPr>
              <w:jc w:val="center"/>
              <w:ind w:right="4300"/>
              <w:spacing w:after="0"/>
              <w:rPr>
                <w:sz w:val="20"/>
                <w:szCs w:val="20"/>
                <w:color w:val="auto"/>
              </w:rPr>
            </w:pPr>
            <w:r>
              <w:rPr>
                <w:rFonts w:ascii="Arial" w:cs="Arial" w:eastAsia="Arial" w:hAnsi="Arial"/>
                <w:sz w:val="18"/>
                <w:szCs w:val="18"/>
                <w:b w:val="1"/>
                <w:bCs w:val="1"/>
                <w:color w:val="0000FF"/>
                <w:w w:val="98"/>
              </w:rPr>
              <w:t>PART I</w:t>
            </w: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880" w:type="dxa"/>
            <w:vAlign w:val="bottom"/>
            <w:gridSpan w:val="13"/>
            <w:vMerge w:val="continue"/>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1.</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18"/>
          </w:tcPr>
          <w:p>
            <w:pPr>
              <w:spacing w:after="0"/>
              <w:rPr>
                <w:sz w:val="20"/>
                <w:szCs w:val="20"/>
                <w:color w:val="auto"/>
              </w:rPr>
            </w:pPr>
            <w:r>
              <w:rPr>
                <w:rFonts w:ascii="Arial" w:cs="Arial" w:eastAsia="Arial" w:hAnsi="Arial"/>
                <w:sz w:val="18"/>
                <w:szCs w:val="18"/>
                <w:b w:val="1"/>
                <w:bCs w:val="1"/>
                <w:color w:val="0000FF"/>
              </w:rPr>
              <w:t>Business</w:t>
            </w:r>
          </w:p>
        </w:tc>
        <w:tc>
          <w:tcPr>
            <w:tcW w:w="580" w:type="dxa"/>
            <w:vAlign w:val="bottom"/>
            <w:tcBorders>
              <w:top w:val="single" w:sz="8" w:color="0000FF"/>
            </w:tcBorders>
            <w:gridSpan w:val="3"/>
          </w:tcPr>
          <w:p>
            <w:pPr>
              <w:spacing w:after="0"/>
              <w:rPr>
                <w:sz w:val="18"/>
                <w:szCs w:val="18"/>
                <w:color w:val="auto"/>
              </w:rPr>
            </w:pPr>
          </w:p>
        </w:tc>
        <w:tc>
          <w:tcPr>
            <w:tcW w:w="4300" w:type="dxa"/>
            <w:vAlign w:val="bottom"/>
            <w:gridSpan w:val="10"/>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4"/>
              </w:rPr>
              <w:t>Item 1A.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88"/>
              </w:rPr>
              <w:t>Risk Factors</w:t>
            </w:r>
          </w:p>
        </w:tc>
        <w:tc>
          <w:tcPr>
            <w:tcW w:w="8060" w:type="dxa"/>
            <w:vAlign w:val="bottom"/>
            <w:gridSpan w:val="27"/>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82"/>
              </w:rPr>
              <w:t>Item 1B.</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w w:val="88"/>
              </w:rPr>
              <w:t>Unresolved Staff Comments</w:t>
            </w:r>
          </w:p>
        </w:tc>
        <w:tc>
          <w:tcPr>
            <w:tcW w:w="6880" w:type="dxa"/>
            <w:vAlign w:val="bottom"/>
            <w:gridSpan w:val="20"/>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1"/>
              </w:rPr>
              <w:t>Item 2.</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87"/>
              </w:rPr>
              <w:t>Properties</w:t>
            </w:r>
          </w:p>
        </w:tc>
        <w:tc>
          <w:tcPr>
            <w:tcW w:w="8240" w:type="dxa"/>
            <w:vAlign w:val="bottom"/>
            <w:gridSpan w:val="2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3.</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1"/>
          </w:tcPr>
          <w:p>
            <w:pPr>
              <w:spacing w:after="0"/>
              <w:rPr>
                <w:sz w:val="20"/>
                <w:szCs w:val="20"/>
                <w:color w:val="auto"/>
              </w:rPr>
            </w:pPr>
            <w:r>
              <w:rPr>
                <w:rFonts w:ascii="Arial" w:cs="Arial" w:eastAsia="Arial" w:hAnsi="Arial"/>
                <w:sz w:val="18"/>
                <w:szCs w:val="18"/>
                <w:b w:val="1"/>
                <w:bCs w:val="1"/>
                <w:color w:val="0000FF"/>
              </w:rPr>
              <w:t>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4.</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1"/>
          </w:tcPr>
          <w:p>
            <w:pPr>
              <w:spacing w:after="0"/>
              <w:rPr>
                <w:sz w:val="20"/>
                <w:szCs w:val="20"/>
                <w:color w:val="auto"/>
              </w:rPr>
            </w:pPr>
            <w:r>
              <w:rPr>
                <w:rFonts w:ascii="Arial" w:cs="Arial" w:eastAsia="Arial" w:hAnsi="Arial"/>
                <w:sz w:val="18"/>
                <w:szCs w:val="18"/>
                <w:b w:val="1"/>
                <w:bCs w:val="1"/>
                <w:color w:val="0000FF"/>
              </w:rPr>
              <w:t>Mine Safety Disclosures</w:t>
            </w: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4"/>
          </w:tcPr>
          <w:p>
            <w:pPr>
              <w:jc w:val="center"/>
              <w:ind w:right="4260"/>
              <w:spacing w:after="0"/>
              <w:rPr>
                <w:sz w:val="20"/>
                <w:szCs w:val="20"/>
                <w:color w:val="auto"/>
              </w:rPr>
            </w:pPr>
            <w:r>
              <w:rPr>
                <w:rFonts w:ascii="Arial" w:cs="Arial" w:eastAsia="Arial" w:hAnsi="Arial"/>
                <w:sz w:val="18"/>
                <w:szCs w:val="18"/>
                <w:b w:val="1"/>
                <w:bCs w:val="1"/>
                <w:color w:val="0000FF"/>
                <w:w w:val="99"/>
              </w:rPr>
              <w:t>PART II</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1"/>
              </w:rPr>
              <w:t>Item 5.</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64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b w:val="1"/>
                <w:bCs w:val="1"/>
                <w:color w:val="0000FF"/>
                <w:w w:val="90"/>
              </w:rPr>
              <w:t>Market for Registrant's Common Equity, Related Stockholder Matters and Issuer Purchases of Equity Securities</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1"/>
              </w:rPr>
              <w:t>Item 6.</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88"/>
              </w:rPr>
              <w:t>[Reserved]</w:t>
            </w:r>
          </w:p>
        </w:tc>
        <w:tc>
          <w:tcPr>
            <w:tcW w:w="8200" w:type="dxa"/>
            <w:vAlign w:val="bottom"/>
            <w:gridSpan w:val="2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0000FF"/>
                <w:w w:val="91"/>
              </w:rPr>
              <w:t>Item 7.</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1"/>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4"/>
              </w:rPr>
              <w:t>Item 7A.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b w:val="1"/>
                <w:bCs w:val="1"/>
                <w:color w:val="0000FF"/>
                <w:w w:val="91"/>
              </w:rPr>
              <w:t>Quantitative and Qualitative Disclosures about Market Risk</w:t>
            </w:r>
          </w:p>
        </w:tc>
        <w:tc>
          <w:tcPr>
            <w:tcW w:w="442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 8.</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w w:val="89"/>
              </w:rPr>
              <w:t>Financial Statements and Supplementary Data</w:t>
            </w:r>
          </w:p>
        </w:tc>
        <w:tc>
          <w:tcPr>
            <w:tcW w:w="5460" w:type="dxa"/>
            <w:vAlign w:val="bottom"/>
            <w:gridSpan w:val="17"/>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 9.</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8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b w:val="1"/>
                <w:bCs w:val="1"/>
                <w:color w:val="0000FF"/>
                <w:w w:val="88"/>
              </w:rPr>
              <w:t>Changes in and Disagreements With Accountants on Accounting and Financial Disclosure</w:t>
            </w:r>
          </w:p>
        </w:tc>
        <w:tc>
          <w:tcPr>
            <w:tcW w:w="216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4"/>
              </w:rPr>
              <w:t>Item 9A.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w w:val="88"/>
              </w:rPr>
              <w:t>Controls and Procedures</w:t>
            </w:r>
          </w:p>
        </w:tc>
        <w:tc>
          <w:tcPr>
            <w:tcW w:w="7120" w:type="dxa"/>
            <w:vAlign w:val="bottom"/>
            <w:gridSpan w:val="2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b w:val="1"/>
                <w:bCs w:val="1"/>
                <w:color w:val="0000FF"/>
                <w:w w:val="82"/>
              </w:rPr>
              <w:t>Item 9B.</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1"/>
          </w:tcPr>
          <w:p>
            <w:pPr>
              <w:spacing w:after="0"/>
              <w:rPr>
                <w:sz w:val="20"/>
                <w:szCs w:val="20"/>
                <w:color w:val="auto"/>
              </w:rPr>
            </w:pPr>
            <w:r>
              <w:rPr>
                <w:rFonts w:ascii="Arial" w:cs="Arial" w:eastAsia="Arial" w:hAnsi="Arial"/>
                <w:sz w:val="18"/>
                <w:szCs w:val="18"/>
                <w:b w:val="1"/>
                <w:bCs w:val="1"/>
                <w:color w:val="0000FF"/>
              </w:rPr>
              <w:t>Other Information</w:t>
            </w: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b w:val="1"/>
                <w:bCs w:val="1"/>
                <w:color w:val="0000FF"/>
                <w:w w:val="94"/>
              </w:rPr>
              <w:t>Item 9C.</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1"/>
          </w:tcPr>
          <w:p>
            <w:pPr>
              <w:spacing w:after="0"/>
              <w:rPr>
                <w:sz w:val="20"/>
                <w:szCs w:val="20"/>
                <w:color w:val="auto"/>
              </w:rPr>
            </w:pPr>
            <w:r>
              <w:rPr>
                <w:rFonts w:ascii="Arial" w:cs="Arial" w:eastAsia="Arial" w:hAnsi="Arial"/>
                <w:sz w:val="18"/>
                <w:szCs w:val="18"/>
                <w:b w:val="1"/>
                <w:bCs w:val="1"/>
                <w:color w:val="0000FF"/>
              </w:rPr>
              <w:t>Disclosure Regarding Foreign Jurisdictions that Prevent Inspections</w:t>
            </w: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9"/>
          </w:tcPr>
          <w:p>
            <w:pPr>
              <w:jc w:val="center"/>
              <w:ind w:right="20"/>
              <w:spacing w:after="0"/>
              <w:rPr>
                <w:sz w:val="20"/>
                <w:szCs w:val="20"/>
                <w:color w:val="auto"/>
              </w:rPr>
            </w:pPr>
            <w:r>
              <w:rPr>
                <w:rFonts w:ascii="Arial" w:cs="Arial" w:eastAsia="Arial" w:hAnsi="Arial"/>
                <w:sz w:val="18"/>
                <w:szCs w:val="18"/>
                <w:b w:val="1"/>
                <w:bCs w:val="1"/>
                <w:color w:val="0000FF"/>
              </w:rPr>
              <w:t>PART III</w:t>
            </w:r>
          </w:p>
        </w:tc>
        <w:tc>
          <w:tcPr>
            <w:tcW w:w="380" w:type="dxa"/>
            <w:vAlign w:val="bottom"/>
            <w:tcBorders>
              <w:top w:val="single" w:sz="8" w:color="0000FF"/>
            </w:tcBorders>
          </w:tcPr>
          <w:p>
            <w:pPr>
              <w:spacing w:after="0"/>
              <w:rPr>
                <w:sz w:val="24"/>
                <w:szCs w:val="24"/>
                <w:color w:val="auto"/>
              </w:rPr>
            </w:pPr>
          </w:p>
        </w:tc>
        <w:tc>
          <w:tcPr>
            <w:tcW w:w="382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0000FF"/>
              </w:rPr>
              <w:t>Item 10.</w:t>
            </w:r>
          </w:p>
        </w:tc>
        <w:tc>
          <w:tcPr>
            <w:tcW w:w="9260" w:type="dxa"/>
            <w:vAlign w:val="bottom"/>
            <w:gridSpan w:val="32"/>
          </w:tcPr>
          <w:p>
            <w:pPr>
              <w:ind w:left="220"/>
              <w:spacing w:after="0"/>
              <w:rPr>
                <w:sz w:val="20"/>
                <w:szCs w:val="20"/>
                <w:color w:val="auto"/>
              </w:rPr>
            </w:pPr>
            <w:r>
              <w:rPr>
                <w:rFonts w:ascii="Arial" w:cs="Arial" w:eastAsia="Arial" w:hAnsi="Arial"/>
                <w:sz w:val="18"/>
                <w:szCs w:val="18"/>
                <w:b w:val="1"/>
                <w:bCs w:val="1"/>
                <w:color w:val="0000FF"/>
              </w:rPr>
              <w:t>Directors, Executive Officers and Corporate Governance</w:t>
            </w: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0000FF"/>
                <w:w w:val="86"/>
              </w:rPr>
              <w:t>Item 11.</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Borders>
              <w:top w:val="single" w:sz="8" w:color="0000FF"/>
            </w:tcBorders>
            <w:gridSpan w:val="19"/>
          </w:tcPr>
          <w:p>
            <w:pPr>
              <w:spacing w:after="0"/>
              <w:rPr>
                <w:sz w:val="20"/>
                <w:szCs w:val="20"/>
                <w:color w:val="auto"/>
              </w:rPr>
            </w:pPr>
            <w:r>
              <w:rPr>
                <w:rFonts w:ascii="Arial" w:cs="Arial" w:eastAsia="Arial" w:hAnsi="Arial"/>
                <w:sz w:val="18"/>
                <w:szCs w:val="18"/>
                <w:b w:val="1"/>
                <w:bCs w:val="1"/>
                <w:color w:val="0000FF"/>
              </w:rPr>
              <w:t>Executive Compensation</w:t>
            </w:r>
          </w:p>
        </w:tc>
        <w:tc>
          <w:tcPr>
            <w:tcW w:w="468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Item 12.</w:t>
            </w:r>
          </w:p>
        </w:tc>
        <w:tc>
          <w:tcPr>
            <w:tcW w:w="220" w:type="dxa"/>
            <w:vAlign w:val="bottom"/>
          </w:tcPr>
          <w:p>
            <w:pPr>
              <w:spacing w:after="0"/>
              <w:rPr>
                <w:sz w:val="18"/>
                <w:szCs w:val="18"/>
                <w:color w:val="auto"/>
              </w:rPr>
            </w:pPr>
          </w:p>
        </w:tc>
        <w:tc>
          <w:tcPr>
            <w:tcW w:w="778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b w:val="1"/>
                <w:bCs w:val="1"/>
                <w:color w:val="0000FF"/>
                <w:w w:val="90"/>
              </w:rPr>
              <w:t>Security Ownership of Certain Beneficial Owners and Management and Related Stockholder Matters</w:t>
            </w:r>
          </w:p>
        </w:tc>
        <w:tc>
          <w:tcPr>
            <w:tcW w:w="12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0000FF"/>
              </w:rPr>
              <w:t>Item 13.</w:t>
            </w:r>
          </w:p>
        </w:tc>
        <w:tc>
          <w:tcPr>
            <w:tcW w:w="9260" w:type="dxa"/>
            <w:vAlign w:val="bottom"/>
            <w:gridSpan w:val="32"/>
          </w:tcPr>
          <w:p>
            <w:pPr>
              <w:ind w:left="220"/>
              <w:spacing w:after="0"/>
              <w:rPr>
                <w:sz w:val="20"/>
                <w:szCs w:val="20"/>
                <w:color w:val="auto"/>
              </w:rPr>
            </w:pPr>
            <w:r>
              <w:rPr>
                <w:rFonts w:ascii="Arial" w:cs="Arial" w:eastAsia="Arial" w:hAnsi="Arial"/>
                <w:sz w:val="18"/>
                <w:szCs w:val="18"/>
                <w:b w:val="1"/>
                <w:bCs w:val="1"/>
                <w:color w:val="0000FF"/>
              </w:rPr>
              <w:t>Certain Relationships and Related Transactions, and Director Independence</w:t>
            </w: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0000FF"/>
              </w:rPr>
              <w:t>Item 14.</w:t>
            </w:r>
          </w:p>
        </w:tc>
        <w:tc>
          <w:tcPr>
            <w:tcW w:w="9260" w:type="dxa"/>
            <w:vAlign w:val="bottom"/>
            <w:gridSpan w:val="32"/>
          </w:tcPr>
          <w:p>
            <w:pPr>
              <w:ind w:left="220"/>
              <w:spacing w:after="0"/>
              <w:rPr>
                <w:sz w:val="20"/>
                <w:szCs w:val="20"/>
                <w:color w:val="auto"/>
              </w:rPr>
            </w:pPr>
            <w:r>
              <w:rPr>
                <w:rFonts w:ascii="Arial" w:cs="Arial" w:eastAsia="Arial" w:hAnsi="Arial"/>
                <w:sz w:val="18"/>
                <w:szCs w:val="18"/>
                <w:b w:val="1"/>
                <w:bCs w:val="1"/>
                <w:color w:val="0000FF"/>
              </w:rPr>
              <w:t>Principal Accounting Fees and Services</w:t>
            </w:r>
          </w:p>
        </w:tc>
        <w:tc>
          <w:tcPr>
            <w:tcW w:w="1020" w:type="dxa"/>
            <w:vAlign w:val="bottom"/>
          </w:tcPr>
          <w:p>
            <w:pPr>
              <w:jc w:val="center"/>
              <w:spacing w:after="0"/>
              <w:rPr>
                <w:sz w:val="20"/>
                <w:szCs w:val="20"/>
                <w:color w:val="auto"/>
              </w:rPr>
            </w:pPr>
            <w:r>
              <w:rPr>
                <w:rFonts w:ascii="Arial" w:cs="Arial" w:eastAsia="Arial" w:hAnsi="Arial"/>
                <w:sz w:val="18"/>
                <w:szCs w:val="18"/>
                <w:color w:val="0000FF"/>
                <w:w w:val="8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gridSpan w:val="16"/>
          </w:tcPr>
          <w:p>
            <w:pPr>
              <w:jc w:val="center"/>
              <w:ind w:right="4220"/>
              <w:spacing w:after="0"/>
              <w:rPr>
                <w:sz w:val="20"/>
                <w:szCs w:val="20"/>
                <w:color w:val="auto"/>
              </w:rPr>
            </w:pPr>
            <w:r>
              <w:rPr>
                <w:rFonts w:ascii="Arial" w:cs="Arial" w:eastAsia="Arial" w:hAnsi="Arial"/>
                <w:sz w:val="18"/>
                <w:szCs w:val="18"/>
                <w:b w:val="1"/>
                <w:bCs w:val="1"/>
                <w:color w:val="0000FF"/>
              </w:rPr>
              <w:t>PART IV</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0000FF"/>
              </w:rPr>
              <w:t>Item 15.</w:t>
            </w:r>
          </w:p>
        </w:tc>
        <w:tc>
          <w:tcPr>
            <w:tcW w:w="4340" w:type="dxa"/>
            <w:vAlign w:val="bottom"/>
            <w:gridSpan w:val="17"/>
          </w:tcPr>
          <w:p>
            <w:pPr>
              <w:ind w:left="220"/>
              <w:spacing w:after="0"/>
              <w:rPr>
                <w:sz w:val="20"/>
                <w:szCs w:val="20"/>
                <w:color w:val="auto"/>
              </w:rPr>
            </w:pPr>
            <w:r>
              <w:rPr>
                <w:rFonts w:ascii="Arial" w:cs="Arial" w:eastAsia="Arial" w:hAnsi="Arial"/>
                <w:sz w:val="18"/>
                <w:szCs w:val="18"/>
                <w:b w:val="1"/>
                <w:bCs w:val="1"/>
                <w:color w:val="0000FF"/>
              </w:rPr>
              <w:t>Exhibits, Financial Statement Schedules</w:t>
            </w:r>
          </w:p>
        </w:tc>
        <w:tc>
          <w:tcPr>
            <w:tcW w:w="700" w:type="dxa"/>
            <w:vAlign w:val="bottom"/>
            <w:tcBorders>
              <w:top w:val="single" w:sz="8" w:color="0000FF"/>
            </w:tcBorders>
            <w:gridSpan w:val="7"/>
          </w:tcPr>
          <w:p>
            <w:pPr>
              <w:spacing w:after="0"/>
              <w:rPr>
                <w:sz w:val="18"/>
                <w:szCs w:val="18"/>
                <w:color w:val="auto"/>
              </w:rPr>
            </w:pPr>
          </w:p>
        </w:tc>
        <w:tc>
          <w:tcPr>
            <w:tcW w:w="422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596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0000FF"/>
              </w:rPr>
              <w:t>Item 16.</w:t>
            </w:r>
          </w:p>
        </w:tc>
        <w:tc>
          <w:tcPr>
            <w:tcW w:w="9260" w:type="dxa"/>
            <w:vAlign w:val="bottom"/>
            <w:gridSpan w:val="32"/>
          </w:tcPr>
          <w:p>
            <w:pPr>
              <w:ind w:left="220"/>
              <w:spacing w:after="0"/>
              <w:rPr>
                <w:sz w:val="20"/>
                <w:szCs w:val="20"/>
                <w:color w:val="auto"/>
              </w:rPr>
            </w:pPr>
            <w:r>
              <w:rPr>
                <w:rFonts w:ascii="Arial" w:cs="Arial" w:eastAsia="Arial" w:hAnsi="Arial"/>
                <w:sz w:val="18"/>
                <w:szCs w:val="18"/>
                <w:b w:val="1"/>
                <w:bCs w:val="1"/>
                <w:color w:val="0000FF"/>
              </w:rPr>
              <w:t>Form 10-K Summary</w:t>
            </w:r>
          </w:p>
        </w:tc>
        <w:tc>
          <w:tcPr>
            <w:tcW w:w="1020" w:type="dxa"/>
            <w:vAlign w:val="bottom"/>
          </w:tcPr>
          <w:p>
            <w:pPr>
              <w:jc w:val="center"/>
              <w:spacing w:after="0"/>
              <w:rPr>
                <w:sz w:val="20"/>
                <w:szCs w:val="20"/>
                <w:color w:val="auto"/>
              </w:rPr>
            </w:pPr>
            <w:r>
              <w:rPr>
                <w:rFonts w:ascii="Arial" w:cs="Arial" w:eastAsia="Arial" w:hAnsi="Arial"/>
                <w:sz w:val="18"/>
                <w:szCs w:val="18"/>
                <w:color w:val="0000FF"/>
                <w:w w:val="86"/>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9"/>
        </w:trPr>
        <w:tc>
          <w:tcPr>
            <w:tcW w:w="4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7"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This annual report on Form 10-K for the fiscal year ended December 31, 2022 (the “Annual Report”) contains “forward-looking statements” within the meaning of the Securities Act of 1933, as amended, and the Securities Exchange Act of 1934, as amended.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5"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Item 1A. Risk Factors.</w:t>
      </w:r>
    </w:p>
    <w:p>
      <w:pPr>
        <w:spacing w:after="0" w:line="18"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Risk Factors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31" w:lineRule="exact"/>
        <w:rPr>
          <w:sz w:val="20"/>
          <w:szCs w:val="20"/>
          <w:color w:val="auto"/>
        </w:rPr>
      </w:pPr>
    </w:p>
    <w:p>
      <w:pPr>
        <w:ind w:left="660" w:right="20" w:hanging="330"/>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conditions in the primary and secondary mortgage markets, as well as the general economy, could have a material adverse effect on our business, financial condition and results of operations.</w:t>
      </w:r>
    </w:p>
    <w:p>
      <w:pPr>
        <w:spacing w:after="0" w:line="116"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on the financial strength of our Network Partners and our relationships with them. Any adverse changes in these relationships could adversely affect our business, financial condition and results of operations.</w:t>
      </w:r>
    </w:p>
    <w:p>
      <w:pPr>
        <w:spacing w:after="0" w:line="116" w:lineRule="exact"/>
        <w:rPr>
          <w:rFonts w:ascii="Arial" w:cs="Arial" w:eastAsia="Arial" w:hAnsi="Arial"/>
          <w:sz w:val="18"/>
          <w:szCs w:val="18"/>
          <w:color w:val="auto"/>
        </w:rPr>
      </w:pPr>
    </w:p>
    <w:p>
      <w:pPr>
        <w:ind w:left="660" w:right="20" w:hanging="330"/>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adverse changes in relationships with our Network Partners, or failure to meet certain metrics required by Network Partners, could adversely affect our business.</w:t>
      </w:r>
    </w:p>
    <w:p>
      <w:pPr>
        <w:spacing w:after="0" w:line="116" w:lineRule="exact"/>
        <w:rPr>
          <w:rFonts w:ascii="Arial" w:cs="Arial" w:eastAsia="Arial" w:hAnsi="Arial"/>
          <w:sz w:val="18"/>
          <w:szCs w:val="18"/>
          <w:color w:val="auto"/>
        </w:rPr>
      </w:pPr>
    </w:p>
    <w:p>
      <w:pPr>
        <w:jc w:val="both"/>
        <w:ind w:left="660" w:hanging="330"/>
        <w:spacing w:after="0" w:line="26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our reputation and brand recognition, or to attract and retain consumers in a cost-effective manner could materially and adversely affect our business, financial condition and results of operations. As such, adverse publicity from litigation or governmental investigations could impact our business and financial condition and results of operations.</w:t>
      </w:r>
    </w:p>
    <w:p>
      <w:pPr>
        <w:spacing w:after="0" w:line="128" w:lineRule="exact"/>
        <w:rPr>
          <w:rFonts w:ascii="Arial" w:cs="Arial" w:eastAsia="Arial" w:hAnsi="Arial"/>
          <w:sz w:val="18"/>
          <w:szCs w:val="18"/>
          <w:color w:val="auto"/>
        </w:rPr>
      </w:pPr>
    </w:p>
    <w:p>
      <w:pPr>
        <w:ind w:left="660" w:right="20" w:hanging="330"/>
        <w:spacing w:after="0" w:line="339"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depend on search engines, online advertising and other online sources to attract visitors to our websites. If we are unable to attract these visitors and convert them into consumer requests for our Network Partners in a cost-effective manner, our business and financial results may be harmed.</w:t>
      </w:r>
    </w:p>
    <w:p>
      <w:pPr>
        <w:spacing w:after="0" w:line="71" w:lineRule="exact"/>
        <w:rPr>
          <w:rFonts w:ascii="Arial" w:cs="Arial" w:eastAsia="Arial" w:hAnsi="Arial"/>
          <w:sz w:val="16"/>
          <w:szCs w:val="16"/>
          <w:color w:val="auto"/>
        </w:rPr>
      </w:pPr>
    </w:p>
    <w:p>
      <w:pPr>
        <w:jc w:val="both"/>
        <w:ind w:left="660" w:hanging="330"/>
        <w:spacing w:after="0" w:line="310"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rely on technology to operate our business and continue to implement substantial changes to our information systems. Any software development actions that intentionally or unintentionally prioritize client value and/or project restraints over more technical implementation and design considerations could result in disruptions to the Company information systems that could materially adversely affect our operations.</w:t>
      </w:r>
    </w:p>
    <w:p>
      <w:pPr>
        <w:spacing w:after="0" w:line="93" w:lineRule="exact"/>
        <w:rPr>
          <w:rFonts w:ascii="Arial" w:cs="Arial" w:eastAsia="Arial" w:hAnsi="Arial"/>
          <w:sz w:val="16"/>
          <w:szCs w:val="16"/>
          <w:color w:val="auto"/>
        </w:rPr>
      </w:pPr>
    </w:p>
    <w:p>
      <w:pPr>
        <w:ind w:left="640" w:hanging="31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credit card product offering is subject to particular risks.</w:t>
      </w:r>
    </w:p>
    <w:p>
      <w:pPr>
        <w:spacing w:after="0" w:line="169" w:lineRule="exact"/>
        <w:rPr>
          <w:rFonts w:ascii="Arial" w:cs="Arial" w:eastAsia="Arial" w:hAnsi="Arial"/>
          <w:sz w:val="18"/>
          <w:szCs w:val="18"/>
          <w:color w:val="auto"/>
        </w:rPr>
      </w:pPr>
    </w:p>
    <w:p>
      <w:pPr>
        <w:ind w:left="640" w:hanging="31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loan markets could harm our business, financial condition and results of operations.</w:t>
      </w:r>
    </w:p>
    <w:p>
      <w:pPr>
        <w:spacing w:after="0" w:line="169"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insurance business, QuoteWizard, is significant to our revenue, and operational issues in this business could have a material impact on our results of operations.</w:t>
      </w:r>
    </w:p>
    <w:p>
      <w:pPr>
        <w:spacing w:after="0" w:line="116"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personal loan product is a key product within our Consumer segment. If lenders participating on our marketplace decide to reduce their offerings of personal loans or if such loans become unattractive to consumers because of higher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interest rates demanded by lenders or other reasons, then our results of operations and future growth prospects could be materially and adversely affected.</w:t>
      </w:r>
    </w:p>
    <w:p>
      <w:pPr>
        <w:spacing w:after="0" w:line="117" w:lineRule="exact"/>
        <w:rPr>
          <w:sz w:val="20"/>
          <w:szCs w:val="20"/>
          <w:color w:val="auto"/>
        </w:rPr>
      </w:pPr>
    </w:p>
    <w:p>
      <w:pPr>
        <w:ind w:left="66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condition and results of operations have been and may continue to be adversely affected by public health issues, including epidemics or pandemics such as COVID-19.</w:t>
      </w:r>
    </w:p>
    <w:p>
      <w:pPr>
        <w:spacing w:after="0" w:line="116"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of our products are new to the market and may fail to achieve or maintain customer acceptance and profitability.</w:t>
      </w:r>
    </w:p>
    <w:p>
      <w:pPr>
        <w:spacing w:after="0" w:line="169"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intended benefits of acquisitions may not be realized and acquisitions or strategic investments that we pursue may not be successful and could disrupt our business and harm our financial condition.</w:t>
      </w:r>
    </w:p>
    <w:p>
      <w:pPr>
        <w:spacing w:after="0" w:line="116"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fail to manage our people through the changes caused by economic challenges, our business and results of operations could be harmed.</w:t>
      </w:r>
    </w:p>
    <w:p>
      <w:pPr>
        <w:spacing w:after="0" w:line="192" w:lineRule="exact"/>
        <w:rPr>
          <w:rFonts w:ascii="Arial" w:cs="Arial" w:eastAsia="Arial" w:hAnsi="Arial"/>
          <w:sz w:val="16"/>
          <w:szCs w:val="16"/>
          <w:color w:val="auto"/>
        </w:rPr>
      </w:pPr>
    </w:p>
    <w:p>
      <w:pPr>
        <w:ind w:left="66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the performance of highly skilled personnel. If we are unable to attract, retain, develop and motivate well-qualified employees, our business and results of operations could be harmed.</w:t>
      </w:r>
    </w:p>
    <w:p>
      <w:pPr>
        <w:spacing w:after="0" w:line="116" w:lineRule="exact"/>
        <w:rPr>
          <w:rFonts w:ascii="Arial" w:cs="Arial" w:eastAsia="Arial" w:hAnsi="Arial"/>
          <w:sz w:val="18"/>
          <w:szCs w:val="18"/>
          <w:color w:val="auto"/>
        </w:rPr>
      </w:pPr>
    </w:p>
    <w:p>
      <w:pPr>
        <w:ind w:left="660" w:right="2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total revenue has, in the past, been derived from one Network Partner, and our results of operations could be adversely affected and stockholder value harmed if we lose significant business from this Network Partner.</w:t>
      </w:r>
    </w:p>
    <w:p>
      <w:pPr>
        <w:spacing w:after="0" w:line="116" w:lineRule="exact"/>
        <w:rPr>
          <w:rFonts w:ascii="Arial" w:cs="Arial" w:eastAsia="Arial" w:hAnsi="Arial"/>
          <w:sz w:val="18"/>
          <w:szCs w:val="18"/>
          <w:color w:val="auto"/>
        </w:rPr>
      </w:pPr>
    </w:p>
    <w:p>
      <w:pPr>
        <w:jc w:val="both"/>
        <w:ind w:left="660" w:hanging="330"/>
        <w:spacing w:after="0" w:line="284"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112" w:lineRule="exact"/>
        <w:rPr>
          <w:rFonts w:ascii="Arial" w:cs="Arial" w:eastAsia="Arial" w:hAnsi="Arial"/>
          <w:sz w:val="17"/>
          <w:szCs w:val="17"/>
          <w:color w:val="auto"/>
        </w:rPr>
      </w:pPr>
    </w:p>
    <w:p>
      <w:pPr>
        <w:ind w:left="660" w:hanging="330"/>
        <w:spacing w:after="0" w:line="339"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71" w:lineRule="exact"/>
        <w:rPr>
          <w:rFonts w:ascii="Arial" w:cs="Arial" w:eastAsia="Arial" w:hAnsi="Arial"/>
          <w:sz w:val="16"/>
          <w:szCs w:val="16"/>
          <w:color w:val="auto"/>
        </w:rPr>
      </w:pPr>
    </w:p>
    <w:p>
      <w:pPr>
        <w:jc w:val="both"/>
        <w:ind w:left="660" w:hanging="330"/>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128" w:lineRule="exact"/>
        <w:rPr>
          <w:rFonts w:ascii="Arial" w:cs="Arial" w:eastAsia="Arial" w:hAnsi="Arial"/>
          <w:sz w:val="18"/>
          <w:szCs w:val="18"/>
          <w:color w:val="auto"/>
        </w:rPr>
      </w:pPr>
    </w:p>
    <w:p>
      <w:pPr>
        <w:ind w:left="660" w:right="2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past, existing or new laws, rules and regulations, or to obtain and maintain required licenses, could materially and adversely affect our business, financial condition and results of operations.</w:t>
      </w:r>
    </w:p>
    <w:p>
      <w:pPr>
        <w:spacing w:after="0" w:line="116" w:lineRule="exact"/>
        <w:rPr>
          <w:rFonts w:ascii="Arial" w:cs="Arial" w:eastAsia="Arial" w:hAnsi="Arial"/>
          <w:sz w:val="18"/>
          <w:szCs w:val="18"/>
          <w:color w:val="auto"/>
        </w:rPr>
      </w:pPr>
    </w:p>
    <w:p>
      <w:pPr>
        <w:jc w:val="both"/>
        <w:ind w:left="660" w:hanging="330"/>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128" w:lineRule="exact"/>
        <w:rPr>
          <w:rFonts w:ascii="Arial" w:cs="Arial" w:eastAsia="Arial" w:hAnsi="Arial"/>
          <w:sz w:val="18"/>
          <w:szCs w:val="18"/>
          <w:color w:val="auto"/>
        </w:rPr>
      </w:pPr>
    </w:p>
    <w:p>
      <w:pPr>
        <w:ind w:left="660" w:right="20" w:hanging="330"/>
        <w:spacing w:after="0" w:line="30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94" w:lineRule="exact"/>
        <w:rPr>
          <w:rFonts w:ascii="Arial" w:cs="Arial" w:eastAsia="Arial" w:hAnsi="Arial"/>
          <w:sz w:val="17"/>
          <w:szCs w:val="17"/>
          <w:color w:val="auto"/>
        </w:rPr>
      </w:pPr>
    </w:p>
    <w:p>
      <w:pPr>
        <w:ind w:left="660" w:right="2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effective tax rates or adverse outcomes resulting from examination of our income or other tax returns could adversely affect our operating results and financial condition.</w:t>
      </w:r>
    </w:p>
    <w:p>
      <w:pPr>
        <w:spacing w:after="0" w:line="116" w:lineRule="exact"/>
        <w:rPr>
          <w:rFonts w:ascii="Arial" w:cs="Arial" w:eastAsia="Arial" w:hAnsi="Arial"/>
          <w:sz w:val="18"/>
          <w:szCs w:val="18"/>
          <w:color w:val="auto"/>
        </w:rPr>
      </w:pPr>
    </w:p>
    <w:p>
      <w:pPr>
        <w:ind w:left="640" w:hanging="31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and certain other tax attributes may be limited.</w:t>
      </w:r>
    </w:p>
    <w:p>
      <w:pPr>
        <w:spacing w:after="0" w:line="169"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become subject to intellectual property disputes, which are costly and may subject us to significant liability and increased costs of doing business.</w:t>
      </w:r>
    </w:p>
    <w:p>
      <w:pPr>
        <w:spacing w:after="0" w:line="116"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116"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ordinary course of business, we are party to litigation involving contract, intellectual property and a variety of other claims, which could adversely affect our business and financial condition.</w:t>
      </w:r>
    </w:p>
    <w:p>
      <w:pPr>
        <w:spacing w:after="0" w:line="116"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30"/>
        <w:spacing w:after="0" w:line="27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116"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operating results, quarter to quarter earnings and other factors may result in significant decreases in the price of our common stock.</w:t>
      </w:r>
    </w:p>
    <w:p>
      <w:pPr>
        <w:spacing w:after="0" w:line="116"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holder of our common stock owns a substantial portion of our outstanding common stock, which concentrates voting control and limits your ability to influence corporate matters.</w:t>
      </w:r>
    </w:p>
    <w:p>
      <w:pPr>
        <w:spacing w:after="0" w:line="116"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results fluctuate as a result of seasonality, which may make it difficult to predict our future performance and may adversely affect our common stock price.</w:t>
      </w:r>
    </w:p>
    <w:p>
      <w:pPr>
        <w:spacing w:after="0" w:line="116"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conditional conversion feature of our outstanding convertible senior notes, if triggered, may adversely affect our financial condition and operating results.</w:t>
      </w:r>
    </w:p>
    <w:p>
      <w:pPr>
        <w:spacing w:after="0" w:line="116" w:lineRule="exact"/>
        <w:rPr>
          <w:rFonts w:ascii="Arial" w:cs="Arial" w:eastAsia="Arial" w:hAnsi="Arial"/>
          <w:sz w:val="18"/>
          <w:szCs w:val="18"/>
          <w:color w:val="auto"/>
        </w:rPr>
      </w:pPr>
    </w:p>
    <w:p>
      <w:pPr>
        <w:ind w:left="660" w:hanging="330"/>
        <w:spacing w:after="0" w:line="305"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94" w:lineRule="exact"/>
        <w:rPr>
          <w:rFonts w:ascii="Arial" w:cs="Arial" w:eastAsia="Arial" w:hAnsi="Arial"/>
          <w:sz w:val="17"/>
          <w:szCs w:val="17"/>
          <w:color w:val="auto"/>
        </w:rPr>
      </w:pPr>
    </w:p>
    <w:p>
      <w:pPr>
        <w:ind w:left="640" w:hanging="31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hedge and warrant transactions may affect the value of the Notes and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19" w:lineRule="exact"/>
        <w:rPr>
          <w:sz w:val="20"/>
          <w:szCs w:val="20"/>
          <w:color w:val="auto"/>
        </w:rPr>
      </w:pPr>
    </w:p>
    <w:p>
      <w:pPr>
        <w:jc w:val="both"/>
        <w:ind w:firstLine="323"/>
        <w:spacing w:after="0" w:line="268" w:lineRule="auto"/>
        <w:rPr>
          <w:sz w:val="20"/>
          <w:szCs w:val="20"/>
          <w:color w:val="auto"/>
        </w:rPr>
      </w:pPr>
      <w:r>
        <w:rPr>
          <w:rFonts w:ascii="Arial" w:cs="Arial" w:eastAsia="Arial" w:hAnsi="Arial"/>
          <w:sz w:val="17"/>
          <w:szCs w:val="17"/>
          <w:color w:val="auto"/>
        </w:rPr>
        <w:t>LendingTree, Inc. (“LendingTree”, the “Company”, “we” or “us”) operates what we believe to be the leading online consumer platform that connects consumers with the choices they need to be confident in their financial decisions. Through multiple branded marketplaces, LendingTree empowers consumers to shop for financial services the same way they would shop for airline tickets or hotel stays, comparing multiple offers from a nationwide network of over 600 partners (which we refer to as “Network Partners”) in one simple search, and choose the option that best fits their financial needs. Services include mortgage loans, mortgage refinances, home equity loans and lines of credit, auto loans, credit cards, deposit accounts, personal loans, student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believe our platform, consisting of a deep network of Network Partners across a broad array of financial products, differentiates us from other loan or insurance comparison-shopping marketplaces which may focus on fewer product offerings or partner with fewer service providers.</w:t>
      </w:r>
    </w:p>
    <w:p>
      <w:pPr>
        <w:spacing w:after="0" w:line="75"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Our strategically designed and executed advertising and marketing campaigns (which we refer to as “performance marketing”) span a wide array of digital and traditional media acquisition channels and promote our LendingTree and other brands and product offerings. Our marketing efforts are designed to attract consumers to our websites, mobile applications and toll-free telephone numbers. Interested consumers complete inquiry forms, providing detailed information about themselves and the loans or other offerings they are seeking. We refer to such consumer inquiries as “consumer requests”. We then match these consumer requests with Network Partners in our marketplace that are seeking to serve these consumers' needs. We generate revenue from our Network Partners, generally at the time of transmitting a consumer request to them, in the form of a match fee. In certain instances outside our mortgage business, we charge other kinds of fees, such as closed loan or closed sale fees. In addition to our primary consumer request data referral business, we also match consumers with Network Partners by offering consumers the ability to click from our website to a Network Partner’s website or by calls for which Network Partners pay either front-end or back-end fees.</w:t>
      </w:r>
    </w:p>
    <w:p>
      <w:pPr>
        <w:spacing w:after="0" w:line="71"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We are continually working to improve the consumer experience. We have made investments in technologically-adept personnel and we use in-market real-time testing to improve our digital platforms. Additionally, we work with our Network Partners, including providing training and other resources, to improve the consumer experience throughout the process. Further, we have been building and improving our MyLendingTree platform, which provides a relationship-based consumer experience, rather than just a transaction-based experience.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and Future Growth of Our Business</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At its inception, our original business was to serve consumers seeking home mortgage loans by matching them with various lenders. We launched the LendingTree brand nationally in 1998 and, over the last twenty-plus years, we have invested significantly in this brand to gain widespread consumer recognition.</w:t>
      </w:r>
    </w:p>
    <w:p>
      <w:pPr>
        <w:spacing w:after="0" w:line="7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Since 2012, we have actively sought to expand the suite of financial services offerings we provide to consumers, in order to both leverage the applicability of the LendingTree brand as well as more fully serve the needs of consumers and Network Partners. We believe that consumers with existing LendingTree-branded associations will be more likely to utilize our other service offerings than those of other providers whose brands consumers may not recognize.</w:t>
      </w:r>
    </w:p>
    <w:p>
      <w:pPr>
        <w:spacing w:after="0" w:line="77" w:lineRule="exact"/>
        <w:rPr>
          <w:sz w:val="20"/>
          <w:szCs w:val="20"/>
          <w:color w:val="auto"/>
        </w:rPr>
      </w:pPr>
    </w:p>
    <w:p>
      <w:pPr>
        <w:jc w:val="both"/>
        <w:ind w:firstLine="323"/>
        <w:spacing w:after="0" w:line="310" w:lineRule="auto"/>
        <w:rPr>
          <w:sz w:val="20"/>
          <w:szCs w:val="20"/>
          <w:color w:val="auto"/>
        </w:rPr>
      </w:pPr>
      <w:r>
        <w:rPr>
          <w:rFonts w:ascii="Arial" w:cs="Arial" w:eastAsia="Arial" w:hAnsi="Arial"/>
          <w:sz w:val="16"/>
          <w:szCs w:val="16"/>
          <w:color w:val="auto"/>
        </w:rPr>
        <w:t>Our MyLendingTree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have at a given point in time. This is designed to provide consumers with measurable savings opportunities over their lifetime.</w:t>
      </w:r>
    </w:p>
    <w:p>
      <w:pPr>
        <w:spacing w:after="0" w:line="40"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18"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financial services consumers will continue to move towards online shopping and transactions in response to which suppliers will increasingly shift their product offerings and advertising budgets toward the online channel. We believe the strength of our brands and of our Network Partners places us in a strong position to continue to benefit from this market shift.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 &amp; Investments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In January 2022, we acquired an equity interest in EarnUp Inc. (“EarnUp”). EarnUp is a consumer-first payment platform that intelligently automates loan payment scheduling and helps consumers better manage their money and improve their financial well-being.</w:t>
      </w:r>
    </w:p>
    <w:p>
      <w:pPr>
        <w:spacing w:after="0" w:line="6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In February 2020, we acquired an equity interest in Stash Financial, Inc. (“Stash”). Stash is a consumer investing and banking platform. Stash brings together banking, investing, and financial services education into one seamless experience offering a full suite of personal investment accounts, traditional and Roth investment retirement accounts (“IRAs”), custodial investment accounts, and banking services, including checking accounts and debit cards with a Stock-Back® rewards program.</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investments continue our diversification strategy.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19"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significantly impacted the economic conditions in the U.S., as federal, state and local governments reacted to the public health crisis, creating significant uncertainties in the U.S. economy. The downstream impact of various lockdown orders and related economic pullback affected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6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Of our three reportable segments, our Consumer segment was impacted the most as unsecured credit and the flow of capital in certain areas of the market contracted. The impact to our Home and Insurance segments was much less substantial. We believe our three reportable segments have generally recovered from the impacts of the pandemic. Most of our selling and marketing expenses are variable costs that we adjust dynamically in relation to revenue opportunities to profitably meet demand. Thus, as our revenue was negatively impacted during the recession, our marketing expenses generally decreased in line with revenue.</w:t>
      </w:r>
    </w:p>
    <w:p>
      <w:pPr>
        <w:spacing w:after="0" w:line="83"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During 2022, the challenging interest rate environment and persistent inflationary pressures have presented additional challenges for many of our mortgage lending and insurance partners. We have seen the most significant impact in our Home segment as mortgage rates have nearly doubled in 2022, causing a sharp decline in refinance volumes and more recent pressure on purchase activity. Although our Insurance segment continues to rebound from the trough in the fourth quarter of 2021, the recovery has been slower than expected as demand from our carrier partners remains volatile as premium increases continue to chase inflation. In addition, the auto and home insurance industry was impacted in 2022 by persistent industry headwinds, supply chain issues, rising accident severity and frequency, and hurricane losses.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19"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Our Home segment includes the following products: purchase mortgage, refinance mortgage, home equity loans and lines of credit, and real estate. Our Consumer segment includes the following products: credit cards, personal loans, small business loans, student loans, auto loans, deposit accounts, and other credit products such as credit repair and debt settlement. We ceased offering reverse mortgage loans on our marketplace in the fourth quarter of 2022. Our Insurance segment consists of insurance quote products and insurance policies in our agency businesses. Revenue within the “other” category below includes revenue from the resale of online advertising space to third parties. We ceased reselling online advertising space during the first quarter of 2020.</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Segment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4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2"/>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289,383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441,738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320,992</w:t>
            </w:r>
          </w:p>
        </w:tc>
      </w:tr>
      <w:tr>
        <w:trPr>
          <w:trHeight w:val="228"/>
        </w:trPr>
        <w:tc>
          <w:tcPr>
            <w:tcW w:w="6880" w:type="dxa"/>
            <w:vAlign w:val="bottom"/>
          </w:tcPr>
          <w:p>
            <w:pPr>
              <w:ind w:left="20"/>
              <w:spacing w:after="0"/>
              <w:rPr>
                <w:sz w:val="20"/>
                <w:szCs w:val="20"/>
                <w:color w:val="auto"/>
              </w:rPr>
            </w:pPr>
            <w:r>
              <w:rPr>
                <w:rFonts w:ascii="Arial" w:cs="Arial" w:eastAsia="Arial" w:hAnsi="Arial"/>
                <w:sz w:val="18"/>
                <w:szCs w:val="18"/>
                <w:color w:val="auto"/>
              </w:rPr>
              <w:t>Consumer</w:t>
            </w: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396,109</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329,945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253,198</w:t>
            </w:r>
          </w:p>
        </w:tc>
      </w:tr>
      <w:tr>
        <w:trPr>
          <w:trHeight w:val="228"/>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299,073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326,153</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333,765</w:t>
            </w:r>
          </w:p>
        </w:tc>
      </w:tr>
      <w:tr>
        <w:trPr>
          <w:trHeight w:val="235"/>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427</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663</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r>
      <w:tr>
        <w:trPr>
          <w:trHeight w:val="235"/>
        </w:trPr>
        <w:tc>
          <w:tcPr>
            <w:tcW w:w="6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984,992</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1,098,499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909,990</w:t>
            </w:r>
          </w:p>
        </w:tc>
      </w:tr>
    </w:tbl>
    <w:p>
      <w:pPr>
        <w:spacing w:after="0" w:line="187"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LendingTree does not charge consumers for the use of our services, except for credit repair services. Revenues from our Home products are mostly derived from upfront match fees paid by Network Partners that receive a consumer request, and in some cases upfront fees for clicks or call transfers. Because a given consumer request form can be matched with more than one Network Partner, up to five match fees may be generated from a single consumer request form. Revenues from our Consumer products are generally derived from upfront match fees paid on delivery of a consumer request, click or call and closed loan fees. For our credit card product, we send click traffic to issuers and are generally paid per card approval. Revenues from our Insurance products are primarily derived from upfront match fees, and upfront fees for website clicks or fees for calls, earned through the delivery of consumer requests, as well as commissions earned on policy sales in our agency businesses.</w:t>
      </w:r>
    </w:p>
    <w:p>
      <w:pPr>
        <w:spacing w:after="0" w:line="73" w:lineRule="exact"/>
        <w:rPr>
          <w:sz w:val="20"/>
          <w:szCs w:val="20"/>
          <w:color w:val="auto"/>
        </w:rPr>
      </w:pPr>
    </w:p>
    <w:p>
      <w:pPr>
        <w:jc w:val="both"/>
        <w:ind w:right="20" w:firstLine="323"/>
        <w:spacing w:after="0" w:line="262" w:lineRule="auto"/>
        <w:rPr>
          <w:sz w:val="20"/>
          <w:szCs w:val="20"/>
          <w:color w:val="auto"/>
        </w:rPr>
      </w:pPr>
      <w:r>
        <w:rPr>
          <w:rFonts w:ascii="Arial" w:cs="Arial" w:eastAsia="Arial" w:hAnsi="Arial"/>
          <w:sz w:val="18"/>
          <w:szCs w:val="18"/>
          <w:color w:val="auto"/>
        </w:rPr>
        <w:t>For the years ended December 31, 2022 and 2021, no Network Partners accounted for more than 10% of total consolidated revenue. For the year ended December 31, 2020, one Network Partner, Progressive Casualty Insurance, accounted for 15% of total consolidated revenue, all of which was recorded within our Insurance segment.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 Segment</w:t>
      </w:r>
    </w:p>
    <w:p>
      <w:pPr>
        <w:spacing w:after="0" w:line="115"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w:t>
      </w:r>
    </w:p>
    <w:p>
      <w:pPr>
        <w:spacing w:after="0" w:line="8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Consumers seeking purchase or refinance mortgages through our loan marketplace can receive multiple conditional loan offers from participating lenders in response to a single consumer request form. We refer to the process by which we match consumers and Network Partners as the “matching process”. This matching process consists of the following steps:</w:t>
      </w:r>
    </w:p>
    <w:p>
      <w:pPr>
        <w:spacing w:after="0" w:line="71" w:lineRule="exact"/>
        <w:rPr>
          <w:sz w:val="20"/>
          <w:szCs w:val="20"/>
          <w:color w:val="auto"/>
        </w:rPr>
      </w:pPr>
    </w:p>
    <w:p>
      <w:pPr>
        <w:ind w:left="660" w:hanging="330"/>
        <w:spacing w:after="0" w:line="280" w:lineRule="auto"/>
        <w:tabs>
          <w:tab w:leader="none" w:pos="65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Consumer Request. </w:t>
      </w:r>
      <w:r>
        <w:rPr>
          <w:rFonts w:ascii="Arial" w:cs="Arial" w:eastAsia="Arial" w:hAnsi="Arial"/>
          <w:sz w:val="18"/>
          <w:szCs w:val="18"/>
          <w:color w:val="auto"/>
        </w:rPr>
        <w:t>Consumers complete a single request form with information regarding the type of mortgage loan product they are seeking,</w:t>
      </w:r>
      <w:r>
        <w:rPr>
          <w:rFonts w:ascii="Arial" w:cs="Arial" w:eastAsia="Arial" w:hAnsi="Arial"/>
          <w:sz w:val="18"/>
          <w:szCs w:val="18"/>
          <w:b w:val="1"/>
          <w:bCs w:val="1"/>
          <w:color w:val="auto"/>
        </w:rPr>
        <w:t xml:space="preserve"> </w:t>
      </w:r>
      <w:r>
        <w:rPr>
          <w:rFonts w:ascii="Arial" w:cs="Arial" w:eastAsia="Arial" w:hAnsi="Arial"/>
          <w:sz w:val="18"/>
          <w:szCs w:val="18"/>
          <w:color w:val="auto"/>
        </w:rPr>
        <w:t>loan preferences and other data. Consumers also consent to a soft inquiry regarding their credit.</w:t>
      </w:r>
    </w:p>
    <w:p>
      <w:pPr>
        <w:spacing w:after="0" w:line="54" w:lineRule="exact"/>
        <w:rPr>
          <w:rFonts w:ascii="Arial" w:cs="Arial" w:eastAsia="Arial" w:hAnsi="Arial"/>
          <w:sz w:val="18"/>
          <w:szCs w:val="18"/>
          <w:b w:val="1"/>
          <w:bCs w:val="1"/>
          <w:color w:val="auto"/>
        </w:rPr>
      </w:pPr>
    </w:p>
    <w:p>
      <w:pPr>
        <w:jc w:val="both"/>
        <w:ind w:left="660" w:hanging="330"/>
        <w:spacing w:after="0" w:line="312" w:lineRule="auto"/>
        <w:tabs>
          <w:tab w:leader="none" w:pos="65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Consumer Request Form Matching and Transmission. </w:t>
      </w:r>
      <w:r>
        <w:rPr>
          <w:rFonts w:ascii="Arial" w:cs="Arial" w:eastAsia="Arial" w:hAnsi="Arial"/>
          <w:sz w:val="16"/>
          <w:szCs w:val="16"/>
          <w:color w:val="auto"/>
        </w:rPr>
        <w:t>Our proprietary systems and technology match a given consumer's request form data,</w:t>
      </w:r>
      <w:r>
        <w:rPr>
          <w:rFonts w:ascii="Arial" w:cs="Arial" w:eastAsia="Arial" w:hAnsi="Arial"/>
          <w:sz w:val="16"/>
          <w:szCs w:val="16"/>
          <w:b w:val="1"/>
          <w:bCs w:val="1"/>
          <w:color w:val="auto"/>
        </w:rPr>
        <w:t xml:space="preserve"> </w:t>
      </w:r>
      <w:r>
        <w:rPr>
          <w:rFonts w:ascii="Arial" w:cs="Arial" w:eastAsia="Arial" w:hAnsi="Arial"/>
          <w:sz w:val="16"/>
          <w:szCs w:val="16"/>
          <w:color w:val="auto"/>
        </w:rPr>
        <w:t>credit profile and geographic location against certain pre-established criteria of Network Partners, which may be modified from time to time. Once a given request passes through the matching process, the request is automatically transmitted to up to five participating Network Partners.</w:t>
      </w:r>
    </w:p>
    <w:p>
      <w:pPr>
        <w:spacing w:after="0" w:line="34" w:lineRule="exact"/>
        <w:rPr>
          <w:rFonts w:ascii="Arial" w:cs="Arial" w:eastAsia="Arial" w:hAnsi="Arial"/>
          <w:sz w:val="16"/>
          <w:szCs w:val="16"/>
          <w:b w:val="1"/>
          <w:bCs w:val="1"/>
          <w:color w:val="auto"/>
        </w:rPr>
      </w:pPr>
    </w:p>
    <w:p>
      <w:pPr>
        <w:ind w:left="660" w:hanging="330"/>
        <w:spacing w:after="0" w:line="280" w:lineRule="auto"/>
        <w:tabs>
          <w:tab w:leader="none" w:pos="65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Evaluation and Response. </w:t>
      </w:r>
      <w:r>
        <w:rPr>
          <w:rFonts w:ascii="Arial" w:cs="Arial" w:eastAsia="Arial" w:hAnsi="Arial"/>
          <w:sz w:val="18"/>
          <w:szCs w:val="18"/>
          <w:color w:val="auto"/>
        </w:rPr>
        <w:t>Network Partners that receive a consumer request form evaluate the information contained in it to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to make a conditional loan offer.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60" w:hanging="330"/>
        <w:spacing w:after="0" w:line="287" w:lineRule="auto"/>
        <w:tabs>
          <w:tab w:leader="none" w:pos="65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Communication of a Conditional Offer. </w:t>
      </w:r>
      <w:r>
        <w:rPr>
          <w:rFonts w:ascii="Arial" w:cs="Arial" w:eastAsia="Arial" w:hAnsi="Arial"/>
          <w:sz w:val="17"/>
          <w:szCs w:val="17"/>
          <w:color w:val="auto"/>
        </w:rPr>
        <w:t>All matched Network Partners and any conditional offers are presented to the consumer upon</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the consumer request form. Consumers can return to the site and view their offer(s) at any time by logging in to their MyLendingTree profile. Additionally, matched lenders and offers are also sent to the email address associated with the consumer request.</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offer consumers other mortgage products such as:</w:t>
      </w:r>
    </w:p>
    <w:p>
      <w:pPr>
        <w:spacing w:after="0" w:line="115" w:lineRule="exact"/>
        <w:rPr>
          <w:sz w:val="20"/>
          <w:szCs w:val="20"/>
          <w:color w:val="auto"/>
        </w:rPr>
      </w:pPr>
    </w:p>
    <w:p>
      <w:pPr>
        <w:ind w:left="640" w:hanging="310"/>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alternative matching process, which provides them with lender contact information rather than conditional offers from Network Partners.</w:t>
      </w:r>
    </w:p>
    <w:p>
      <w:pPr>
        <w:spacing w:after="0" w:line="127" w:lineRule="exact"/>
        <w:rPr>
          <w:rFonts w:ascii="Arial" w:cs="Arial" w:eastAsia="Arial" w:hAnsi="Arial"/>
          <w:sz w:val="17"/>
          <w:szCs w:val="17"/>
          <w:color w:val="auto"/>
        </w:rPr>
      </w:pPr>
    </w:p>
    <w:p>
      <w:pPr>
        <w:ind w:left="660" w:hanging="330"/>
        <w:spacing w:after="0" w:line="275" w:lineRule="auto"/>
        <w:tabs>
          <w:tab w:leader="none" w:pos="652" w:val="left"/>
        </w:tabs>
        <w:numPr>
          <w:ilvl w:val="0"/>
          <w:numId w:val="7"/>
        </w:numPr>
        <w:rPr>
          <w:rFonts w:ascii="Arial" w:cs="Arial" w:eastAsia="Arial" w:hAnsi="Arial"/>
          <w:sz w:val="17"/>
          <w:szCs w:val="17"/>
          <w:b w:val="1"/>
          <w:bCs w:val="1"/>
          <w:color w:val="auto"/>
        </w:rPr>
      </w:pPr>
      <w:r>
        <w:rPr>
          <w:rFonts w:ascii="Arial" w:cs="Arial" w:eastAsia="Arial" w:hAnsi="Arial"/>
          <w:sz w:val="18"/>
          <w:szCs w:val="18"/>
          <w:color w:val="auto"/>
        </w:rPr>
        <w:t>A “rate table” loan marketplace, where consumers can enter their loan and credit profile and dynamically view real-time rates or other relevant information from lenders without entering their contact information.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offer matches to providers of other Home lending products on our online marketplace include the following:</w:t>
      </w:r>
    </w:p>
    <w:p>
      <w:pPr>
        <w:spacing w:after="0" w:line="115" w:lineRule="exact"/>
        <w:rPr>
          <w:sz w:val="20"/>
          <w:szCs w:val="20"/>
          <w:color w:val="auto"/>
        </w:rPr>
      </w:pPr>
    </w:p>
    <w:p>
      <w:pPr>
        <w:jc w:val="both"/>
        <w:ind w:left="660" w:hanging="330"/>
        <w:spacing w:after="0" w:line="310"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Home equity loans and lines of credit, which enable home 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39" w:lineRule="exact"/>
        <w:rPr>
          <w:rFonts w:ascii="Arial" w:cs="Arial" w:eastAsia="Arial" w:hAnsi="Arial"/>
          <w:sz w:val="16"/>
          <w:szCs w:val="16"/>
          <w:color w:val="auto"/>
        </w:rPr>
      </w:pPr>
    </w:p>
    <w:p>
      <w:pPr>
        <w:ind w:left="660" w:right="20" w:hanging="330"/>
        <w:spacing w:after="0" w:line="27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Reverse mortgage loans, which were loan products available to qualifying homeowners age 62 or older. We ceased offering matches to providers of reverse mortgage loans in the fourth quarter of 2022.</w:t>
      </w:r>
    </w:p>
    <w:p>
      <w:pPr>
        <w:spacing w:after="0" w:line="6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In addition, we offer real estate brokerage services, through which consumers are matched with local realtors who can assist them in their home purchase or sale efforts. We generate revenue from real estate brokerage services through match fees paid to us by real estate brokers participating in our online marketplace.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Consumer Segment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Consumer lending products on our online marketplace include information, tools and access to multiple conditional loan offers for the following:</w:t>
      </w:r>
    </w:p>
    <w:p>
      <w:pPr>
        <w:spacing w:after="0" w:line="127" w:lineRule="exact"/>
        <w:rPr>
          <w:sz w:val="20"/>
          <w:szCs w:val="20"/>
          <w:color w:val="auto"/>
        </w:rPr>
      </w:pPr>
    </w:p>
    <w:p>
      <w:pPr>
        <w:ind w:left="660" w:right="20" w:hanging="330"/>
        <w:spacing w:after="0" w:line="27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Auto, which includes our auto refinance and purchase loan products. Auto loans enable consumers to purchase new or used vehicles or refinance an existing loan secured by an automobile.</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cards, which include offerings from most major card issuers.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Personal loans, which are typically unsecured obligations generally carrying shorter terms and smaller loan amounts than home mortgages.</w:t>
      </w:r>
    </w:p>
    <w:p>
      <w:pPr>
        <w:spacing w:after="0" w:line="127" w:lineRule="exact"/>
        <w:rPr>
          <w:rFonts w:ascii="Arial" w:cs="Arial" w:eastAsia="Arial" w:hAnsi="Arial"/>
          <w:sz w:val="17"/>
          <w:szCs w:val="17"/>
          <w:color w:val="auto"/>
        </w:rPr>
      </w:pPr>
    </w:p>
    <w:p>
      <w:pPr>
        <w:ind w:left="660" w:hanging="330"/>
        <w:spacing w:after="0" w:line="27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Small business loans, which include a broad array of financing types, including, but not limited to, loans secured by working capital, equipment, real estate and other forms of financing, provided to small and medium-sized businesses.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Student loans, which includes both new loans to finance education and related expenses, as well as refinancing of existing loans.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Non-lending Consumer products also includes information, tools and access to the following:</w:t>
      </w:r>
    </w:p>
    <w:p>
      <w:pPr>
        <w:spacing w:after="0" w:line="115" w:lineRule="exact"/>
        <w:rPr>
          <w:sz w:val="20"/>
          <w:szCs w:val="20"/>
          <w:color w:val="auto"/>
        </w:rPr>
      </w:pPr>
    </w:p>
    <w:p>
      <w:pPr>
        <w:ind w:left="640" w:hanging="310"/>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Deposit accounts, through which consumers can access depository deals and analysis covering all major deposit product categories.</w:t>
      </w:r>
    </w:p>
    <w:p>
      <w:pPr>
        <w:spacing w:after="0" w:line="115" w:lineRule="exact"/>
        <w:rPr>
          <w:rFonts w:ascii="Arial" w:cs="Arial" w:eastAsia="Arial" w:hAnsi="Arial"/>
          <w:sz w:val="18"/>
          <w:szCs w:val="18"/>
          <w:color w:val="auto"/>
        </w:rPr>
      </w:pPr>
    </w:p>
    <w:p>
      <w:pPr>
        <w:jc w:val="both"/>
        <w:ind w:left="660" w:hanging="330"/>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repair, through which consumers can obtain assistance improving their credit profiles, in order to expand and improve loan and other financial product opportunities available to them. Our Ovation business is a leading provider of credit services with a strong customer service reputation.</w:t>
      </w:r>
    </w:p>
    <w:p>
      <w:pPr>
        <w:spacing w:after="0" w:line="74" w:lineRule="exact"/>
        <w:rPr>
          <w:rFonts w:ascii="Arial" w:cs="Arial" w:eastAsia="Arial" w:hAnsi="Arial"/>
          <w:sz w:val="18"/>
          <w:szCs w:val="18"/>
          <w:color w:val="auto"/>
        </w:rPr>
      </w:pPr>
    </w:p>
    <w:p>
      <w:pPr>
        <w:ind w:left="640" w:hanging="310"/>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relief services, through which consumers can obtain assistance negotiating existing loans.</w:t>
      </w:r>
    </w:p>
    <w:p>
      <w:pPr>
        <w:spacing w:after="0" w:line="11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We refer to the various purchasers of leads from our other marketplaces as lead purchasers. We generate revenue from the deposit account product from a consumer clicking from our website through to a financial institution's website. We generate revenue from credit repair and debt relief services through subscription fees from consumers that enroll in our credit repair product, or a fee for a customer referral to a service provider partner or through a fee at the time a consumer enrolls in a program with one of our Network Partners.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Segment</w:t>
      </w:r>
    </w:p>
    <w:p>
      <w:pPr>
        <w:spacing w:after="0" w:line="115"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Our Insurance segment includes information, tools and access to insurance quote products, including automobile, home, health and Medicare, through which consumers are matched with insurance lead aggregators to obtain insurance offers, as well as insurance policies in our agency businesses. Our QuoteWizard business is one of the largest insurance comparison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marketplaces in the growing online insurance advertising market. ValuePenguin, a personal finance website that offers consumers objective analysis on a variety of financial topics from insurance to credit cards, is also part of our Insurance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Products</w:t>
      </w:r>
    </w:p>
    <w:p>
      <w:pPr>
        <w:spacing w:after="0" w:line="115" w:lineRule="exact"/>
        <w:rPr>
          <w:sz w:val="20"/>
          <w:szCs w:val="20"/>
          <w:color w:val="auto"/>
        </w:rPr>
      </w:pPr>
    </w:p>
    <w:p>
      <w:pPr>
        <w:jc w:val="both"/>
        <w:ind w:firstLine="323"/>
        <w:spacing w:after="0" w:line="305" w:lineRule="auto"/>
        <w:rPr>
          <w:sz w:val="20"/>
          <w:szCs w:val="20"/>
          <w:color w:val="auto"/>
        </w:rPr>
      </w:pPr>
      <w:r>
        <w:rPr>
          <w:rFonts w:ascii="Arial" w:cs="Arial" w:eastAsia="Arial" w:hAnsi="Arial"/>
          <w:sz w:val="17"/>
          <w:szCs w:val="17"/>
          <w:color w:val="auto"/>
        </w:rPr>
        <w:t>Other products not included in the Home, Consumer and Insurance segments included revenue earned through resale of online advertising space to third parties is also classified in other products. Effective in the first quarter of 2020, we no longer resell online advertising space.</w:t>
      </w:r>
    </w:p>
    <w:p>
      <w:pPr>
        <w:spacing w:after="0" w:line="41"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We intend to continue adding new offerings for consumers, small businesses and Network Partners on our online marketplace, in order to grow and diversify our sources of revenue. We may develop such new offerings through internal product development efforts, strategic business relationships with third parties and/or acquisitions.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9"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Revenue in our Home segment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2008-2009 financial crisis and related recession as well as the economic conditions related to the COVID-19 pandemic, have impacted customary seasonal trends.</w:t>
      </w:r>
    </w:p>
    <w:p>
      <w:pPr>
        <w:spacing w:after="0" w:line="48"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We anticipate revenue in our newer products, primarily within the Consumer segment, to be cyclical as well; however, we have limited historical data to predict the nature and magnitude of this cyclicality. Based on industry data, we anticipate that as our personal loan product matures we will 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businesses include macro factors such as credit availability in the market, interest rates, the strength of the economy and employment.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Our businesses compete with other online marketing companies, including online intermediaries that operate network-type arrangements. We also face competition from lenders and insurance agents that source consumers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LendingTree, LLC also owns several companies. LendingTree, Inc. was incorporated in the state of Delaware in June 1996 and commenced nationwide operations in July 1998.</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May 2003, IAC/InterActiveCorp (“IAC”) acquired LendingTree, LLC, which at the time of the acquisition was known as LendingTree,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acquisition, in December 2004, IAC converted LendingTree, Inc. to a Delaware limited liability company, LendingTree, LLC.</w:t>
      </w:r>
    </w:p>
    <w:p>
      <w:pPr>
        <w:spacing w:after="0" w:line="101"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In April 2008, IAC formed Tree.com, Inc. (now known as LendingTree, Inc.), a Delaware corporation, which held all of the ownership interests of LendingTree, LLC. In August 2008, Tree.com Inc., including its wholly-owned subsidiary, LendingTree, LLC, was spun off from IAC and became the separately publicly-traded company that we are today.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2015, we changed our name from Tree.com, Inc. to LendingTree,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119"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We market and provide services in heavily regulated industries through a number of different online and offline channels across the United States. As a result, we are subject to a variety of federal and state laws and regulations, including:</w:t>
      </w:r>
    </w:p>
    <w:p>
      <w:pPr>
        <w:spacing w:after="0" w:line="63" w:lineRule="exact"/>
        <w:rPr>
          <w:sz w:val="20"/>
          <w:szCs w:val="20"/>
          <w:color w:val="auto"/>
        </w:rPr>
      </w:pPr>
    </w:p>
    <w:p>
      <w:pPr>
        <w:jc w:val="both"/>
        <w:ind w:left="660" w:hanging="330"/>
        <w:spacing w:after="0" w:line="277" w:lineRule="auto"/>
        <w:tabs>
          <w:tab w:leader="none" w:pos="652" w:val="left"/>
        </w:tabs>
        <w:numPr>
          <w:ilvl w:val="0"/>
          <w:numId w:val="11"/>
        </w:numPr>
        <w:rPr>
          <w:rFonts w:ascii="Arial" w:cs="Arial" w:eastAsia="Arial" w:hAnsi="Arial"/>
          <w:sz w:val="16"/>
          <w:szCs w:val="16"/>
          <w:b w:val="1"/>
          <w:bCs w:val="1"/>
          <w:color w:val="auto"/>
        </w:rPr>
      </w:pPr>
      <w:r>
        <w:rPr>
          <w:rFonts w:ascii="Arial" w:cs="Arial" w:eastAsia="Arial" w:hAnsi="Arial"/>
          <w:sz w:val="17"/>
          <w:szCs w:val="17"/>
          <w:color w:val="auto"/>
        </w:rPr>
        <w:t>The Truth-in-Lending Act, the Equal Credit Opportunity Act, the Fair Credit Reporting Act, Fair and Accurate Credit Transactions Act of 2003 (“FACTA”), the Fair Housing Act, the Real Estate Settlement Procedures Act (“RESPA”), and similar state laws, all of which place certain restrictions on the manner in which consumer loans are marketed and originated, and some of which impose restrictions on the amount and nature of fees that may be charged to lenders and real estate professionals for providing or obtaining consumer loan requests.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30"/>
        <w:spacing w:after="0" w:line="27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which imposes, among other things, limitations on fees charged by mortgage lenders, and requirements related to mortgage disclosures.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licensing laws.</w:t>
      </w:r>
    </w:p>
    <w:p>
      <w:pPr>
        <w:spacing w:after="0" w:line="115" w:lineRule="exact"/>
        <w:rPr>
          <w:rFonts w:ascii="Arial" w:cs="Arial" w:eastAsia="Arial" w:hAnsi="Arial"/>
          <w:sz w:val="18"/>
          <w:szCs w:val="18"/>
          <w:color w:val="auto"/>
        </w:rPr>
      </w:pPr>
    </w:p>
    <w:p>
      <w:pPr>
        <w:jc w:val="both"/>
        <w:ind w:left="660" w:hanging="330"/>
        <w:spacing w:after="0" w:line="262" w:lineRule="auto"/>
        <w:tabs>
          <w:tab w:leader="none" w:pos="652" w:val="left"/>
        </w:tabs>
        <w:numPr>
          <w:ilvl w:val="0"/>
          <w:numId w:val="12"/>
        </w:numPr>
        <w:rPr>
          <w:rFonts w:ascii="Arial" w:cs="Arial" w:eastAsia="Arial" w:hAnsi="Arial"/>
          <w:sz w:val="17"/>
          <w:szCs w:val="17"/>
          <w:b w:val="1"/>
          <w:bCs w:val="1"/>
          <w:color w:val="auto"/>
        </w:rPr>
      </w:pPr>
      <w:r>
        <w:rPr>
          <w:rFonts w:ascii="Arial" w:cs="Arial" w:eastAsia="Arial" w:hAnsi="Arial"/>
          <w:sz w:val="18"/>
          <w:szCs w:val="18"/>
          <w:color w:val="auto"/>
        </w:rPr>
        <w:t>Federal and state laws, which impose restrictions on activities conducted through telephone, mail, email, mobile device or the Internet, including the Telemarketing Sales Rule (“TSR”), the Telephone Consumer Protection Act (“TCPA”), the Controlling the Assault of Non-Solicited Pornography and Marketing Act of 2003 (“CAN-SPAM”) and the Federal Trade Commission Act.</w:t>
      </w:r>
    </w:p>
    <w:p>
      <w:pPr>
        <w:spacing w:after="0" w:line="74" w:lineRule="exact"/>
        <w:rPr>
          <w:rFonts w:ascii="Arial" w:cs="Arial" w:eastAsia="Arial" w:hAnsi="Arial"/>
          <w:sz w:val="17"/>
          <w:szCs w:val="17"/>
          <w:b w:val="1"/>
          <w:bCs w:val="1"/>
          <w:color w:val="auto"/>
        </w:rPr>
      </w:pPr>
    </w:p>
    <w:p>
      <w:pPr>
        <w:ind w:left="660" w:hanging="330"/>
        <w:spacing w:after="0" w:line="305" w:lineRule="auto"/>
        <w:tabs>
          <w:tab w:leader="none" w:pos="652" w:val="left"/>
        </w:tabs>
        <w:numPr>
          <w:ilvl w:val="0"/>
          <w:numId w:val="12"/>
        </w:numPr>
        <w:rPr>
          <w:rFonts w:ascii="Arial" w:cs="Arial" w:eastAsia="Arial" w:hAnsi="Arial"/>
          <w:sz w:val="16"/>
          <w:szCs w:val="16"/>
          <w:b w:val="1"/>
          <w:bCs w:val="1"/>
          <w:color w:val="auto"/>
        </w:rPr>
      </w:pPr>
      <w:r>
        <w:rPr>
          <w:rFonts w:ascii="Arial" w:cs="Arial" w:eastAsia="Arial" w:hAnsi="Arial"/>
          <w:sz w:val="17"/>
          <w:szCs w:val="17"/>
          <w:color w:val="auto"/>
        </w:rPr>
        <w:t>Federal and state laws relating to offering of credit repair services to consumers, including such laws that impose restrictions on the usage and storage of consumer credit information such as the Credit Repair Organizations Act (“CROA”) and the Fair Credit Reporting Act.</w:t>
      </w:r>
    </w:p>
    <w:p>
      <w:pPr>
        <w:spacing w:after="0" w:line="40" w:lineRule="exact"/>
        <w:rPr>
          <w:rFonts w:ascii="Arial" w:cs="Arial" w:eastAsia="Arial" w:hAnsi="Arial"/>
          <w:sz w:val="16"/>
          <w:szCs w:val="16"/>
          <w:b w:val="1"/>
          <w:bCs w:val="1"/>
          <w:color w:val="auto"/>
        </w:rPr>
      </w:pPr>
    </w:p>
    <w:p>
      <w:pPr>
        <w:ind w:left="660" w:hanging="330"/>
        <w:spacing w:after="0" w:line="27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laws and regulations relating to data privacy and security, including the Gramm-Leach-Bliley Act (“GLBA”), which may impact how we collect, use, store, share and otherwise process personal information of consumers and other individuals.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Factors—Risks Related to Legal, Compliance and Regulations” for additional information and a discussion of our regulatory risks.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9"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We believe that our intellectual property and proprietary rights are vital to our success. To protect our intellectual property and proprietary rights in our brand, technology, products, services, data, improvements and inventions, we rely on a combination of patent, trademark, copyright, trade secret, and other laws, as well as contractual restrictions on disclosure, such as confidentiality agreements with strategic partners, employees, consultants and other third parties. However, we cannot guarantee that such laws or contractual restrictions will provide us with sufficient protection or that we have entered into confidentiality agreements with each party that has or may have had access to our confidential or proprietary information, know-how or trade secrets.</w:t>
      </w:r>
    </w:p>
    <w:p>
      <w:pPr>
        <w:spacing w:after="0" w:line="52"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As we develop or identify new or improved proprietary technologies, we seek patent protection in the United States and abroad, as appropriate. As of December 31, 2022, we owned one issued U.S. patent related to the system and method for collecting financial information over a global communications network, which expires in 2032. We also own one provisional U.S. patent related to systems and methods for optimizing software development and testing which expires in January 2024, at which time a non-provisional patent application will be filed.</w:t>
      </w:r>
    </w:p>
    <w:p>
      <w:pPr>
        <w:spacing w:after="0" w:line="65"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Many of our services are offered under proprietary trademarks and service marks. We believe that our LendingTree trademark, which is applied to all of our services, including our acquired businesses, creates positive responses in network partners and consumers. We generally apply to register or secure by contract our principal trademarks and service marks as they are developed and used. As of December 31, 2022, we owned 44 trademarks and service marks, 37 of which are registered with the United States Patent and Trademark Office (“USPTO”), and seven of which have applications pending with the USPTO but have not yet been registered. These registrations can typically be renewed at 10-year intervals.</w:t>
      </w:r>
    </w:p>
    <w:p>
      <w:pPr>
        <w:spacing w:after="0" w:line="67"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In addition, we reserve and register domain names when and where we deem appropriate. As of December 31, 2022, we owned approximately 1,500 registered domain names. We also have agreements with third parties that provide for the licensing of patented, copyrighted and other proprietary technology used in our business.</w:t>
      </w:r>
    </w:p>
    <w:p>
      <w:pPr>
        <w:spacing w:after="0" w:line="75"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Our success significantly depends on our ability to obtain, maintain, enforce and protect our intellectual property and proprietary rights and operate our business without infringing, misappropriating or otherwise violating any intellectual property or proprietary rights of third parties. However, there can be no assurance that our efforts will be successful. Even if our efforts are successful, we may incur significant costs in defending our intellectual property and proprietary rights or combatting allegations by third parties.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such as Uniform Domain Name Dispute Resolution, may be necessary for us to enforce our intellectual property rights, including our trade secrets, or to determine the validity and scope of intellectual property or proprietary rights claimed by others. See “Risk Factors” for a more comprehensive description of risks related to our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We are committed to investing in our employees, and nurturing an entrepreneurial and dynamic work environment. We achieve this through dedication to our core principles which include: building truly outstanding products, being open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candid, acting with urgency and creativity, taking charge, setting goals and being accountable, and committing to excellence. Employees are stockholders of the Company, allowing them to take charge and have a direct impact on company choices. We provide individual, career and leadership development opportunities to strengthen skills. We have implemented strong policies and practices to foster a safe and inclusive workplace allowing employees to develop and reach their full potential, and although our employees hold many values in common, our leadership team actively works to attract, develop, and retain talent from a range of backgrounds and experiences in order to benefit from diverse perspectives. The Company and our employees are committed to helping our communities thrive through a variety of Company-sponsored annual and ongoing community outreach efforts.</w:t>
      </w:r>
    </w:p>
    <w:p>
      <w:pPr>
        <w:spacing w:after="0" w:line="54"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As of December 31, 2022, we had 1,253 employees, of which approximately 1,240 are full-time and 13 are temporary or part-time. None of our employees are represented under collective bargaining agreements, and we consider our relations with employees and independent contractors to be good.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Website and Public Filings</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and an investor relations website at </w:t>
      </w:r>
      <w:r>
        <w:rPr>
          <w:rFonts w:ascii="Arial" w:cs="Arial" w:eastAsia="Arial" w:hAnsi="Arial"/>
          <w:sz w:val="18"/>
          <w:szCs w:val="18"/>
          <w:i w:val="1"/>
          <w:iCs w:val="1"/>
          <w:color w:val="auto"/>
        </w:rPr>
        <w:t>investors.lendingtree.com</w:t>
      </w:r>
      <w:r>
        <w:rPr>
          <w:rFonts w:ascii="Arial" w:cs="Arial" w:eastAsia="Arial" w:hAnsi="Arial"/>
          <w:sz w:val="18"/>
          <w:szCs w:val="18"/>
          <w:color w:val="auto"/>
        </w:rPr>
        <w:t>. None of the information on or accessible through our websites is incorporated by reference in this report, or in any other filings with, or in any information furnished or submitted to, the Securities and Exchange Commission (the “SEC”).</w:t>
      </w:r>
    </w:p>
    <w:p>
      <w:pPr>
        <w:spacing w:after="0" w:line="7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 xml:space="preserve">We make available, free of charge through our website, our Annual Reports on Form 10-K, our Quarterly Reports on Form 10-Q, our Current Reports on Form 8-K, our proxy statement for our annual shareholders' meeting and beneficial ownership reports on Forms 3, 4 and 5 as soon as reasonably practicable after we file such material with, or furnish such material to, the SEC. Our filings with the SEC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9" w:lineRule="exact"/>
        <w:rPr>
          <w:sz w:val="20"/>
          <w:szCs w:val="20"/>
          <w:color w:val="auto"/>
        </w:rPr>
      </w:pPr>
    </w:p>
    <w:p>
      <w:pPr>
        <w:jc w:val="both"/>
        <w:ind w:firstLine="323"/>
        <w:spacing w:after="0" w:line="310" w:lineRule="auto"/>
        <w:rPr>
          <w:sz w:val="20"/>
          <w:szCs w:val="20"/>
          <w:color w:val="auto"/>
        </w:rPr>
      </w:pPr>
      <w:r>
        <w:rPr>
          <w:rFonts w:ascii="Arial" w:cs="Arial" w:eastAsia="Arial" w:hAnsi="Arial"/>
          <w:sz w:val="16"/>
          <w:szCs w:val="16"/>
          <w:color w:val="auto"/>
        </w:rPr>
        <w:t>Our code of business conduct and ethics, which applies to all employees, including all executive officers and senior financial officers and directors, is posted on the investor relations section of our website. Any amendments to or waivers of the code of business conduct and ethics that are of the type described in Item 406(b) and (d) of Regulation S-K will be disclosed on our website or in public filings to the extent required by the applicable rules.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19"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decision, you should carefully consider the risks described below, together with all of the other information included in this annual report and the information incorporated by reference herein. If any of the risks described below, or incorporated by reference into this annual report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 included elsewhere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general economy, could have a material adverse effect on our business, financial condition and results of operations.</w:t>
      </w:r>
    </w:p>
    <w:p>
      <w:pPr>
        <w:spacing w:after="0" w:line="63"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6"/>
          <w:szCs w:val="16"/>
          <w:color w:val="auto"/>
        </w:rPr>
        <w:t>Constraints in the primary and secondary mortgage markets in the past have had, and may in the future have, an adverse effect on our business, financial condition and results of operations. Generally, increases in interest rates adversely affect the ability of our mortgage Network Partners to close loans, and adverse economic trends limit the ability of our mortgage Network Partners to offer home loans other than low-margin conforming loans. Our businesses may experience a decline in demand for their offerings due to decreased consumer demand as a result of the conditions described above, now or in the future. The decreased consumer demand for mortgage refinancing typically leads to decreased traffic to our website and higher associated selling and marketing efforts associated with that traffic. While higher lender demand during these periods often leads to an increase in the amount lenders will pay per matched lead and higher revenue earned per consumer, increases in the amount lenders will pay per matched lead in this situation is limited by the overall cost models of our lenders, and our revenue earned per consumer can be adversely affected by the overall reduced demand for refinancing in a rising interest rate environment. Conversely, during periods with decreased interest rates, mortgage Network Partners have less incentive to use our marketplaces, or in the case of sudden increases in consumer demand, our mortgage Network Partners may lack the ability to support sudden increases in volume. Situations like this could have a material adverse effect on our business, financial condition and results of operations.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depend on the financial strength of our Network Partners and our relationships with them, and any adverse changes in these relationships could adversely affect our business, financial condition and results of operations.</w:t>
      </w:r>
    </w:p>
    <w:p>
      <w:pPr>
        <w:spacing w:after="0" w:line="63"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Our success depends in significant part on the financial strength of lenders, insurers and lead purchasers participating on our marketplaces and continuing relationships with such lenders, insurers and lead purchases. Network Partners could, for any reason, experience financial difficulties and cease participating on our marketplaces, fail to pay match and/or closing fees when due, determine to temporarily suspend or terminate their relationship with us and/or drop the quality of their services to consumers. We could also have commercial or other disputes with such Network Partners from time to time. The occurrence of one or more of these events with a significant number of Network Partners could, alone or in combination, have a material and adverse effect on our business, financial condition and results of operations.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Any adverse changes in relationships with our Network Partners, or failure to meet certain metrics required by Network Partners, could adversely affect our business.</w:t>
      </w:r>
    </w:p>
    <w:p>
      <w:pPr>
        <w:spacing w:after="0" w:line="63"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We compete against other online marketing companies in significant part based on the quality and convertibility of the leads we generate. Network Partners have expectations as to the quality and conversion rate of the leads that we generate, and such expectations could change over time. The leads that we supply to Network Partners may not meet the expectations that they have for such leads. Conversion rates for leads may be impacted by factors other than the lead quality, many of which are outside our control. Such factors include competition in lending and insurance markets and sales and marketing practices of Network Partners. Failure to meet the expectations of Network Partners in terms of quality and convertibility of leads may result in reduced fees paid to us by such Network Partners, or in extreme cases, the loss of one or more Network Partners, which could materially and adversely affect our business, financial condition and results of operations.</w:t>
      </w:r>
    </w:p>
    <w:p>
      <w:pPr>
        <w:spacing w:after="0" w:line="8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In addition, because our businesses do not have exclusive relationships with Network Partners, consumers may obtain loans, insurance and other financial products from these third-party service providers without having to use our marketplaces. Network Partners can offer loans, insurance and other financial products directly to consumers through their own marketing campaigns or other traditional methods of distribution, such as referral arrangements, physical store-front operations or broker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agreements. Network Partners may also offer loans, insurance and other financial products and services to prospective customers online directly, through one or more online competitors or other business, or both. If a significant number of consumers seek loans, insurance and other financial products and services directly from Network Partners or through our competitors as opposed to through our marketplaces, our business, financial condition and results of operations could be materially and adversely affected.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Failure to maintain our reputation and brand recognition and attract and retain consumers in a cost-effective manner could materially and adversely affect our business, financial condition and results of operations. As such, adverse publicity from litigation or governmental investigations could impact our business and financial condition and results of operations.</w:t>
      </w:r>
    </w:p>
    <w:p>
      <w:pPr>
        <w:spacing w:after="0" w:line="75"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In order to attract visitors to our websites, convert these visitors into loan or other financial product requests for our Network Partners and lead purchasers and generate repeat visits from consumers, our businesses must promote and maintain their reputations and various brands. Brand promotion and maintenance requires the expenditure of considerable money and resources for online and offline advertising, marketing and related efforts, as well as the continued provision and introduction of high-quality products and services that meet the needs of consumers at competitive prices, the ability to maintain consumers' trust, and the ability to successfully differentiate our brand, products and services from those of our competitors.</w:t>
      </w:r>
    </w:p>
    <w:p>
      <w:pPr>
        <w:spacing w:after="0" w:line="52"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83"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Adverse publicity and the potential corresponding impact on our reputation may be accelerated and amplified by the widespread use of social media platforms. Furthermore, adverse publicity, from legal proceedings against us or our businesses, including governmental proceedings and consumer class action or other litigation, or the disclosure of information from security breaches or other incidents, could negatively impact our reputation and our various brands, which could materially and adversely affect our business and financial condition and results of operations. In addition, the actions of our third-party marketing partners who engage in advertising on our behalf could negatively impact our reputation and our various brands.</w:t>
      </w:r>
    </w:p>
    <w:p>
      <w:pPr>
        <w:spacing w:after="0" w:line="52"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The failure of our businesses to maintain or enhance the reputation and recognition of their respective brands and attract and retain consumers in a cost-effective manner could materially and adversely affect our business, financial condition and results of operations.</w:t>
      </w:r>
    </w:p>
    <w:p>
      <w:pPr>
        <w:spacing w:after="0" w:line="171" w:lineRule="exact"/>
        <w:rPr>
          <w:sz w:val="20"/>
          <w:szCs w:val="20"/>
          <w:color w:val="auto"/>
        </w:rPr>
      </w:pPr>
    </w:p>
    <w:p>
      <w:pPr>
        <w:jc w:val="both"/>
        <w:spacing w:after="0" w:line="373" w:lineRule="auto"/>
        <w:rPr>
          <w:sz w:val="20"/>
          <w:szCs w:val="20"/>
          <w:color w:val="auto"/>
        </w:rPr>
      </w:pPr>
      <w:r>
        <w:rPr>
          <w:rFonts w:ascii="Arial" w:cs="Arial" w:eastAsia="Arial" w:hAnsi="Arial"/>
          <w:sz w:val="15"/>
          <w:szCs w:val="15"/>
          <w:b w:val="1"/>
          <w:bCs w:val="1"/>
          <w:i w:val="1"/>
          <w:iCs w:val="1"/>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1"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Our success depends on our ability to attract online consumers to our websites and convert them into customers in a cost-effective manner. We depend, in part, on search engines, online advertising and other online sources for our website traffic. We are included in search results as a result of both paid search listings, where we purchase specific search terms that result in the inclusion of our advertisement, and, separately, organic searches, that depend upon the searchable content on our sites. Search engines and other online sources revise their algorithms, and introduce new advertising products, from time to time in an attempt to optimize their search results.</w:t>
      </w:r>
    </w:p>
    <w:p>
      <w:pPr>
        <w:spacing w:after="0" w:line="83"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If our online advertisements are not able to reach certain consumers due to consumers' use of ad-blocking software or other ad-blocking capabilities, our business could suffer. Any required changes in targeting and other related consumer acquisition practices and techniques, such as the upcoming deprecation of third-party cookies, could impair our ability to acquire consumers efficiently and our business could suffer. Furthermore, if any free search engine traffic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i w:val="1"/>
          <w:iCs w:val="1"/>
          <w:color w:val="auto"/>
        </w:rPr>
        <w:t>We rely on technology to operate our business and continue to implement substantial changes to our information systems. Any changes in our systems or failure to appropriately balance between the introduction of new capabilities and managing of existing systems present risk of interruption in our systems, which could result in disruptions to our information systems that could materially adversely affect our operations.</w:t>
      </w:r>
    </w:p>
    <w:p>
      <w:pPr>
        <w:spacing w:after="0" w:line="40"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We are dependent on the use of technology systems like our MyLendingTree platform as well as backend systems to support our strategic objectives. Implementation and integration of complex systems and technology present significant challenges in terms of costs, human resources, and development of effective internal controls. Implementation and integration require a balancing between the introduction of new capabilities and the managing of existing systems, and present the risk of operational or security inadequacy or interruption, which could materially affect our ability to effectively operate our business and/or could negatively impact our results of operations.</w:t>
      </w:r>
    </w:p>
    <w:p>
      <w:pPr>
        <w:spacing w:after="0" w:line="67"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In the ordinary course of business, our systems continue to require modification and refinements to address operational reliability, growth, and changing business requirements. In addition, our systems may require modification to enable us to comply with changing regulatory requirements. Our operations could be adversely affected, or we could face imposition of regulatory penalties, if it were unable to timely or effectively modify our systems as necessary or appropriately balance the introduction of new capabilities with the management of existing systems.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card product offering is subject to particular risks.</w:t>
      </w:r>
    </w:p>
    <w:p>
      <w:pPr>
        <w:spacing w:after="0" w:line="115" w:lineRule="exact"/>
        <w:rPr>
          <w:sz w:val="20"/>
          <w:szCs w:val="20"/>
          <w:color w:val="auto"/>
        </w:rPr>
      </w:pPr>
    </w:p>
    <w:p>
      <w:pPr>
        <w:ind w:left="640" w:hanging="31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conditions in the economy may affect credit card issuers and their willingness to issue new credit;</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losses among credit card issuers may increase beyond normal and budgeted levels which could cause a reduction in demand;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increases may make balance transfer cards less profitable for issuers;</w:t>
      </w:r>
    </w:p>
    <w:p>
      <w:pPr>
        <w:spacing w:after="0" w:line="115" w:lineRule="exact"/>
        <w:rPr>
          <w:rFonts w:ascii="Arial" w:cs="Arial" w:eastAsia="Arial" w:hAnsi="Arial"/>
          <w:sz w:val="18"/>
          <w:szCs w:val="18"/>
          <w:color w:val="auto"/>
        </w:rPr>
      </w:pPr>
    </w:p>
    <w:p>
      <w:pPr>
        <w:ind w:left="660" w:right="20" w:hanging="330"/>
        <w:spacing w:after="0" w:line="27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card issuers and other advertisers in the business verticals in which we operate may be unwilling to advertise on our websites or mobile applications;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application approval rates by credit card issuer customers;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and its effect on our website traffic, click-through rates, advertising rates, revenue, margins, and market share;</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provide competitive service to credit card issuers and to consumers using our online offerings and other platforms;</w:t>
      </w:r>
    </w:p>
    <w:p>
      <w:pPr>
        <w:spacing w:after="0" w:line="115"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card issuers may determine that the online digital marketing channel is no longer a viable marketing platform for generating new credit card customers;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consumer interest in credit card products;</w:t>
      </w:r>
    </w:p>
    <w:p>
      <w:pPr>
        <w:spacing w:after="0" w:line="115" w:lineRule="exact"/>
        <w:rPr>
          <w:rFonts w:ascii="Arial" w:cs="Arial" w:eastAsia="Arial" w:hAnsi="Arial"/>
          <w:sz w:val="18"/>
          <w:szCs w:val="18"/>
          <w:color w:val="auto"/>
        </w:rPr>
      </w:pPr>
    </w:p>
    <w:p>
      <w:pPr>
        <w:ind w:left="660" w:right="20" w:hanging="330"/>
        <w:spacing w:after="0" w:line="27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LendingTree and CompareCards and to effectively leverage the LendingTree brand with the CompareCards brand; and</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5"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If our credit card product is impacted by the risks described above, then our results of operations and future growth prospects could be materially and adversely affected.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Economic conditions, including changes in the consumer lending and insurance markets could harm our business, financial condition and results of operations.</w:t>
      </w:r>
    </w:p>
    <w:p>
      <w:pPr>
        <w:spacing w:after="0" w:line="50"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7"/>
          <w:szCs w:val="17"/>
          <w:color w:val="auto"/>
        </w:rPr>
        <w:t>Our business is dependent on the products offered by our Network Partners across the consumer financial services and personal insurance industries. Changes in economic conditions, including general factors such as a slower pace of economic growth or recessionary periods, could negatively impact these industries and our business. Additionally, the lending products our Network partners offer within our Home and Consumer segments are dependent upon, among other things, overall level of interest rates, home prices, availability of credit in the financial market and changes in underwriting standards. Our Insurance segment is dependent on the personal auto and home insurance industry, which can be negatively impacted by inflation, supply chain issues, rising car accident severity and frequency, as well as natural disasters such as hurricanes.</w:t>
      </w:r>
    </w:p>
    <w:p>
      <w:pPr>
        <w:spacing w:after="0" w:line="205" w:lineRule="exact"/>
        <w:rPr>
          <w:sz w:val="20"/>
          <w:szCs w:val="20"/>
          <w:color w:val="auto"/>
        </w:rPr>
      </w:pPr>
    </w:p>
    <w:p>
      <w:pPr>
        <w:jc w:val="both"/>
        <w:ind w:firstLine="323"/>
        <w:spacing w:after="0" w:line="237" w:lineRule="auto"/>
        <w:rPr>
          <w:sz w:val="20"/>
          <w:szCs w:val="20"/>
          <w:color w:val="auto"/>
        </w:rPr>
      </w:pPr>
      <w:r>
        <w:rPr>
          <w:rFonts w:ascii="Arial" w:cs="Arial" w:eastAsia="Arial" w:hAnsi="Arial"/>
          <w:sz w:val="18"/>
          <w:szCs w:val="18"/>
          <w:color w:val="auto"/>
        </w:rPr>
        <w:t>Additionally, the health of the lending markets our Network Partners operate in, including purchase and refinance mortgages, home equity, business loans, personal loans, and credit card, are important to our business. Fluctuations and constraints in these markets in the past have harmed, and may in the future, harm our business, financial condition and results of operations. Economic factors such as increased interest rates, slow economic growth or recessionary conditions, the pace of home price appreciation or outright depreciation, changes in household debt levels, and increased unemployment or stagnant or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declining wages can affect the lending markets broadly. National or global events, including, but not limited to, the COVID-19 pandemic, can also affect such macroeconomic conditions. These factors can affect the number of consumers applying for loans and overall loan approval rates, which can adversely affect our business. Increases in interest rates driven by the Federal Reserve Board’s Federal Open Market Committee to combat a historically high rate of inflation may continue. Additional rate increases could pressure consumer demand for mortgage products, as well as our business, personal and credit card products, and thus, could negatively impact our business.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insurance business, QuoteWizard, is significant to our revenue, and operational issues in this business could have a material impact on our results of operations.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QuoteWizard business poses risks for our ongoing operations, including, among others:</w:t>
      </w:r>
    </w:p>
    <w:p>
      <w:pPr>
        <w:spacing w:after="0" w:line="115" w:lineRule="exact"/>
        <w:rPr>
          <w:sz w:val="20"/>
          <w:szCs w:val="20"/>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conditions in the economy may affect insurance carriers and their willingness to issue policies;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covered losses among insurance carriers may increase beyond normal and budgeted levels which could cause a reduction in demand for leads;</w:t>
      </w:r>
    </w:p>
    <w:p>
      <w:pPr>
        <w:spacing w:after="0" w:line="138" w:lineRule="exact"/>
        <w:rPr>
          <w:rFonts w:ascii="Arial" w:cs="Arial" w:eastAsia="Arial" w:hAnsi="Arial"/>
          <w:sz w:val="16"/>
          <w:szCs w:val="16"/>
          <w:color w:val="auto"/>
        </w:rPr>
      </w:pPr>
    </w:p>
    <w:p>
      <w:pPr>
        <w:ind w:left="660" w:right="480" w:hanging="330"/>
        <w:spacing w:after="0" w:line="27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carriers and other advertisers in the business verticals in which we or QuoteWizard operate may be unwilling to advertise on our or QuoteWizard’s websites or mobile applications;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concentration of customers with large insurance carriers, causing significant budget reductions from these customers to impact our business;</w:t>
      </w:r>
    </w:p>
    <w:p>
      <w:pPr>
        <w:spacing w:after="0" w:line="127" w:lineRule="exact"/>
        <w:rPr>
          <w:rFonts w:ascii="Arial" w:cs="Arial" w:eastAsia="Arial" w:hAnsi="Arial"/>
          <w:sz w:val="17"/>
          <w:szCs w:val="17"/>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 publishers may determine they no longer want QuoteWizard as an advertising partner;</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underwriting approval rates by insurance carrier customers;</w:t>
      </w:r>
    </w:p>
    <w:p>
      <w:pPr>
        <w:spacing w:after="0" w:line="115" w:lineRule="exact"/>
        <w:rPr>
          <w:rFonts w:ascii="Arial" w:cs="Arial" w:eastAsia="Arial" w:hAnsi="Arial"/>
          <w:sz w:val="18"/>
          <w:szCs w:val="18"/>
          <w:color w:val="auto"/>
        </w:rPr>
      </w:pPr>
    </w:p>
    <w:p>
      <w:pPr>
        <w:ind w:left="660" w:right="240" w:hanging="330"/>
        <w:spacing w:after="0" w:line="27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and its effect on our or QuoteWizard’s website traffic, click-through rates, advertising rates, revenue, margins, and market share;</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media may rise at a faster pace than QuoteWizard's monetization of traffic;</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ability to provide competitive service to insurance carriers and to consumers using QuoteWizard’s and our online offerings and other platforms;</w:t>
      </w:r>
    </w:p>
    <w:p>
      <w:pPr>
        <w:spacing w:after="0" w:line="138" w:lineRule="exact"/>
        <w:rPr>
          <w:rFonts w:ascii="Arial" w:cs="Arial" w:eastAsia="Arial" w:hAnsi="Arial"/>
          <w:sz w:val="16"/>
          <w:szCs w:val="16"/>
          <w:color w:val="auto"/>
        </w:rPr>
      </w:pPr>
    </w:p>
    <w:p>
      <w:pPr>
        <w:ind w:left="660" w:right="200" w:hanging="330"/>
        <w:spacing w:after="0" w:line="27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carriers may determine that the online digital marketing channel is no longer a viable marketing platform for generating new insurance customers;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regulatory agencies may hinder or disallow the operation of QuoteWizard's marketplace;</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government regulations and/or laws that affect the ability of private insurance carriers to market products directly to the consumer;</w:t>
      </w:r>
    </w:p>
    <w:p>
      <w:pPr>
        <w:spacing w:after="0" w:line="127" w:lineRule="exact"/>
        <w:rPr>
          <w:rFonts w:ascii="Arial" w:cs="Arial" w:eastAsia="Arial" w:hAnsi="Arial"/>
          <w:sz w:val="17"/>
          <w:szCs w:val="17"/>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government regulations and/or laws that would replace private insurance programs with government run programs;</w:t>
      </w:r>
    </w:p>
    <w:p>
      <w:pPr>
        <w:spacing w:after="0" w:line="115" w:lineRule="exact"/>
        <w:rPr>
          <w:rFonts w:ascii="Arial" w:cs="Arial" w:eastAsia="Arial" w:hAnsi="Arial"/>
          <w:sz w:val="18"/>
          <w:szCs w:val="18"/>
          <w:color w:val="auto"/>
        </w:rPr>
      </w:pPr>
    </w:p>
    <w:p>
      <w:pPr>
        <w:ind w:left="660" w:right="540" w:hanging="330"/>
        <w:spacing w:after="0" w:line="27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LendingTree and QuoteWizard and to effectively leverage the LendingTree brand with the QuoteWizard brand;</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key employees of QuoteWizard;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the business acquired in the acquisition may not continue to perform as well as anticipated; and</w:t>
      </w:r>
    </w:p>
    <w:p>
      <w:pPr>
        <w:spacing w:after="0" w:line="115" w:lineRule="exact"/>
        <w:rPr>
          <w:rFonts w:ascii="Arial" w:cs="Arial" w:eastAsia="Arial" w:hAnsi="Arial"/>
          <w:sz w:val="18"/>
          <w:szCs w:val="18"/>
          <w:color w:val="auto"/>
        </w:rPr>
      </w:pPr>
    </w:p>
    <w:p>
      <w:pPr>
        <w:ind w:left="660" w:right="580" w:hanging="330"/>
        <w:spacing w:after="0" w:line="27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assumed liabilities associated with QuoteWizard’s historical operations, including liabilities arising from data privacy and security laws and regulations or security breaches.</w:t>
      </w:r>
    </w:p>
    <w:p>
      <w:pPr>
        <w:spacing w:after="0" w:line="63" w:lineRule="exact"/>
        <w:rPr>
          <w:sz w:val="20"/>
          <w:szCs w:val="20"/>
          <w:color w:val="auto"/>
        </w:rPr>
      </w:pPr>
    </w:p>
    <w:p>
      <w:pPr>
        <w:ind w:right="280" w:firstLine="323"/>
        <w:spacing w:after="0" w:line="275" w:lineRule="auto"/>
        <w:rPr>
          <w:sz w:val="20"/>
          <w:szCs w:val="20"/>
          <w:color w:val="auto"/>
        </w:rPr>
      </w:pPr>
      <w:r>
        <w:rPr>
          <w:rFonts w:ascii="Arial" w:cs="Arial" w:eastAsia="Arial" w:hAnsi="Arial"/>
          <w:sz w:val="18"/>
          <w:szCs w:val="18"/>
          <w:color w:val="auto"/>
        </w:rPr>
        <w:t>If the QuoteWizard business is impacted by the risks described above, then our results of operations and future growth prospects could be materially and adversely affected.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agency businesses pose unique risks.</w:t>
      </w:r>
    </w:p>
    <w:p>
      <w:pPr>
        <w:spacing w:after="0" w:line="115"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Our Medicare and Property and Casualty insurance agency businesses employ a different business model than the rest of our businesses and are subject to unique risks because of our role in selling insurance policies direct to consumers. In that role, we act as agents of insurance carriers or of other insurance agents, known as uplines, that we contract with. We must secure and maintain contracts with those carriers and agents, and our individual agents must be state-licensed. Our revenues are generated from sales commissions which are based upon the insurance premiums of policies sold and our models to determine the appropriate policies for consumers. Our models could be incorrect, and we could generate less revenue than expected. We could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lose appointments with carriers or uplines that affect our ability to sell policies and generate revenue. Carrier losses, which could result from increased repair time and costs due to inflation and supply chain issues in the automotive and housing industries, among other issues, could cause carriers to reduce commissions or increase premiums, both of which would have a negative effect on us. Insurance carriers could increase premiums to the point where we cannot profitably sell policies or consumers make the decision to forego the purchase of insurance. Our licensed insurance agents are critical to our agency business, and our inability to attract and retain effective agents or for them to obtain or retain their licenses to sell policies could have a negative impact on our results of operation.</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i w:val="1"/>
          <w:iCs w:val="1"/>
          <w:color w:val="auto"/>
        </w:rPr>
        <w:t>Our personal loan product is a key product within our Consumer segment.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spacing w:after="0" w:line="59" w:lineRule="exact"/>
        <w:rPr>
          <w:sz w:val="20"/>
          <w:szCs w:val="20"/>
          <w:color w:val="auto"/>
        </w:rPr>
      </w:pPr>
    </w:p>
    <w:p>
      <w:pPr>
        <w:jc w:val="both"/>
        <w:ind w:firstLine="323"/>
        <w:spacing w:after="0" w:line="285" w:lineRule="auto"/>
        <w:rPr>
          <w:sz w:val="20"/>
          <w:szCs w:val="20"/>
          <w:color w:val="auto"/>
        </w:rPr>
      </w:pPr>
      <w:r>
        <w:rPr>
          <w:rFonts w:ascii="Arial" w:cs="Arial" w:eastAsia="Arial" w:hAnsi="Arial"/>
          <w:sz w:val="16"/>
          <w:szCs w:val="16"/>
          <w:color w:val="auto"/>
        </w:rPr>
        <w:t>Personal loans are typically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 purchase that would otherwise be purchased with a credit card. Lenders participating on our marketplace may reduce their willingness to make personal loans at more attractive interest rates than credit card debt and may for that reason, or for any other reason, reduce their demand for requests generated from our personal loan marketplace. Reasons that lenders might reduce their willingness to make personal loans at attractive interest rates may include regulatory changes, stricter institutional lending criteria, a lack of adequate funding sources or capital for loan originations, or increased borrower default levels, which may occur upon adverse changes in regional, national or global economic conditions. Additionally, lenders may tighten their underwriting standards, making it more difficult for consumers to qualify for personal loans. Personal loan lenders are increasingly focused on profitability and are attempting to reduce their acquisition costs of new customers. If lenders participating on our marketplace decide to reduce their offerings of personal loans, tighten their underwriting standards, or if personal loans become unattractive to consumers because of higher interest rates demanded by lenders or other reasons, then our results of operations and future growth prospects could be materially and adversely affected.</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financial condition and results of operations have been and may continue to be adversely affected by public health issues, including epidemics or pandemics such as COVID-19.</w:t>
      </w:r>
    </w:p>
    <w:p>
      <w:pPr>
        <w:spacing w:after="0" w:line="63"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We face various risks related to public health issues, including epidemics, pandemics, and other outbreaks, including the global outbreak of COVID-19. The COVID-19 pandemic negatively impacted the global economy, disrupted global supply chains, created significant volatility and disruption in financial markets, and, at times, increased unemployment levels. In addition, the pandemic resulted in temporary closures of many businesses and the institution of various lockdown orders and sheltering in place requirements in many states and communities. As a result, the demand for our products, in particular in our Consumer segment, was significantly impacted. The full impact of COVID-19 or any widespread public health issue on our financial condition and results of operations will depend on the duration and scope of an outbreak (including any potential future waves, the emergence or re-emergence of variants and their transmissibility, and the success of vaccination programs and treatments), its impact on our consumers and our Network Partners, how quickly normal economic conditions, operations, and the demand for our services and products can resume, and any permanent behavioral changes that the pandemic may cause. The extent to which the COVID-19 pandemic or any widespread public health issue impacts our business, financial condition and results of operations, as well as our regulatory capital and liquidity ratios, will depend on future developments, which are highly uncertain and cannot be predicted.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products are new to the market and may fail to achieve or maintain customer acceptance and profitability.</w:t>
      </w:r>
    </w:p>
    <w:p>
      <w:pPr>
        <w:spacing w:after="0" w:line="115" w:lineRule="exact"/>
        <w:rPr>
          <w:sz w:val="20"/>
          <w:szCs w:val="20"/>
          <w:color w:val="auto"/>
        </w:rPr>
      </w:pPr>
    </w:p>
    <w:p>
      <w:pPr>
        <w:jc w:val="both"/>
        <w:ind w:firstLine="323"/>
        <w:spacing w:after="0" w:line="305" w:lineRule="auto"/>
        <w:rPr>
          <w:sz w:val="20"/>
          <w:szCs w:val="20"/>
          <w:color w:val="auto"/>
        </w:rPr>
      </w:pPr>
      <w:r>
        <w:rPr>
          <w:rFonts w:ascii="Arial" w:cs="Arial" w:eastAsia="Arial" w:hAnsi="Arial"/>
          <w:sz w:val="17"/>
          <w:szCs w:val="17"/>
          <w:color w:val="auto"/>
        </w:rPr>
        <w:t>We have, in the past, launched a number of new products and may, in the future, launch new products. We do not have as much experience with new products as with the other more mature products. Accordingly, new products may be subject to greater risks than our more mature products.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our new products will depend on a number of factors, including, but not limited to:</w:t>
      </w:r>
    </w:p>
    <w:p>
      <w:pPr>
        <w:spacing w:after="0" w:line="115" w:lineRule="exact"/>
        <w:rPr>
          <w:sz w:val="20"/>
          <w:szCs w:val="20"/>
          <w:color w:val="auto"/>
        </w:rPr>
      </w:pPr>
    </w:p>
    <w:p>
      <w:pPr>
        <w:ind w:left="640" w:hanging="310"/>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implementing, at an acceptable cost, product features offered by our competitors and/or expected by consumers, lenders and lead purchasers;</w:t>
      </w:r>
    </w:p>
    <w:p>
      <w:pPr>
        <w:spacing w:after="0" w:line="138" w:lineRule="exact"/>
        <w:rPr>
          <w:rFonts w:ascii="Arial" w:cs="Arial" w:eastAsia="Arial" w:hAnsi="Arial"/>
          <w:sz w:val="16"/>
          <w:szCs w:val="16"/>
          <w:color w:val="auto"/>
        </w:rPr>
      </w:pPr>
    </w:p>
    <w:p>
      <w:pPr>
        <w:ind w:left="640" w:hanging="31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by consumers, lenders and lead purchasers;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businesses;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310"/>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collect amounts owed to us from third parties;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15"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Network Partners.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of operations may suffer if we fail to successfully anticipate and manage these issues associated with new products.</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we are unable to continually enhance our products and services and adapt them to technological changes and consumer and lender, insurer and/or lead purchaser needs, we may lose market share and revenue and our business could suffer.</w:t>
      </w:r>
    </w:p>
    <w:p>
      <w:pPr>
        <w:spacing w:after="0" w:line="63"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We need to anticipate, develop and introduce new products, services and applications on a timely and cost-effective basis that keep pace with technological developments and changing consumer and customer needs. We are continually working to improve our consumer experience through enhancements to our products and services. However, we may not be able to develop products and services that are equivalent to or better than our competitors or that successfully meet our consumer needs. We may not be successful, or as successful as our competitors, in developing technologies and systems that operate effectively across multiple devices and platforms in a way that is appealing to our consumers.</w:t>
      </w:r>
    </w:p>
    <w:p>
      <w:pPr>
        <w:spacing w:after="0" w:line="6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Additionally, our interaction with our Network Partners is dependent on the technology and services we offer to these customers. Our inability to offer competitive technology solutions to support our lenders could have a negative impact on our business.</w:t>
      </w:r>
    </w:p>
    <w:p>
      <w:pPr>
        <w:spacing w:after="0" w:line="6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If we fail to develop our websites or apps to respond to technological developments and changing consumer and customer needs cost effectively, or if consumers and customers respond negatively to changes, we may lose market share, which could materially and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improve our products and services in ways that forego short-term gains.</w:t>
      </w:r>
    </w:p>
    <w:p>
      <w:pPr>
        <w:spacing w:after="0" w:line="115"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We are constantly striving to improve the user experience for our consumers who use our websites and applications and for our Network Partners. Some of our changes may have the effect of reducing our short-term revenue or profitability if we believe that the benefits will ultimately improve our financial performance over the long-term. Any short-term reductions in revenue or profitability could be more severe than we anticipate or these decisions may not produce the long-term benefits that we expect, in which case our business and results of operations could be adversely affected.</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be unable to make acquisitions, successfully integrate acquired companies into our business, or our acquisitions may not meet our expectations, any of which would adversely affect our business, financial condition, and results of operations.</w:t>
      </w:r>
    </w:p>
    <w:p>
      <w:pPr>
        <w:spacing w:after="0" w:line="6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may divert the attention of management and cause us to incur significant expenses related to identifying, investigating, and pursuing suitable acquisitions, whether or not they are consummated. Even if we successfully acquire additional businesses or technologies, we may not achieve the anticipated benefits or synergies due to a number of factors, including, among others:</w:t>
      </w:r>
    </w:p>
    <w:p>
      <w:pPr>
        <w:spacing w:after="0" w:line="83" w:lineRule="exact"/>
        <w:rPr>
          <w:sz w:val="20"/>
          <w:szCs w:val="20"/>
          <w:color w:val="auto"/>
        </w:rPr>
      </w:pPr>
    </w:p>
    <w:p>
      <w:pPr>
        <w:ind w:left="660" w:hanging="330"/>
        <w:spacing w:after="0" w:line="27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management’s attention may be diverted from the management of daily operations to the integration of the businesses acquired in the acquisition;</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maintaining quality and security standards consistent with our brand;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achieve anticipated synergies or unanticipated difficulty with integration into our corporate culture;</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harm to our existing business relationships with business partners as a result of the acquisition;</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retain key employees of businesses acquired;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fully integrate the businesses acquired;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31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the businesses acquired in the acquisition may not perform as well as anticipated;</w:t>
      </w:r>
    </w:p>
    <w:p>
      <w:pPr>
        <w:spacing w:after="0" w:line="115"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conditions in the economy may affect the lenders or insurance carriers or other customers of the acquired businesses and their willingness to issue new credit, write new policies or otherwise expand their businesses;</w:t>
      </w:r>
    </w:p>
    <w:p>
      <w:pPr>
        <w:spacing w:after="0" w:line="63" w:lineRule="exact"/>
        <w:rPr>
          <w:rFonts w:ascii="Arial" w:cs="Arial" w:eastAsia="Arial" w:hAnsi="Arial"/>
          <w:sz w:val="18"/>
          <w:szCs w:val="18"/>
          <w:color w:val="auto"/>
        </w:rPr>
      </w:pPr>
    </w:p>
    <w:p>
      <w:pPr>
        <w:ind w:left="660" w:right="20" w:hanging="330"/>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advertisers in the business verticals in which we or the acquired businesses operate may be unwilling to advertise on our websites or mobile applications;</w:t>
      </w:r>
    </w:p>
    <w:p>
      <w:pPr>
        <w:spacing w:after="0" w:line="63"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and its effect on our or the acquired businesses' website traffic, click-through rates, submitted consumer requests, advertising rates, revenue, margins, and market share;</w:t>
      </w:r>
    </w:p>
    <w:p>
      <w:pPr>
        <w:spacing w:after="0" w:line="63"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us and the acquired businesses and to effectively leverage the LendingTree brand with the newly acquired brands;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 and</w:t>
      </w:r>
    </w:p>
    <w:p>
      <w:pPr>
        <w:spacing w:after="0" w:line="115"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assumed liabilities associated with the historical operations of the acquired businesses, including as a result of data privacy and security laws and regulations or security breaches.</w:t>
      </w:r>
    </w:p>
    <w:p>
      <w:pPr>
        <w:spacing w:after="0" w:line="6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As a result of the foregoing, our acquisitions may not be accretive to us in the near term, or at all. Furthermore, if we fail to realize the intended benefits of the business acquired in the acquisition, the market price of our common stock could decline to the extent that the market price reflects an expectation of those benefits.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acquisitions or strategic investments that we pursue may not be successful and could disrupt our business and harm our financial condition.</w:t>
      </w:r>
    </w:p>
    <w:p>
      <w:pPr>
        <w:spacing w:after="0" w:line="138"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We may consider or undertake strategic acquisitions of, or material investments in, businesses, products or technologies, such as our January 2022 acquisition of an equity interest in EarnUp or our February 2020 acquisition of an equity interest in Stash.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Credit Facility (as defined herein),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62" w:lineRule="exact"/>
        <w:rPr>
          <w:sz w:val="20"/>
          <w:szCs w:val="20"/>
          <w:color w:val="auto"/>
        </w:rPr>
      </w:pPr>
    </w:p>
    <w:p>
      <w:pPr>
        <w:jc w:val="both"/>
        <w:ind w:firstLine="323"/>
        <w:spacing w:after="0" w:line="290"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and/or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our people through the changes caused by the economic challenges, our business and results of operations could be harmed.</w:t>
      </w:r>
    </w:p>
    <w:p>
      <w:pPr>
        <w:spacing w:after="0" w:line="138"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We have experienced a reduction in our headcount as a result of both elevated turnover caused by the market as well as planned severances, which places substantial demand on remaining management and our operational infrastructure. As we manage through this change, we must effectively transition work, train, develop and motivate a large number of both existing and new employees, while maintaining the beneficial aspects of our company culture. If we do not manage the changing employee base effectively, the quality of our services and efficiency of our operations could suffer, which could harm our business and results of operations.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develop and motivate well-qualified employees, our business and results of operations could be harmed.</w:t>
      </w:r>
    </w:p>
    <w:p>
      <w:pPr>
        <w:spacing w:after="0" w:line="6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We believe our success has depended, continues to and in the future will depend, on the efforts and talents of our management team and our highly skilled employees and workers, including our software engineers, analysts, marketing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that they have undertaken and to execute our business plan, and we may not be able to find adequate replacements. Despite our current efforts, we cannot ensure that we will be able to retain the services of any members of our senior management or other key employees. If we do not succeed in attracting well-qualified employees or developing, retaining and motivating existing employees, our business and results of operations could be harmed.</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Network Partners on our marketplaces may not provide competitive levels of service to consumers, which could materially and adversely affect our brands and businesses and their ability to attract consumers.</w:t>
      </w:r>
    </w:p>
    <w:p>
      <w:pPr>
        <w:spacing w:after="0" w:line="63"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The ability of our businesses to provide consumers with a high-quality experience depends, in part, on consumers receiving competitive levels of convenience, customer service, price and responsiveness from Network Partners participating on our marketplaces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 significant portion of our total revenue has, in the past, been derived from one Network Partner, and our results of operations could be adversely affected and stockholder value harmed if we lose significant business from this Network Partner.</w:t>
      </w:r>
    </w:p>
    <w:p>
      <w:pPr>
        <w:spacing w:after="0" w:line="63"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Although for the years ended December 31, 2022 and 2021, no Network Partners accounted for more than 10% of total consolidated revenue, for the year ended December 31, 2020, one Network Partner accounted for 15% of total consolidated revenue, and this Network Partner remains a significant contributor to our total revenue. If this significant Network Partner were to cease purchasing consumer requests and we were unable to replace the associated demand, the loss could have a material adverse effect on our results of operations in the short term and potentially also the longer term. Also, if this Network Partner reduces its volume of consumer requests for any reason, our business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in the past and we may not be able to generate sufficient revenue to be profitable over the long term.</w:t>
      </w:r>
    </w:p>
    <w:p>
      <w:pPr>
        <w:spacing w:after="0" w:line="138"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We have incurred operating losses from continuing operations at times in our history, and we have an accumulated deficit of $715.3 million at December 31, 2022. If we fail to maintain or grow our revenue and manage our expenses, we may incur significant losses in the future and not be able to maintain or increase our profitability.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Credit Facility contains financial covenants and other restrictions on our actions, and it could therefore limit our operational flexibility or otherwise adversely affect our financial condition. Failure to comply with the terms of any such facility could impair our rights to the assets that have been pledged as collateral under the facility.</w:t>
      </w:r>
    </w:p>
    <w:p>
      <w:pPr>
        <w:spacing w:after="0" w:line="75"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On September 15, 2021, we entered into a $200.0 million five-year senior secured revolving credit facility (the “Revolving Facility”) and a $250.0 million seven-year senior secured delayed draw term loan facility (the “Term Loan Facility” and together with the Revolving Facility, the “Credit Facility”). The Revolving Facility matures on September 15, 2026, and the Term Loan Facility matures on September 15, 2028. On May 31, 2022, we borrowed $250.0 million under the Term Loan Facility. Borrowings under the Credit Facility can be used to finance working capital needs, capital expenditures, and general corporate purposes, including to finance permitted acquisitions. As of December 31, 2022 and February 27, 2023, we have outstanding a $0.2 million letter of credit under the Revolving Facility. As of December 31, 2022 and February 27, 2023, we have $248.8 million borrowings outstanding under the Term Loan Facility.</w:t>
      </w:r>
    </w:p>
    <w:p>
      <w:pPr>
        <w:spacing w:after="0" w:line="85"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The Credit Facility contains a restrictive financial covenant, which limits the amount of first lien consolidated debt to an EBITDA ratio subject to a step up following a material acquisition. In addition, the Credit Facility contains customary affirmative and negative covenants, including, subject to certain exceptions, restrictions on our ability to, among other things:</w:t>
      </w:r>
    </w:p>
    <w:p>
      <w:pPr>
        <w:spacing w:after="0" w:line="75" w:lineRule="exact"/>
        <w:rPr>
          <w:sz w:val="20"/>
          <w:szCs w:val="20"/>
          <w:color w:val="auto"/>
        </w:rPr>
      </w:pPr>
    </w:p>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mergers or make certain fundamental changes;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restricted payments, including dividends, distributions, stock repurchases or redemptions;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310"/>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restrictive transactions.</w:t>
      </w:r>
    </w:p>
    <w:p>
      <w:pPr>
        <w:spacing w:after="0" w:line="115"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7"/>
          <w:szCs w:val="17"/>
          <w:color w:val="auto"/>
        </w:rPr>
        <w:t>The Credit Facility requires us to pledge as collateral, subject to certain customary exclusions, substantially all of our assets. The obligations under this facility are unconditionally guaranteed, subject to certain customary exclusions, on a senior basis by our material domestic subsidiaries, which guaranties are secured, subject to certain customary exclusions, by substantially all of each such guarantor's assets.</w:t>
      </w:r>
    </w:p>
    <w:p>
      <w:pPr>
        <w:spacing w:after="0" w:line="59"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 xml:space="preserve">If an event of default occurs or if we otherwise fail to comply with any of the negative or affirmative covenants of the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Credit Facility,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16—Debt, in the notes to the consolidated financial statements included elsewhere in this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7"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b w:val="1"/>
          <w:bCs w:val="1"/>
          <w:i w:val="1"/>
          <w:iCs w:val="1"/>
          <w:color w:val="auto"/>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40"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18"/>
          <w:szCs w:val="18"/>
          <w:color w:val="auto"/>
        </w:rPr>
        <w:t>We currently compete with a number of other online marketing companies and we expect that competition will intensify. We also face the possibility of new competitors. Some of these existing competitors may have more capital or complementary products or services than we do, and they may leverage their greater capital or diversification in a manner that adversely affects our competitive position, including by making strategic acquisitions, such as acquiring other competitors, new products, or our advertising partners. In addition, new competitors may enter the market and may be able to innovate and bring products and services to market faster, or anticipate and meet consumer or Network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retaining customers or Network Partners, our business, financial condition and results of operations could be materially and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18"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and other resiliency measures in place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67"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7"/>
          <w:szCs w:val="17"/>
          <w:color w:val="auto"/>
        </w:rPr>
        <w:t>We are continuously developing, updating, and rewriting critical platforms that support our business. The risks associated with this work include, but are not limited to, operational implementation, downtimes, and diversion of management and technical resources. If the work is more challenging or time consuming than expected, then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75" w:lineRule="exact"/>
        <w:rPr>
          <w:sz w:val="20"/>
          <w:szCs w:val="20"/>
          <w:color w:val="auto"/>
        </w:rPr>
      </w:pPr>
    </w:p>
    <w:p>
      <w:pPr>
        <w:jc w:val="both"/>
        <w:ind w:firstLine="323"/>
        <w:spacing w:after="0" w:line="285" w:lineRule="auto"/>
        <w:rPr>
          <w:sz w:val="20"/>
          <w:szCs w:val="20"/>
          <w:color w:val="auto"/>
        </w:rPr>
      </w:pPr>
      <w:r>
        <w:rPr>
          <w:rFonts w:ascii="Arial" w:cs="Arial" w:eastAsia="Arial" w:hAnsi="Arial"/>
          <w:sz w:val="16"/>
          <w:szCs w:val="16"/>
          <w:color w:val="auto"/>
        </w:rPr>
        <w:t>In the processing of consumer transactions, our businesses collect, use, store, disclose, transfer, and otherwise process a large volume of personal information and other confidential, proprietary and sensitive data. Breaches or failures of security involving our systems or website or those of any of our affiliates, Network Partners or external service providers have occurred in the past and may occur in the future, and have in the past resulted in, and could in the future result in, the theft, unauthorized access, acquisition, use, disclosure, modification or misappropriation of personal information of our consumers, employees or third parties with whom we conduct business, or other confidential, proprietary and sensitive data, fraudulent activity, or system disruptions or shutdowns. The occurrence of any actual or attempted breach, failure of security or fraudulent activity, the reporting of such an incident, whether accurate or not, or our failure to make adequate or timely disclosures to the public or law enforcement agencies following any such event, whether due to delayed discovery or a failure to follow existing protocols, could result in claims made against us or our affiliates, Network Partners or external service providers, which could result in state and/or federal litigation and related financial liabilities, as well as criminal penalties or civil liabilities, regulatory actions from state and/or federal governmental authorities, and significant fines, orders, sanctions, litigation and claims against us by consumers or third parties and related indemnification obligations. Actual or perceived security breaches or failures also have in the past caused, and may in the future cause, financial losses, increased costs, interruptions in the operations of our business, misappropriation of assets, significant damage to our brand and reputation with consumers and third parties with whom we do business, and result in adverse publicity, loss of consumer confidence, distraction to our management, and reduced sales and profits, any or all of which could have a material and adverse impact on our business, financial condition and results of operations.</w:t>
      </w:r>
    </w:p>
    <w:p>
      <w:pPr>
        <w:spacing w:after="0" w:line="59" w:lineRule="exact"/>
        <w:rPr>
          <w:sz w:val="20"/>
          <w:szCs w:val="20"/>
          <w:color w:val="auto"/>
        </w:rPr>
      </w:pPr>
    </w:p>
    <w:p>
      <w:pPr>
        <w:jc w:val="both"/>
        <w:ind w:firstLine="323"/>
        <w:spacing w:after="0" w:line="285" w:lineRule="auto"/>
        <w:rPr>
          <w:sz w:val="20"/>
          <w:szCs w:val="20"/>
          <w:color w:val="auto"/>
        </w:rPr>
      </w:pPr>
      <w:r>
        <w:rPr>
          <w:rFonts w:ascii="Arial" w:cs="Arial" w:eastAsia="Arial" w:hAnsi="Arial"/>
          <w:sz w:val="16"/>
          <w:szCs w:val="16"/>
          <w:color w:val="auto"/>
        </w:rPr>
        <w:t>Such breaches, failures and fraudulent activity may take many forms, including check fraud, fraudulent inducement, electronic fraud, wire fraud, computer viruses, phishing, social engineering, denial or degradation of service attacks, malware, ransomware or other cyber-attacks, and other dishonest acts, any of which could be the result of a circumvention or failure of our data security processes, procedures, tools, and controls. Our systems are also subject to compromise from internal threats, such as theft, misuse, unauthorized access or other improper actions by employees, external service providers and other third parties with otherwise legitimate access to our systems and website. Data security-related incidents and fraudulent activity are increasing in frequency and evolving in nature. We rely on a framework of security, processes, procedures, tools, and controls designed to protect our information and assets but, given the unpredictability of the timing, nature and scope of data security-related incidents and fraudulent activity, there can be no assurance that any security procedures and controls that we or our external service providers have implemented will be sufficient to prevent data security-related incidents or other fraudulent activity from occurring. Furthermore, because the methods of attack and deception change frequently, are increasingly complex and sophisticated, and can originate from a wide variety of sources, including third parties such as external service providers and even nation-state actors, despite our reasonable efforts to ensure the integrity of our systems and website, it is possible that we may not be able to anticipate, detect, appropriately react and respond to, or implement effective preventative measures against, all security breaches and failures and fraudulent activity. As a result, our business, financial condition or results of operations could be materially and adversely affected.</w:t>
      </w:r>
    </w:p>
    <w:p>
      <w:pPr>
        <w:spacing w:after="0" w:line="62" w:lineRule="exact"/>
        <w:rPr>
          <w:sz w:val="20"/>
          <w:szCs w:val="20"/>
          <w:color w:val="auto"/>
        </w:rPr>
      </w:pPr>
    </w:p>
    <w:p>
      <w:pPr>
        <w:jc w:val="both"/>
        <w:ind w:firstLine="323"/>
        <w:spacing w:after="0" w:line="285" w:lineRule="auto"/>
        <w:rPr>
          <w:sz w:val="20"/>
          <w:szCs w:val="20"/>
          <w:color w:val="auto"/>
        </w:rPr>
      </w:pPr>
      <w:r>
        <w:rPr>
          <w:rFonts w:ascii="Arial" w:cs="Arial" w:eastAsia="Arial" w:hAnsi="Arial"/>
          <w:sz w:val="16"/>
          <w:szCs w:val="16"/>
          <w:color w:val="auto"/>
        </w:rPr>
        <w:t>We also face risks associated with security breaches affecting third parties and their suppliers or partners (fourth parties) with whom we are affiliated or otherwise conduct business. Due to applicable laws and regulations or contractual obligations, we may be held responsible for any breach, failure or fraudulent activity attributed to our affiliates, Network Partners or external service providers as they relate to the information we share with them. In addition, because we do not control our Network Partners or external service providers and our ability to monitor their data security is limited, we cannot ensure the security measures they take will be sufficient to protect our information. 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and adverse impact on our business, financial condition and results of operations. Moreover, there could be public announcements regarding any data security-related incidents and any steps we take to respond to or remediate such incidents, and if securities analysts or investors perceive these announcements to be negative, it could, among other things, have a substantial adverse effect on the price of our common stock. Consumers are generally concerned with security and privacy of the internet, and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5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While we currently maintain cybersecurity insurance, such insurance may not be sufficient in type or amount to cover us against claims related to breaches, failures or other data security-related incidents, and we cannot be certain that cyber insurance will continue to be available to us on economically reasonable terms, or at all, or that any insurer will not deny coverage as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Compliance and Regulation</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63"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We market and provide services in heavily regulated industries through a number of different channels across the United States. As a result, our businesses have been and remain subject to a variety of laws, rules, regulations, statutes, standards, policies and procedures in various jurisdictions in the United States and abroad, which are subject to change at any time. The failure of our businesses to comply with past, existing or new laws, rules and regulations, or to obtain and maintain required licenses, could result in administrative fines or proceedings against us or our businesses by governmental agencies and/or litigation by consumers, which could materially and adversely affect our business, financial condition and results of operations and our brand.</w:t>
      </w:r>
    </w:p>
    <w:p>
      <w:pPr>
        <w:spacing w:after="0" w:line="83"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Our businesses conduct marketing activities via telephone, mail and/or through online marketing channels, and these general marketing activities are governed by numerous federal regulations, such as the TSR, the CAN-SPAM Act, the TCPA, the Federal Trade Commission Act, the Dodd-Frank Wall Street Reform and Consumer Protection Act, RESPA, and various state telemarketing laws, federal and state data privacy and security laws and their accompanying regulations and guidelines, among others. Additionally, increased regulation by the Bureau of Consumer Financial Protection (“CFPB”), the U.S. Federal Trade Commission (“FTC”) and Federal Communications Commission (“FCC”) has resulted in restrictions on our marketing activities.</w:t>
      </w:r>
    </w:p>
    <w:p>
      <w:pPr>
        <w:spacing w:after="0" w:line="52"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Additional federal, state and in some instances, local laws regulate secured and unsecured lending, and insurance brokerage activities, and certain solicitation activities related to registered investment advisors, which impacts our marketplace, partners and consumers. These laws generally regulate the manner in which lending and lending-related activities, and insurance brokerage activities, and solicitation activities related to registered investment advisors are marketed or made available, including advertising and other consumer disclosures, payments for services and record keeping requirements; these laws include RESPA, the Fair Credit Reporting Act, the Truth-in-Lending Act, the Equal Credit Opportunity Act, the Fair Housing Act and various state laws. State laws often restrict the amount (and nature) of interest and fees that may be charged by a lender or mortgage broker, or otherwise regulate the manner in which lenders or mortgage brokers operate or advertise.</w:t>
      </w:r>
    </w:p>
    <w:p>
      <w:pPr>
        <w:spacing w:after="0" w:line="7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State and federal lending laws and regulations generally require accurate disclosure of the critical components of credit costs so that consumers can readily compare credit terms from various lenders. These laws and regulations also impose certain restrictions on the marketing and advertisement of these credit terms. Because we are an aggregator of rate and other information regarding many financial products, including mortgages, loans, deposits and credit cards, we may be subject to some of these laws and regulations and we may be held liable under these laws and regulations for information provided through our online services.</w:t>
      </w:r>
    </w:p>
    <w:p>
      <w:pPr>
        <w:spacing w:after="0" w:line="83"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Our businesses are also subject to various state, federal and/or local laws, rules and regulations limiting or prohibiting inducements, cash rebates and gifts to consumers, which impacts our lead generation business,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Pursuant to the Dodd-Frank Act, the CFPB administers and enforces RESPA, and from time to time issues guidance related to various RESPA compliance topics (see, e.g. CFPB Advisory Opinion “Real Estate Settlement Procedures Act (Regulation X); Digital Mortgage Comparison-Shopping Platforms and Related Payments to Operators” (February 7, 2023)). Some state authorities have also asserted enforcement rights.</w:t>
      </w:r>
    </w:p>
    <w:p>
      <w:pPr>
        <w:spacing w:after="0" w:line="85"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Partners' ability to conduct marketing and referral activities. RESPA and related regulations do, however, contain a number of provisions that allow for payments between unaffiliated entities, including market-based fees for the provision of non-referral goods, services or facilities and advertising arrangements. In addition, RESPA allows for referrals to affiliated entities, including joint ventures, when specific requirements have been met. We rely on these provisions in conducting our business activities.</w:t>
      </w:r>
    </w:p>
    <w:p>
      <w:pPr>
        <w:spacing w:after="0" w:line="54"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231F20"/>
        </w:rPr>
        <w:t xml:space="preserve">Violations of </w:t>
      </w:r>
      <w:r>
        <w:rPr>
          <w:rFonts w:ascii="Arial" w:cs="Arial" w:eastAsia="Arial" w:hAnsi="Arial"/>
          <w:sz w:val="18"/>
          <w:szCs w:val="18"/>
          <w:color w:val="000000"/>
        </w:rPr>
        <w:t>RESPA</w:t>
      </w:r>
      <w:r>
        <w:rPr>
          <w:rFonts w:ascii="Arial" w:cs="Arial" w:eastAsia="Arial" w:hAnsi="Arial"/>
          <w:sz w:val="18"/>
          <w:szCs w:val="18"/>
          <w:color w:val="231F20"/>
        </w:rPr>
        <w:t xml:space="preserve"> or similar state statutes can lead to claims of substantial damages, which may include (but are not limited to) fines, treble damages and attorneys' fees, government enforcement actions, civil and criminal liability, or other remedies. </w:t>
      </w:r>
      <w:r>
        <w:rPr>
          <w:rFonts w:ascii="Arial" w:cs="Arial" w:eastAsia="Arial" w:hAnsi="Arial"/>
          <w:sz w:val="18"/>
          <w:szCs w:val="18"/>
          <w:color w:val="000000"/>
        </w:rPr>
        <w:t>We diligently monitor and assess new regulatory</w:t>
      </w:r>
      <w:r>
        <w:rPr>
          <w:rFonts w:ascii="Arial" w:cs="Arial" w:eastAsia="Arial" w:hAnsi="Arial"/>
          <w:sz w:val="18"/>
          <w:szCs w:val="18"/>
          <w:color w:val="231F20"/>
        </w:rPr>
        <w:t xml:space="preserve"> </w:t>
      </w:r>
      <w:r>
        <w:rPr>
          <w:rFonts w:ascii="Arial" w:cs="Arial" w:eastAsia="Arial" w:hAnsi="Arial"/>
          <w:sz w:val="18"/>
          <w:szCs w:val="18"/>
          <w:color w:val="000000"/>
        </w:rPr>
        <w:t>guidance, enforcement actions and court interpretations of RESPA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part of our ongoing compliance management program and devote substantial resources and management attention to regulatory compliance in light of such developments</w:t>
      </w:r>
      <w:r>
        <w:rPr>
          <w:rFonts w:ascii="Arial" w:cs="Arial" w:eastAsia="Arial" w:hAnsi="Arial"/>
          <w:sz w:val="18"/>
          <w:szCs w:val="18"/>
          <w:color w:val="231F20"/>
        </w:rPr>
        <w:t>.</w:t>
      </w:r>
    </w:p>
    <w:p>
      <w:pPr>
        <w:spacing w:after="0" w:line="63" w:lineRule="exact"/>
        <w:rPr>
          <w:sz w:val="20"/>
          <w:szCs w:val="20"/>
          <w:color w:val="auto"/>
        </w:rPr>
      </w:pPr>
    </w:p>
    <w:p>
      <w:pPr>
        <w:jc w:val="both"/>
        <w:ind w:firstLine="323"/>
        <w:spacing w:after="0" w:line="310" w:lineRule="auto"/>
        <w:rPr>
          <w:sz w:val="20"/>
          <w:szCs w:val="20"/>
          <w:color w:val="auto"/>
        </w:rPr>
      </w:pPr>
      <w:r>
        <w:rPr>
          <w:rFonts w:ascii="Arial" w:cs="Arial" w:eastAsia="Arial" w:hAnsi="Arial"/>
          <w:sz w:val="16"/>
          <w:szCs w:val="16"/>
          <w:color w:val="auto"/>
        </w:rPr>
        <w:t>Various federal, state and, in some instances, local, laws also prohibit unfair, deceptive and abusive marketing and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40"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Regulatory authorities and private plaintiffs may allege that we failed to comply with applicable laws, rules and regulations where we believe we have complied. These allegations may relate to past conduct and/or past business operations.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62"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 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75" w:lineRule="exact"/>
        <w:rPr>
          <w:sz w:val="20"/>
          <w:szCs w:val="20"/>
          <w:color w:val="auto"/>
        </w:rPr>
      </w:pPr>
    </w:p>
    <w:p>
      <w:pPr>
        <w:jc w:val="both"/>
        <w:ind w:firstLine="323"/>
        <w:spacing w:after="0" w:line="285" w:lineRule="auto"/>
        <w:rPr>
          <w:sz w:val="20"/>
          <w:szCs w:val="20"/>
          <w:color w:val="auto"/>
        </w:rPr>
      </w:pPr>
      <w:r>
        <w:rPr>
          <w:rFonts w:ascii="Arial" w:cs="Arial" w:eastAsia="Arial" w:hAnsi="Arial"/>
          <w:sz w:val="16"/>
          <w:szCs w:val="16"/>
          <w:color w:val="auto"/>
        </w:rPr>
        <w:t>In the course of our operations and the processing of consumer transactions, our businesses collect, use, store, disclose, transfer and otherwise process a large volume of personal information, including from our consumers, employees and third parties with whom we conduct business, and other user data. The collection, use, storage, disclosure, transfer and other processing of personal information is increasingly subject to a wide array of federal and state laws and regulations regarding data privacy and security, including the GLBA, that are intended to protect the privacy of personal information that is collected, used, stored, disclosed, transferred and otherwise processed in or from the governing jurisdiction. Some countries, including India, also are considering or have passed legislation requiring local storage and processing of data, or similar requirements, which could increase the cost and complexity of delivering our products and services. As we seek to expand our business, we are, and may increasingly become, subject to various laws, regulations and standards, as well as contractual obligations, relating to data use, privacy and security in the jurisdictions in which we operate. In many cases, these laws and regulations apply not only to third-party transactions, but also to transfers of information between or among us, our affiliates and other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regulatory framework for data privacy and security worldwide is continuously evolving and developing and, as a result, interpretation and implementation standards and enforcement practices are likely to remain uncertain for the foreseeable future.</w:t>
      </w:r>
    </w:p>
    <w:p>
      <w:pPr>
        <w:spacing w:after="0" w:line="62"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In the United States, various federal and state regulators, including governmental agencies, like the CFPB and FTC, have adopted, or are considering adopting, laws and regulations concerning personal information and data privacy and security. This patchwork of legislation and regulation may give rise to conflicts or differing views of personal privacy rights. For example, certain state laws may be more stringent or broader in scope, or offer greater individual rights, with respect to personal information than federal, international or other state laws, and such laws may differ from each other, all of which may complicate compliance efforts. At the federal level, we are subject to the GLBA, which restricts certain collection, storage, use, disclosure and other processing by covered companies of certain personal information, requires notice to individuals of privacy practices and provides individuals with certain rights to prevent the use and disclosure of certain non-public or otherwise legally protected personal information. The GLBA also imposes requirements regarding the safeguarding and proper destruction 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personal information through the issuance of data security standards or guidelines. In addition, many states in which we operate have laws that protect the privacy and security of personal information. For example, the California Consumer Privacy Act (the “CCPA”) requires covered companies to, among other things, provide certain disclosures to California residents and provide such residents with certain data protection and privacy rights, including the ability to opt-out of certain sales of personal information. The CCPA provides for civil penalties for violations, as well as a private right of action for certain data breaches that result in the loss of certain personal information. This private right of action may increase the likelihood of, and risks associated with, data breach litigation. The passage of the California Privacy Rights Act (“CPRA”), which expands upon the CCPA, will bring additional compliance obligations with respect to certain processing of personal information of California residents and became effective in most material respects on January 1, 2023. The CCPA and the CPRA contain several exemptions, including a provision to the effect that the CCPA and CPRA do not apply where the personal information is collected, processed, sold or disclosed pursuant to the GLBA. It is possible that further amendments to the CCPA and the CPRA will be enacted, but even in their current forms it remains unclear how various provisions of the CCPA and CPRA will be interpreted and enforced. Numerous other states also have enacted or are in the process of enacting state-level data privacy and security laws and regulations and there is discussion in Congress of a new federal data protection and privacy law to which we may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w:t>
      </w:r>
    </w:p>
    <w:p>
      <w:pPr>
        <w:spacing w:after="0" w:line="67" w:lineRule="exact"/>
        <w:rPr>
          <w:sz w:val="20"/>
          <w:szCs w:val="20"/>
          <w:color w:val="auto"/>
        </w:rPr>
      </w:pPr>
    </w:p>
    <w:p>
      <w:pPr>
        <w:jc w:val="both"/>
        <w:ind w:firstLine="323"/>
        <w:spacing w:after="0" w:line="268" w:lineRule="auto"/>
        <w:rPr>
          <w:sz w:val="20"/>
          <w:szCs w:val="20"/>
          <w:color w:val="auto"/>
        </w:rPr>
      </w:pPr>
      <w:r>
        <w:rPr>
          <w:rFonts w:ascii="Arial" w:cs="Arial" w:eastAsia="Arial" w:hAnsi="Arial"/>
          <w:sz w:val="17"/>
          <w:szCs w:val="17"/>
          <w:color w:val="auto"/>
        </w:rPr>
        <w:t>Many statutory requirements, both in the United States and abroad, include obligations for companies to notify individuals of data breaches involving certain personal information, which have in the past resulted from and may in the future result from, breaches experienced by us or our external service providers. For example, laws in all 50 U.S. states require businesses to provide notice to consumers whose personal information has been disclosed as a result of a data breach. These laws are not consistent, and compliance in the event of a widespread data breach is difficult and costly. Moreover, states have been frequently amending existing laws, requiring attention to changing regulatory requirements. We also may be contractually required to notify consumers or other third parties of a security breach. Although we may have contractual protections with our external service providers, actual or perceived security breaches have in the past resulted in, and may in the future result in, harm to our reputation and brand, exposure to potential liability or a need to expend significant resources on data security and in responding to any such actual or perceived breach. Any contractual protections we may have from our external service providers may not be sufficient to adequately protect us from any such liabilities and losses, and we may be unable to enforce any such contractual protections.</w:t>
      </w:r>
    </w:p>
    <w:p>
      <w:pPr>
        <w:spacing w:after="0" w:line="75" w:lineRule="exact"/>
        <w:rPr>
          <w:sz w:val="20"/>
          <w:szCs w:val="20"/>
          <w:color w:val="auto"/>
        </w:rPr>
      </w:pPr>
    </w:p>
    <w:p>
      <w:pPr>
        <w:jc w:val="both"/>
        <w:ind w:firstLine="323"/>
        <w:spacing w:after="0" w:line="285" w:lineRule="auto"/>
        <w:rPr>
          <w:sz w:val="20"/>
          <w:szCs w:val="20"/>
          <w:color w:val="auto"/>
        </w:rPr>
      </w:pPr>
      <w:r>
        <w:rPr>
          <w:rFonts w:ascii="Arial" w:cs="Arial" w:eastAsia="Arial" w:hAnsi="Arial"/>
          <w:sz w:val="16"/>
          <w:szCs w:val="16"/>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We may be unable to make such changes and modifications in a commercially reasonable manner, or at all.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w:t>
      </w:r>
    </w:p>
    <w:p>
      <w:pPr>
        <w:spacing w:after="0" w:line="59" w:lineRule="exact"/>
        <w:rPr>
          <w:sz w:val="20"/>
          <w:szCs w:val="20"/>
          <w:color w:val="auto"/>
        </w:rPr>
      </w:pPr>
    </w:p>
    <w:p>
      <w:pPr>
        <w:jc w:val="both"/>
        <w:ind w:firstLine="323"/>
        <w:spacing w:after="0" w:line="290" w:lineRule="auto"/>
        <w:rPr>
          <w:sz w:val="20"/>
          <w:szCs w:val="20"/>
          <w:color w:val="auto"/>
        </w:rPr>
      </w:pPr>
      <w:r>
        <w:rPr>
          <w:rFonts w:ascii="Arial" w:cs="Arial" w:eastAsia="Arial" w:hAnsi="Arial"/>
          <w:sz w:val="16"/>
          <w:szCs w:val="16"/>
          <w:color w:val="auto"/>
        </w:rPr>
        <w:t>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products and services compromise the privacy of consumers and others. Any concerns about our data privacy and security practices, even if unfounded, could damage the reputation of our businesses, discourage potential users from our products and services and have a material and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Any failure or perceived failure by us or our Network Partners or external service providers to comply with our posted privacy policies or with any applicable federal, state or foreign laws, regulations, standards, certifications or orders relating to data privacy or security or consumer protection, or any compromise of security that results in the theft, unauthorized access, acquisition, use, disclosure, or misappropriation of personal information or other user data, could result in fines or proceedings or litigation by governmental agencies or consumers, including class action privacy litigation in certain jurisdictions, which would subject us to significant awards, penalties or judgments, one or all of which could materially and adversely affect our business, financial condition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severe criminal or civil sanctions, all of which may affect our financial condition, operating results and our reputation.</w:t>
      </w:r>
    </w:p>
    <w:p>
      <w:pPr>
        <w:spacing w:after="0" w:line="178"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i w:val="1"/>
          <w:iCs w:val="1"/>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41" w:lineRule="exact"/>
        <w:rPr>
          <w:sz w:val="20"/>
          <w:szCs w:val="20"/>
          <w:color w:val="auto"/>
        </w:rPr>
      </w:pPr>
    </w:p>
    <w:p>
      <w:pPr>
        <w:jc w:val="both"/>
        <w:ind w:firstLine="323"/>
        <w:spacing w:after="0" w:line="268" w:lineRule="auto"/>
        <w:rPr>
          <w:sz w:val="20"/>
          <w:szCs w:val="20"/>
          <w:color w:val="auto"/>
        </w:rPr>
      </w:pPr>
      <w:r>
        <w:rPr>
          <w:rFonts w:ascii="Arial" w:cs="Arial" w:eastAsia="Arial" w:hAnsi="Arial"/>
          <w:sz w:val="17"/>
          <w:szCs w:val="17"/>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Further, as mandated by the federal Secure and Fair Enforcement of Mortgage Licensing Act of 2008 (the “SAFE Act”), states adopted certain minimum standards for the licensing of individuals involved in mortgage lending or loan brokering. States also require licenses to undertake certain insurance brokerage activities, and state or federal licensure or registration is required to undertake solicitation activities involving registered investment advisors. Compliance with these requirements may render it more difficult for us and our Network Partners to operate or may raise our internal costs or the costs of our Network Partners, which may be passed on to us through less favorable commercial arrangements. While our businesses have endeavored to comply with applicable requirements, the application of these requirements to our business and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71"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Regulations promulgated by some states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63"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The impact of the changes in tax legislation on future years may be material to our consolidated financial statements. Similarly, changes in tax laws and regulations that impact our Network Partners or the economy generally may also impact our financial condition and results of operations. In addition, tax laws and regulations are complex and subject to varying interpretations, and any significant failure to comply with applicable tax laws and regulations in all relevant jurisdictions could give rise to substantial penalties and liabilities. Any changes in enacted tax laws, rules or regulatory or judicial interpretations (including any attempt to tax online services such as those offered by us); any adverse outcome in connection with tax audits in any jurisdiction; or any change in the pronouncements relating to accounting for income taxes could materially and adversely impact our effective tax rate, tax payments,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5"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As of December 31, 2022, we had pre-tax consolidated federal net operating losses (“NOLs”) of $187.9 million. The federal NOLs no longer expire under the Tax Cuts and Jobs Act (“TCJA”). Our NOLs will be available to offset taxable income subject to the limitations found in Internal Revenue Code Sections 382 and 383. In addition, we have state NOLs of approximately $517.0 million at December 31, 2022, some of which will expire at various times between 2023 and 2042. The state NOLs could expire before we are able to utilize them. If we experience one or more ownership changes in the future as a result of future transactions in our stock, our ability to utilize NOLs could be limited. Our ability to use our NOLs was limited on an annual basis by the TCJA. This limitation was deferred for tax years 2019 and 2020 by the 2020 Coronavirus Aid, Relief, and Economic Security (“CARES”) 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63"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From time to time, in the ordinary course of business we are subjected to actual and threatened legal proceedings, claims and counterclaims, including allegations relating to infringement of the patents, trademarks, copyrights and other intellectual property and similar proprietary rights, and misappropriation of trade secrets, of third parties. Our success depends, in part, on our ability to develop and commercialize our products and services without infringing, misappropriating or otherwise violating the intellectual property rights of third parties. However, we may not be aware or we may disagree that our products or services are infringing, misappropriating or otherwise violating third-party intellectual property rights and such third parties may bring claims alleging such infringement, misappropriation or violation. Lawsuits are often time-consuming and expensive to resolve and they may divert management’s time and attention. Patent litigation tends to be particularly protracted and expensive. Our technologies may not be able to withstand any third-party claims against their use.</w:t>
      </w:r>
    </w:p>
    <w:p>
      <w:pPr>
        <w:spacing w:after="0" w:line="75"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18"/>
          <w:szCs w:val="18"/>
          <w:color w:val="auto"/>
        </w:rPr>
        <w:t>In addition, many companies may have the capability to dedicate substantially greater resources to enforce their intellectual property rights and to defend claims that may be brought against them. If a third party is able to obtain an injunction preventing us from accessing third-party intellectual property rights, or if we cannot license or develop alternative technology for any infringing aspect of our business, we may be forced to limit or stop sales of our products and services or cease business activities related to such intellectual property. Our insurance may not cover potential claims of this type or may not be adequate to indemnify us for all liability that may be imposed. We cannot predict the outcome of lawsuits and cannot ensure that the results of any such actions will not have an adverse impact on our business, financial condition or results of operations. Uncertainties resulting from the initiation and continuation of intellectual property-related litigation or proceedings could adversely affect our ability to compete in the marketplace. Any intellectual property litigation to which we might become a party, or for which we are required to provide indemnification, may require us to do one or more of the following:</w:t>
      </w:r>
    </w:p>
    <w:p>
      <w:pPr>
        <w:spacing w:after="0" w:line="86" w:lineRule="exact"/>
        <w:rPr>
          <w:sz w:val="20"/>
          <w:szCs w:val="20"/>
          <w:color w:val="auto"/>
        </w:rPr>
      </w:pPr>
    </w:p>
    <w:p>
      <w:pPr>
        <w:ind w:left="640" w:hanging="310"/>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cease selling or using products or services that incorporate the intellectual property rights that we allegedly infringe, misappropriate or violate;</w:t>
      </w:r>
    </w:p>
    <w:p>
      <w:pPr>
        <w:spacing w:after="0" w:line="138" w:lineRule="exact"/>
        <w:rPr>
          <w:rFonts w:ascii="Arial" w:cs="Arial" w:eastAsia="Arial" w:hAnsi="Arial"/>
          <w:sz w:val="16"/>
          <w:szCs w:val="16"/>
          <w:color w:val="auto"/>
        </w:rPr>
      </w:pPr>
    </w:p>
    <w:p>
      <w:pPr>
        <w:ind w:left="640" w:hanging="31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5"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redesign or rebrand the allegedly infringing products or services to avoid infringement, misappropriation or violation, which could be costly, time-consuming or impossible.</w:t>
      </w:r>
    </w:p>
    <w:p>
      <w:pPr>
        <w:spacing w:after="0" w:line="63"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Any litigation of this nature, regardless of outcome or merit, could result in substantial costs and diversion of management and technical resources, any of which could materially and adversely impact our business, financial condition and results of operations.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or other adverse consequences.</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6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We regard our intellectual property rights, including our patents, trademarks, service marks, copyrights, domain names, trade secrets and similar intellectual property and proprietary rights (as applicable), as critical to our success. Our businesses also rely heavily upon software, informational databases and other components that make up their products and services.</w:t>
      </w:r>
    </w:p>
    <w:p>
      <w:pPr>
        <w:spacing w:after="0" w:line="75"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18"/>
          <w:szCs w:val="18"/>
          <w:color w:val="auto"/>
        </w:rPr>
        <w:t>We rely on a combination of laws, confidentiality procedures and contractual restrictions with employees, consumers, suppliers, affiliates and others to establish and protect our intellectual property and similar proprietary rights. However, the steps we take to obtain, maintain, enforce and protect our intellectual property and similar proprietary rights may be inadequate. We may not be able to protect our intellectual property and similar proprietary rights if we are unable to enforce our rights or if we do not detect unauthorized use of our intellectual property or similar proprietary rights. If we fail to protect our intellectual property and similar proprietary rights adequately, third parties, including our competitors, may gain access to our intellectual property and proprietary technology and develop and commercialize substantially identical products, services or technologies, which would harm our business, financial condition and results of operations. Despite the precautions we have in place, it may be possible for a third party to copy or otherwise obtain and use our intellectual property, including our trade secrets, without authorization. In addition, third parties may independently and lawfully develop substantially similar intellectual property.</w:t>
      </w:r>
    </w:p>
    <w:p>
      <w:pPr>
        <w:spacing w:after="0" w:line="86"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In some cases, litigation or other actions may be necessary to protect or enforce our intellectual property and similar proprietary rights or to determine the validity and scope of intellectual or proprietary rights claimed by others. Defending, protecting and enforcing our intellectual property and similar proprietary rights might entail significant expense or be time-consuming or distracting to management. Further, our efforts to enforce our intellectual property rights may be met with defenses, counterclaims, and countersuits attacking the validity and enforceability of our intellectual property rights, and if such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defenses, counterclaims or countersuits are successful, we could lose valuable intellectual property rights. Furthermore, because of the substantial amount of discovery required in connection with intellectual property litigation, there is a risk that some of our confidential or sensitive information could be compromised by disclosure in the event of litigation.</w:t>
      </w:r>
    </w:p>
    <w:p>
      <w:pPr>
        <w:spacing w:after="0" w:line="75"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strive to protect our trademarks, service marks and domain names, effective trademark protection may not be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our brand names and reputation, and limit our ability to control marketing on or through the Internet using our various domain names or otherwise, which could materially and adversely impact our business, financial condition and results of operations.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62"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6"/>
          <w:szCs w:val="16"/>
          <w:color w:val="auto"/>
        </w:rPr>
        <w:t>We have been granted one U.S. patent and own one provisional U.S. patent and from time to time we may have patent applications pending with the USPTO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Likewise, the issuance of a patent to us does not mean that our processes or inventions will be found not to infringe upon patents or other intellectual property rights of third parties. There may be issued patents of which we are not aware, held by third parties that, if found to be valid and enforceable, could be alleged to be infringed by our current or future processes or inventions. There also may be pending patent applications of which we are not aware that may result in issued patents, which could be alleged to be infringed by our current or future processes or inventions. Moreover, third parties may create new products or methods that achieve similar results without infringing upon patents that we own.</w:t>
      </w:r>
    </w:p>
    <w:p>
      <w:pPr>
        <w:spacing w:after="0" w:line="61"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 xml:space="preserve">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Furthermore, legal standards relating to the validity, enforceability, and scope of protection of intellectual property rights are often uncertain. Patent, trademark, copyright, and trade secret protection may not be available to us. In addition, the laws of some foreign countries may not be as protective of intellectual property rights as those in the United States, and mechanisms for enforcement of intellectual property rights may be inadequate. As we expand our activities, our exposure to unauthorized copying and use of our intellectual property and similar proprietary rights will likely increase. Moreover, policing unauthorized use of our intellectual property and similar proprietary rights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misappropriating or otherwise violating our intellectual property or similar proprietary rights.</w:t>
      </w:r>
    </w:p>
    <w:p>
      <w:pPr>
        <w:spacing w:after="0" w:line="57"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We cannot ensure that all persons and entities contributing to our intellectual property have validly assigned to us all applicable intellectual property rights they may have or that we will be able to enforce our rights under any such agreements. Moreover, we cannot guarantee that we have entered into confidentiality agreements with each party that has or may have had access to our confidential or proprietary information, know-how and trade secrets, or that any such confidentiality agreements will be effective in controlling access to, and distribution, use, misuse, misappropriation, reverse engineering or disclosure of, our confidential or proprietary information, know-how and trade secrets. These agreements may be breached, and we may not have adequate remedies for any such breach.</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In the ordinary course of business, we are party to litigation involving contract, intellectual property and a variety of other claims, which could adversely affect our business and financial condition.</w:t>
      </w:r>
    </w:p>
    <w:p>
      <w:pPr>
        <w:spacing w:after="0" w:line="6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We are involved in various legal proceedings and claims which have involved and may in the future involve taxes, contract, alleged infringement of third-party intellectual property rights, consumer protection, securities laws, and other claims, including, but not limited to, the legal proceedings described in Part I, Item 3, Legal Proceedings. These matters could involve claims for substantial amounts of money or for other relief that might necessitate changes to our business or operations.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defense of these actions has been, and will likely continue to be, both time consuming and expensive, and the outcomes of these actions cannot be predicted with certainty. Determining reserves for pending litigation is a complex, fact-intensive process that requires significant legal judgment. It is possible that unfavorable outcomes in one or more such proceedings could result in substantial payments that could adversely affect our business, consolidated financial position, results of operations, or cash flows in a particular period.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ability to do business and consolidated financial statements may be harmed by improper conduct by our business partners.</w:t>
      </w:r>
    </w:p>
    <w:p>
      <w:pPr>
        <w:spacing w:after="0" w:line="138"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Our business partners (or businesses we acquire or partner with) may violate U.S. and/or non-U.S. laws, including the laws governing payments to government officials, bribery, fraud, kickbacks and false claims, pricing, sales and marketing practices, conflicts of interest, competition, employment practices and workplace behavior, export and import compliance, money laundering and data privacy and security. Our business partners typically act as independent contractors and not as agents in their solicitations and transactions with consumers, and we cannot ensure that these entities will comply with applicable laws and regulations at all times. Failure on the part of a lender, insurer, website operator or other third party to comply with applicable laws or regulations could result in, among other things, claims of liability against us, claims of vicarious liability or a negative impact on our reputation and business.</w:t>
      </w:r>
    </w:p>
    <w:p>
      <w:pPr>
        <w:spacing w:after="0" w:line="19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63"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Some of the states in which our businesses maintain licenses require us to collect various loan documents from our Network Partners and produce these documents for examination by state regulators. While our Network Partners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63"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In the event that our chief executive officer, chief financial officer, or independent registered public accounting firm determines in the future that our internal control over financial reporting is not effective as defined under Section 404 of the Sarbanes-Oxley Act, we could be subject to one or more investigations or enforcement actions by state or federal regulatory agencies, stockholder lawsuits or other adverse actions requiring us to incur defense costs, pay fines, settlements or judgments, thereby causing investor perceptions to be adversely affected and potentially resulting in restatement of our consolidated financial statements for prior periods and a decline in the market price of our stock.</w:t>
      </w:r>
    </w:p>
    <w:p>
      <w:pPr>
        <w:spacing w:after="0" w:line="67"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6"/>
          <w:szCs w:val="16"/>
          <w:color w:val="auto"/>
        </w:rPr>
        <w:t>In addition, our current internal controls and any new controls we implement may become inadequate because of changes in conditions in our business or information technology systems or changes in the applicable laws, regulations and standards. We may, in the future, acquire or invest in companies that were not subject to the Sarbanes-Oxley regulations prior to acquisition and accordingly were not required to establish and maintain an internal control infrastructure meeting the standards promulgated under the Sarbanes-Oxley Act. Any failure to design or operate effective controls, any difficulties encountered in their implementation or improvement, or any failure to implement adequate internal controls for certain investments or our acquired companies could harm our operating results or cause us to fail to meet our reporting obligations. Not correctly designing controls nor fully recognizing, understanding or testing the state of or changes in our internal control environment could also adversely affect the results of management evaluations and independent registered public accounting firm audits of our internal control over financial reporting, about which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stock market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exposed to liabilities under the Foreign Corrupt Practices Act (“FCPA”), which could have a material adverse effect on our business.</w:t>
      </w:r>
    </w:p>
    <w:p>
      <w:pPr>
        <w:spacing w:after="0" w:line="138"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Our operations in India may subject us to compliance with various laws and regulations, including the FCPA and similar anti-bribery and anti-corruption laws, which generally prohibit companies and their intermediaries from engaging in bribery or making other improper payments to private or public parties for the purpose of obtaining or retaining business or gaining an unfair business advantage. The FCPA also requires proper record keeping and characterization of such payments in our reports filed with the SEC. Violations of these laws could result in severe criminal or civil sanctions and financial penalties and other consequences that may have a material adverse effect on our business, reputation,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regulation of the Internet, mobile carriers and their partners could negatively affect our business.</w:t>
      </w:r>
    </w:p>
    <w:p>
      <w:pPr>
        <w:spacing w:after="0" w:line="115"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Our business is dependent on the continued growth and maintenance of the Internet’s infrastructure, as well as our ability to market products through channels such as e-mail and voice and text messaging. There can be no assurance that the Internet’s infrastructure will continue to be able to support the demands placed on it by sustained growth in the number of users and amount of traffic. To the extent that the Internet’s infrastructure is unable to support the demands placed on it, our business may be impacted. We may also be disadvantaged by the adverse effect of any delays or cancellations of private sector or government initiatives designed to expand broadband access. The reduction in the growth of, or a decline in, broadband and Internet access poses a risk to us.</w:t>
      </w:r>
    </w:p>
    <w:p>
      <w:pPr>
        <w:spacing w:after="0" w:line="83"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In addition, federal, state and international government bodies and agencies have in the past adopted, and may in the future adopt, laws and regulations affecting the use of the Internet as a commercial medium. Changes in these laws or regulations could adversely affect the demand for our products and services or require us to modify our products and services in order to comply with these changes. Laws, rules and regulations governing advertising and e-commerce through Internet communications and mobile carriers and their partners are dynamic, and the extent of future government regulation is uncertain. Federal and state regulations govern various aspects of our online business, including intellectual property ownership, infringement and misappropriation, including with respect to trade secrets, the distribution of electronic communications, marketing and advertising, data privacy and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63"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In response to conditions in the U.S. financial markets and economy, as well as a heightened regulatory and Congressional focus on consumer and small business lending and consumer investing,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 Likewise, states or municipalities may adopt statutes or regulations making it unattractive, impracticable or infeasible for our businesses to continue to conduct business in such jurisdictions. The impact of additional future regulations and/or withdrawal from any jurisdiction due to emerging legal requirements could materially and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Fluctuations in our operating results, quarter to quarter earnings and other factors may result in significant decreases in the price of our common stock.</w:t>
      </w:r>
    </w:p>
    <w:p>
      <w:pPr>
        <w:spacing w:after="0" w:line="6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 market price for our common stock has been volatile, as the trading volume has fluctuated and may continue to fluctuate, causing significant price variations to occur. From when we became a publicly-traded company to as of December 31, 2022, the price per share of our common stock has fluctuated from an intraday low of $1.42 per share to an intraday high of $434.94 per share. The market price of our common stock may fluctuate or decline significantly in the future. Some of the factors that could negatively affect the price of our common stock or result in fluctuations in the price or trading volume of our common stock include:</w:t>
      </w:r>
    </w:p>
    <w:p>
      <w:pPr>
        <w:spacing w:after="0" w:line="83" w:lineRule="exact"/>
        <w:rPr>
          <w:sz w:val="20"/>
          <w:szCs w:val="20"/>
          <w:color w:val="auto"/>
        </w:rPr>
      </w:pPr>
    </w:p>
    <w:p>
      <w:pPr>
        <w:ind w:left="640" w:hanging="31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success of introductions of new products and services;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rapid technological change, frequent new product introductions and evolving industry standards;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our quarterly operating and financial results or our projected operating and financial results;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meet analysts' earnings estimates;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publication of research reports about us, our Network Partners or our industry;</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preferred or common stock we may issue in the future;</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2"/>
        </w:numPr>
        <w:rPr>
          <w:rFonts w:ascii="Arial" w:cs="Arial" w:eastAsia="Arial" w:hAnsi="Arial"/>
          <w:sz w:val="17"/>
          <w:szCs w:val="17"/>
          <w:b w:val="1"/>
          <w:bCs w:val="1"/>
          <w:color w:val="auto"/>
        </w:rPr>
      </w:pPr>
      <w:r>
        <w:rPr>
          <w:rFonts w:ascii="Arial" w:cs="Arial" w:eastAsia="Arial" w:hAnsi="Arial"/>
          <w:sz w:val="18"/>
          <w:szCs w:val="18"/>
          <w:color w:val="auto"/>
        </w:rPr>
        <w:t>actions by stockholders, including “activist” investors;</w:t>
      </w:r>
    </w:p>
    <w:p>
      <w:pPr>
        <w:spacing w:after="0" w:line="115" w:lineRule="exact"/>
        <w:rPr>
          <w:rFonts w:ascii="Arial" w:cs="Arial" w:eastAsia="Arial" w:hAnsi="Arial"/>
          <w:sz w:val="17"/>
          <w:szCs w:val="17"/>
          <w:b w:val="1"/>
          <w:bCs w:val="1"/>
          <w:color w:val="auto"/>
        </w:rPr>
      </w:pPr>
    </w:p>
    <w:p>
      <w:pPr>
        <w:ind w:left="640" w:hanging="31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market valuations of other companies in our industry, including our Network Partners and competitors;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30"/>
        <w:spacing w:after="0" w:line="27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from one or more large, well-established technology companies;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systems, data center, website and internet failures, breaches and service interruptions;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speculation in the press or investment community, including the short selling of our common stock;</w:t>
      </w:r>
    </w:p>
    <w:p>
      <w:pPr>
        <w:spacing w:after="0" w:line="115"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affecting our industry or enforcement of these laws and regulations, or announcements relating to these matters;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threatened or actual ligation;</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key employees; and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general economic or market conditions.</w:t>
      </w:r>
    </w:p>
    <w:p>
      <w:pPr>
        <w:spacing w:after="0" w:line="115"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The stock market is subject to frequent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 You should also be aware that price volatility may be greater if the public float and trading volume of our common stock are low. These factors may result in short-term or long-term negative pressure on the value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publish inaccurate or unfavorable research about our business, our stock price and trading volume could decline.</w:t>
      </w:r>
    </w:p>
    <w:p>
      <w:pPr>
        <w:spacing w:after="0" w:line="138"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One holder of our common stock owns a substantial portion of our outstanding common stock, which concentrates voting control and limits your ability to influence corporate matters.</w:t>
      </w:r>
    </w:p>
    <w:p>
      <w:pPr>
        <w:spacing w:after="0" w:line="6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As of February 27, 2023, Douglas Lebda, our Chairman and Chief Executive Officer, beneficially owned approximately 21% of our outstanding common stock. Additionally, Mr. Lebda holds options to purchase up to 485,942 shares of our common stock that are not included in beneficial ownership because Mr. Lebda does not have the right to acquire them within 60 days of February 27, 2023. If these options were exercisable, they would represent additional beneficial ownership of approximately 3% of our outstanding common stock.</w:t>
      </w:r>
    </w:p>
    <w:p>
      <w:pPr>
        <w:spacing w:after="0" w:line="77"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Therefore, for the foreseeable future, Mr. Lebda will have influence over our management and affairs and all matters requiring stockholder approval, including the election or removal (with or without cause) of directors and approval of any significant corporate transaction, such as a merger or other sale of us or our assets. The interests of Mr. Lebda may not necessarily align with the interests of our other stockholders. Mr. Lebda could elect to sell a significant interest in us and you may receive less than the then-current fair market value or the price you paid for your shares as a result of such transaction.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common stock by our existing stockholders may cause our stock price to fall.</w:t>
      </w:r>
    </w:p>
    <w:p>
      <w:pPr>
        <w:spacing w:after="0" w:line="115" w:lineRule="exact"/>
        <w:rPr>
          <w:sz w:val="20"/>
          <w:szCs w:val="20"/>
          <w:color w:val="auto"/>
        </w:rPr>
      </w:pPr>
    </w:p>
    <w:p>
      <w:pPr>
        <w:jc w:val="both"/>
        <w:ind w:firstLine="323"/>
        <w:spacing w:after="0" w:line="305" w:lineRule="auto"/>
        <w:rPr>
          <w:sz w:val="20"/>
          <w:szCs w:val="20"/>
          <w:color w:val="auto"/>
        </w:rPr>
      </w:pPr>
      <w:r>
        <w:rPr>
          <w:rFonts w:ascii="Arial" w:cs="Arial" w:eastAsia="Arial" w:hAnsi="Arial"/>
          <w:sz w:val="17"/>
          <w:szCs w:val="17"/>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41"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We may issue additional shares of our common stock in the future pursuant to current or future equity incentive plans, or in connection with current or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stockholders to replace or remove our management and affect the market price of our common stock.</w:t>
      </w:r>
    </w:p>
    <w:p>
      <w:pPr>
        <w:spacing w:after="0" w:line="63" w:lineRule="exact"/>
        <w:rPr>
          <w:sz w:val="20"/>
          <w:szCs w:val="20"/>
          <w:color w:val="auto"/>
        </w:rPr>
      </w:pPr>
    </w:p>
    <w:p>
      <w:pPr>
        <w:ind w:right="20" w:firstLine="323"/>
        <w:spacing w:after="0" w:line="305" w:lineRule="auto"/>
        <w:rPr>
          <w:sz w:val="20"/>
          <w:szCs w:val="20"/>
          <w:color w:val="auto"/>
        </w:rPr>
      </w:pPr>
      <w:r>
        <w:rPr>
          <w:rFonts w:ascii="Arial" w:cs="Arial" w:eastAsia="Arial" w:hAnsi="Arial"/>
          <w:sz w:val="17"/>
          <w:szCs w:val="17"/>
          <w:color w:val="auto"/>
        </w:rPr>
        <w:t>Provisions in our certificate of incorporation and bylaws, as amended and restated (“bylaws”), may have the effect of delaying or preventing a change of control or changes in our management. Our amended and restated certificate of incorporation and/or bylaws include provisions that:</w:t>
      </w:r>
    </w:p>
    <w:p>
      <w:pPr>
        <w:spacing w:after="0" w:line="41" w:lineRule="exact"/>
        <w:rPr>
          <w:sz w:val="20"/>
          <w:szCs w:val="20"/>
          <w:color w:val="auto"/>
        </w:rPr>
      </w:pPr>
    </w:p>
    <w:p>
      <w:pPr>
        <w:ind w:left="660" w:hanging="330"/>
        <w:spacing w:after="0" w:line="275" w:lineRule="auto"/>
        <w:tabs>
          <w:tab w:leader="none" w:pos="652" w:val="left"/>
        </w:tabs>
        <w:numPr>
          <w:ilvl w:val="0"/>
          <w:numId w:val="24"/>
        </w:numPr>
        <w:rPr>
          <w:rFonts w:ascii="Arial" w:cs="Arial" w:eastAsia="Arial" w:hAnsi="Arial"/>
          <w:sz w:val="17"/>
          <w:szCs w:val="17"/>
          <w:b w:val="1"/>
          <w:bCs w:val="1"/>
          <w:color w:val="auto"/>
        </w:rPr>
      </w:pPr>
      <w:r>
        <w:rPr>
          <w:rFonts w:ascii="Arial" w:cs="Arial" w:eastAsia="Arial" w:hAnsi="Arial"/>
          <w:sz w:val="18"/>
          <w:szCs w:val="18"/>
          <w:color w:val="auto"/>
        </w:rPr>
        <w:t>authorize our board of directors to issue, without further action by our stockholders, up to five million shares of undesignated preferred stock, sometimes referred to as “blank check preferred”;</w:t>
      </w:r>
    </w:p>
    <w:p>
      <w:pPr>
        <w:spacing w:after="0" w:line="63" w:lineRule="exact"/>
        <w:rPr>
          <w:rFonts w:ascii="Arial" w:cs="Arial" w:eastAsia="Arial" w:hAnsi="Arial"/>
          <w:sz w:val="17"/>
          <w:szCs w:val="17"/>
          <w:b w:val="1"/>
          <w:bCs w:val="1"/>
          <w:color w:val="auto"/>
        </w:rPr>
      </w:pPr>
    </w:p>
    <w:p>
      <w:pPr>
        <w:ind w:left="640" w:hanging="310"/>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5"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115"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115" w:lineRule="exact"/>
        <w:rPr>
          <w:sz w:val="20"/>
          <w:szCs w:val="20"/>
          <w:color w:val="auto"/>
        </w:rPr>
      </w:pPr>
    </w:p>
    <w:p>
      <w:pPr>
        <w:jc w:val="both"/>
        <w:ind w:firstLine="323"/>
        <w:spacing w:after="0" w:line="310" w:lineRule="auto"/>
        <w:rPr>
          <w:sz w:val="20"/>
          <w:szCs w:val="20"/>
          <w:color w:val="auto"/>
        </w:rPr>
      </w:pPr>
      <w:r>
        <w:rPr>
          <w:rFonts w:ascii="Arial" w:cs="Arial" w:eastAsia="Arial" w:hAnsi="Arial"/>
          <w:sz w:val="16"/>
          <w:szCs w:val="16"/>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spacing w:after="0" w:line="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will be the sole and exclusive forum for substantially all disputes between the Company and its stockholders, which could limit stockholders’ ability to obtain a favorable judicial forum for disputes with our Company or our directors, officers or employees.</w:t>
      </w:r>
    </w:p>
    <w:p>
      <w:pPr>
        <w:spacing w:after="0" w:line="223"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Court of Chancery of the State of Delaware is the sole and exclusive forum for: (i) any derivative action or proceeding brought on behalf of us, (ii) any action asserting a claim of breach of a fiduciary duty owed by any director, officer or other employee of our Company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except as to each of (i) through (iv) above, for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61"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and may result in increased costs to our stockholders, which may discourage such lawsuits against us and our directors, officers and other employees. Alternatively, if a court were to find our choice of forum provisions contained in our bylaws to be inapplicable or unenforceable in an action, we may incur additional costs associated with resolving such action in other jurisdictions, which could harm our business, results of operations,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any cash dividends on our common stock in the foreseeable future.</w:t>
      </w:r>
    </w:p>
    <w:p>
      <w:pPr>
        <w:spacing w:after="0" w:line="115"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 xml:space="preserve">We have not declared or paid a cash dividend on our common stock during the nine most recent fiscal years. We have no current intention to declare or pay cash dividends on our common stock in the foreseeable future. In addition, the Credit Facility contains certain restrictions on our ability to pay dividends.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16—Debt, in the notes to the consolidated financial statements included elsewhere in this annual report. The declaration, payment and amount of future cash dividends, if any, will be at the discretion of our board of directors. As a result, capital appreciation, if any, of our common stock will be the sole source of gain for the foreseeable future for holders of our common stock.</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6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Several of our products are subject to seasonal trends. Products in our Home segment have seasonal trends that reflect the general patterns of the mortgage industry and housing sales, which typically peak in the spring and summer seasons and decline in the winter. Our quarterly operating results may fluctuate as a result of these seasonal trends. In certain historical periods, broader cyclical trends in interest rates, as well as the mortgage and real estate markets, have upset the customary seasonal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trends. Our Consumer and Insurance segments also have certain products with various seasonality trends which may create further uncertainty in our quarterly operating results.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1. Business—Seasonality included elsewhere in this annual report for more information. Any of these seasonal trends, or the combination of them, may negatively impact the price of our common stock.</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The conditional conversion feature of our outstanding convertible senior notes, if triggered, may adversely affect our financial condition and operating results.</w:t>
      </w:r>
    </w:p>
    <w:p>
      <w:pPr>
        <w:spacing w:after="0" w:line="63"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If the conditional conversion feature of our 0.50% Convertible Senior Notes due July 15, 2025 (the “Notes”) is triggered, holders of Notes will be entitled to convert the Notes at any time during specified periods at their option. Convertibility for each quarter will be determined based on whether the last reported sales price of our common stock, for at least 20 trading days (whether or not consecutive) during the period of 30 consecutive trading days ending on, and including, the last trading day of the immediately preceding calendar quarter, is greater than or equal to 130% of the conversion price under the Notes on each applicable trading day. If so, then the Notes will be convertible during that calendar quarter. The Notes will also be convertible at any time during the five business day period immediately following any five consecutive trading day period in which the trading price per $1,000 principal amount of Notes for each trading Day of such five trading day period is less than 98% of the product of the last reported sale price of our common stock on each such trading day and the conversion ratio under the Notes, as more fully described in the respective indentures governing the Notes, which are incorporated by reference as an exhibit to this annual report.</w:t>
      </w:r>
    </w:p>
    <w:p>
      <w:pPr>
        <w:spacing w:after="0" w:line="71"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respective Notes as a current rather than long-term liability, which would result in a material reduction of our net working capital.</w:t>
      </w:r>
    </w:p>
    <w:p>
      <w:pPr>
        <w:spacing w:after="0" w:line="190"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41"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Holders of the Notes will have the right to require us to repurchase all or a portion of their Notes upon the occurrence of a fundamental change at a repurchase price equal to 100% of the principal amount of the Notes to be repurchased, plus accrued and unpaid special interest, if any. We may not have enough available cash or be able to obtain financing at the time we are required to make repurchases of Notes surrendered therefore, or pay cash with respect to Notes being converted if we elect not to issue shares, which could harm our reputation and affect the trading price of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hedge and warrant transactions may affect the value of the Notes and our common stock.</w:t>
      </w:r>
    </w:p>
    <w:p>
      <w:pPr>
        <w:spacing w:after="0" w:line="115"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In connection with the pricing of the Notes, we entered into convertible note hedge transactions with certain counterparties. The hedge transactions are generally expected to reduce the potential dilution upon conversion of the Notes and/or offset any cash payments we are required to make in excess of the principal amount of converted Notes, as the case may be. We also entered into warrant transactions with such counterparties. However, the warrant transactions could separately have a dilutive effect to the extent that the market price per share of our common stock exceeds the applicable strike price of the warrants. The initial strike price of the warrants is $709.52 for the warrants associated with the Notes.</w:t>
      </w:r>
    </w:p>
    <w:p>
      <w:pPr>
        <w:spacing w:after="0" w:line="67"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In connection with establishing their initial hedge of the hedge and warrant transactions, the counterparties or their respective affiliates may have purchased shares of our common stock and/or entered into various derivative transactions with respect to our common stock concurrently with or shortly after the pricing of the Notes. In addition,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or following any repurchase of Notes by us on any fundamental repurchase date or otherwise). This activity could cause or avoid an increase or a decrease in the market price of our common stock or the Notes.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need additional equity, debt or other financing in the future, which we may not be able to obtain on acceptable terms, or at all, and any additional financing may result in restrictions on our operations or substantial dilution to our stockholders.</w:t>
      </w:r>
    </w:p>
    <w:p>
      <w:pPr>
        <w:spacing w:after="0" w:line="6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We may need to raise funds in the future, for example, to develop new technologies, expand our business, respond to competitive pressures and make acquisitions. We may try to raise additional funds through public or private financings, strategic relationships or other arrangements. Although our existing Credit Facility limits our ability to incur additional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indebtedness, these restrictions are subject to a number of qualifications and exceptions and may be amended with the consent of our lenders. Accordingly, under certain circumstances, we may incur substantial additional debt.</w:t>
      </w:r>
    </w:p>
    <w:p>
      <w:pPr>
        <w:spacing w:after="0" w:line="63"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Our ability to obtain debt or equity funding will depend on a number of factors, including market conditions, interest rates, our operating performance, our credit rating and investor interest. Additional funding may not be available to us on acceptable terms or at all. If adequate funds are not available, we may be required to reduce expenditures, including curtailing our growth strategies, foregoing acquisitions or reducing our business development efforts. If we succeed in raising additional funds through the issuance of equity or equity-linked securities, then existing stockholders could experience substantial dilution. If we raise additional funds through the issuance of debt securities or preferred stock, these new securities would have rights, preferences and privileges senior to those of the holders of our common stock. In addition, any such issuance could subject us to restrictive covenants relating to our capital raising activities and other financial and operational matters, which may make it more difficult for us to obtain additional capital and to pursue business opportunities, including potential acquisitions. Further, to the extent we incur additional indebtedness or such other obligations, the risks associated with our existing debt, including our possible inability to service our existing debt, would increase.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consummated or that it will enhance long-term stockholder value</w:t>
      </w:r>
      <w:r>
        <w:rPr>
          <w:rFonts w:ascii="Arial" w:cs="Arial" w:eastAsia="Arial" w:hAnsi="Arial"/>
          <w:sz w:val="17"/>
          <w:szCs w:val="17"/>
          <w:color w:val="auto"/>
        </w:rPr>
        <w:t>.</w:t>
      </w:r>
    </w:p>
    <w:p>
      <w:pPr>
        <w:spacing w:after="0" w:line="127"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Although in each of February 2018 and February 2019, our board of directors authorized us to repurchase of up to $100.0 million and $150.0 million shares of our common stock, respectively, we cannot guarantee that the stock repurchase program will be fully consummated or that it will enhance long-term stockholder value. The program could affect the trading price of our stock and increase volatility, and any announcement of a termination or change of this program may result in a decrease in the trading price of our stock. In addition, any purchases made under this program may diminish our cash reserves. During the years ended December 31, 2022 and 2021, we purchased 379,895 and 334,253 shares of our common stock, respectively, for $43.0 million and $40.0 million, respectively. At December 31, 2022, $96.7 million remains authorized for share repurchase.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goodwill or indefinite-lived intangible assets become impaired, we may be required to record a significant charge to earnings.</w:t>
      </w:r>
    </w:p>
    <w:p>
      <w:pPr>
        <w:spacing w:after="0" w:line="127"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consolidated financial statements during a period in which any impairment of our goodwill or indefinite-lived intangible assets is determined, negatively impacting our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fair value of our equity investments decrease, we will be required to record a significant charge to earnings.</w:t>
      </w:r>
    </w:p>
    <w:p>
      <w:pPr>
        <w:spacing w:after="0" w:line="115"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Our equity investments do not have readily determinable fair values and, upon acquisition, we elected the measurement alternative to value these securities. These equity securities are carried at cost less impairment, if any, and subsequently measured to fair value upon observable price changes in an orderly transaction for the identical or similar investments with any gains or losses recorded in operating income in the consolidated statement of operations. If there is an observable price change that indicates a decrease in the fair value of our equity investments, we will be required to record a significant charge in our consolidated financial statements, negatively impacting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11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Under GAAP, 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Our estimates of fair value are based upon assumptions believed to be reasonable but which are uncertain and involve significant judgments by management. After we complete an acquisition, the following factors could result in material charges and adversely affect our operating results and may adversely affect our cash flows:</w:t>
      </w:r>
    </w:p>
    <w:p>
      <w:pPr>
        <w:spacing w:after="0" w:line="83" w:lineRule="exact"/>
        <w:rPr>
          <w:sz w:val="20"/>
          <w:szCs w:val="20"/>
          <w:color w:val="auto"/>
        </w:rPr>
      </w:pPr>
    </w:p>
    <w:p>
      <w:pPr>
        <w:ind w:left="660" w:hanging="330"/>
        <w:spacing w:after="0" w:line="27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or relocation expenses;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goodwill or intangible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hanging="31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reduction in the useful lives of intangible assets acquired;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fair value of any contingent consideration;</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to our operating results due to duplicative pre-merger activities;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to our operating results from expenses incurred to effect the acquisition; and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charges to our operating results due to the expensing of certain stock awards assumed in an acquisition.</w:t>
      </w:r>
    </w:p>
    <w:p>
      <w:pPr>
        <w:spacing w:after="0" w:line="115"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Substantially all of these potential charges would be accounted for as expenses that would decrease our net income and earnings per share for the periods in which those costs are incurred. Charges to our operating results in any given period could differ substantially from other periods based on the timing and size of our acquisitions and the extent of acquisition accounting adjustments.</w:t>
      </w:r>
    </w:p>
    <w:p>
      <w:pPr>
        <w:spacing w:after="0" w:line="7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For acquisitions with potential future contingent consideration payments, we assign a fair value to the contingent consideration and reassess this fair value quarterly. Increases or decreases based on the actual performance of the acquired company against the contingent consideration targets or other factors will cause decreases or increases, respectively, in our results of operations. These quarterly adjustments could have a material adverse effect on our results of operations. During 2021 and 2020, we incurred $(8.2) million and $5.3 million, respectively, of contingent consideration expense due to the change in estimated fair value of the earnout payments.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Our principal executive offices are located on approximately 176,000 square feet of office space in Charlotte, North Carolina under a lease that expires in 2036.</w:t>
      </w:r>
    </w:p>
    <w:p>
      <w:pPr>
        <w:spacing w:after="0" w:line="6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Primarily as a result of our acquisitions in recent years, we also operate offices in: Charleston, South Carolina; Denver, Colorado; Jacksonville, Florida; New York City, New York; Seattle, Washington; Beachwood, Ohio; and Makarba, India.</w:t>
      </w:r>
    </w:p>
    <w:p>
      <w:pPr>
        <w:spacing w:after="0" w:line="63"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Our Charlotte operations support all three of our segments: Home, Consumer and Insurance. The Consumer segment has personnel in the Charleston, Jacksonville, New York City, and Makarba offices. The Insurance segment has personnel in the Denver, New York City, Beachwood, and Seattle offices.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19" w:lineRule="exact"/>
        <w:rPr>
          <w:sz w:val="20"/>
          <w:szCs w:val="20"/>
          <w:color w:val="auto"/>
        </w:rPr>
      </w:pPr>
    </w:p>
    <w:p>
      <w:pPr>
        <w:jc w:val="both"/>
        <w:ind w:firstLine="323"/>
        <w:spacing w:after="0" w:line="310" w:lineRule="auto"/>
        <w:rPr>
          <w:sz w:val="20"/>
          <w:szCs w:val="20"/>
          <w:color w:val="auto"/>
        </w:rPr>
      </w:pPr>
      <w:r>
        <w:rPr>
          <w:rFonts w:ascii="Arial" w:cs="Arial" w:eastAsia="Arial" w:hAnsi="Arial"/>
          <w:sz w:val="16"/>
          <w:szCs w:val="16"/>
          <w:color w:val="auto"/>
        </w:rPr>
        <w:t xml:space="preserve">In the ordinary course of business, we are party to litigation involving property, contract, intellectual property and a variety of other claims. The amounts that may be recovered in such matters may be subject to insurance coverage.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18</w:t>
      </w:r>
      <w:r>
        <w:rPr>
          <w:rFonts w:ascii="Arial" w:cs="Arial" w:eastAsia="Arial" w:hAnsi="Arial"/>
          <w:sz w:val="16"/>
          <w:szCs w:val="16"/>
          <w:b w:val="1"/>
          <w:bCs w:val="1"/>
          <w:color w:val="auto"/>
        </w:rPr>
        <w:t>—</w:t>
      </w:r>
      <w:r>
        <w:rPr>
          <w:rFonts w:ascii="Arial" w:cs="Arial" w:eastAsia="Arial" w:hAnsi="Arial"/>
          <w:sz w:val="16"/>
          <w:szCs w:val="16"/>
          <w:color w:val="auto"/>
        </w:rPr>
        <w:t>Contingencies and Note 22—Discontinued Operations in the notes to the consolidated financial statements included elsewhere in this report for a discussion of our current and recently settled litigation.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Market Information, Holders and Dividends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common stock is quoted on the Nasdaq Global Select Market under the ticker symbol “TREE”. As of February 21, 2023, there were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507 holders of record of our common stock.</w:t>
      </w:r>
    </w:p>
    <w:p>
      <w:pPr>
        <w:spacing w:after="0" w:line="101"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We have no current intention to declare or pay cash dividends on our common stock in the foreseeable future. The declaration, payment and amount of future cash dividends, if any, will be at the discretion of our board of directors.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Graph</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i w:val="1"/>
          <w:iCs w:val="1"/>
          <w:color w:val="auto"/>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spacing w:after="0" w:line="6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Set forth below is a line graph, for the period from December 31, 2017 through December 31, 2022,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58420</wp:posOffset>
            </wp:positionV>
            <wp:extent cx="5631180" cy="4675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31180" cy="46755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During the year ended December 31, 2022, we did not issue or sell any shares of our common stock or other equity securities in transactions that were not registered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9"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December 31, 2022, no shares of common stock were repurchased under the stock repurchase program. As of December 31, 2022 and February 21, 2023, approximately $96.7 million is authorized for future share repurchases.</w:t>
      </w:r>
    </w:p>
    <w:p>
      <w:pPr>
        <w:spacing w:after="0" w:line="73"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Additionally, the LendingTree Seventh Amended and Restated 2008 Stock Plan approved by our stockholders on June 9, 2021 allows, and the LendingTree 2017 Inducement Grant Plan terminated by us in April 2021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December 31, 2022, 3,732 shares were purchased related to these obligations under the LendingTree Seventh Amended and Restated 2008 Stock Plan. The withholding of those shares does not affect the dollar amount or number of shares that may be purchased under the stock repurchase program described above.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the Company's purchases of equity securities during the quarter ended December 31, 2022.</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Total Number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left="288"/>
              <w:spacing w:after="0" w:line="144" w:lineRule="exact"/>
              <w:rPr>
                <w:sz w:val="20"/>
                <w:szCs w:val="20"/>
                <w:color w:val="auto"/>
              </w:rPr>
            </w:pPr>
            <w:r>
              <w:rPr>
                <w:rFonts w:ascii="Arial" w:cs="Arial" w:eastAsia="Arial" w:hAnsi="Arial"/>
                <w:sz w:val="14"/>
                <w:szCs w:val="14"/>
                <w:b w:val="1"/>
                <w:bCs w:val="1"/>
                <w:color w:val="auto"/>
                <w:w w:val="87"/>
              </w:rPr>
              <w:t>Shares Purchased as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center"/>
              <w:ind w:right="221"/>
              <w:spacing w:after="0" w:line="144" w:lineRule="exact"/>
              <w:rPr>
                <w:sz w:val="20"/>
                <w:szCs w:val="20"/>
                <w:color w:val="auto"/>
              </w:rPr>
            </w:pPr>
            <w:r>
              <w:rPr>
                <w:rFonts w:ascii="Arial" w:cs="Arial" w:eastAsia="Arial" w:hAnsi="Arial"/>
                <w:sz w:val="14"/>
                <w:szCs w:val="14"/>
                <w:b w:val="1"/>
                <w:bCs w:val="1"/>
                <w:color w:val="auto"/>
                <w:w w:val="91"/>
              </w:rPr>
              <w:t>Dollar Value of Shares</w:t>
            </w:r>
          </w:p>
        </w:tc>
        <w:tc>
          <w:tcPr>
            <w:tcW w:w="0" w:type="dxa"/>
            <w:vAlign w:val="bottom"/>
          </w:tcPr>
          <w:p>
            <w:pPr>
              <w:spacing w:after="0"/>
              <w:rPr>
                <w:sz w:val="1"/>
                <w:szCs w:val="1"/>
                <w:color w:val="auto"/>
              </w:rPr>
            </w:pPr>
          </w:p>
        </w:tc>
      </w:tr>
      <w:tr>
        <w:trPr>
          <w:trHeight w:val="13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840" w:type="dxa"/>
            <w:vAlign w:val="bottom"/>
          </w:tcPr>
          <w:p>
            <w:pPr>
              <w:jc w:val="center"/>
              <w:ind w:left="288"/>
              <w:spacing w:after="0" w:line="139" w:lineRule="exact"/>
              <w:rPr>
                <w:sz w:val="20"/>
                <w:szCs w:val="20"/>
                <w:color w:val="auto"/>
              </w:rPr>
            </w:pPr>
            <w:r>
              <w:rPr>
                <w:rFonts w:ascii="Arial" w:cs="Arial" w:eastAsia="Arial" w:hAnsi="Arial"/>
                <w:sz w:val="14"/>
                <w:szCs w:val="14"/>
                <w:b w:val="1"/>
                <w:bCs w:val="1"/>
                <w:color w:val="auto"/>
                <w:w w:val="94"/>
              </w:rPr>
              <w:t>Part of Publicly</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center"/>
              <w:ind w:right="221"/>
              <w:spacing w:after="0" w:line="13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5"/>
        </w:trPr>
        <w:tc>
          <w:tcPr>
            <w:tcW w:w="2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40" w:type="dxa"/>
            <w:vAlign w:val="bottom"/>
          </w:tcPr>
          <w:p>
            <w:pPr>
              <w:jc w:val="center"/>
              <w:ind w:left="288"/>
              <w:spacing w:after="0" w:line="145" w:lineRule="exact"/>
              <w:rPr>
                <w:sz w:val="20"/>
                <w:szCs w:val="20"/>
                <w:color w:val="auto"/>
              </w:rPr>
            </w:pPr>
            <w:r>
              <w:rPr>
                <w:rFonts w:ascii="Arial" w:cs="Arial" w:eastAsia="Arial" w:hAnsi="Arial"/>
                <w:sz w:val="14"/>
                <w:szCs w:val="14"/>
                <w:b w:val="1"/>
                <w:bCs w:val="1"/>
                <w:color w:val="auto"/>
                <w:w w:val="91"/>
              </w:rPr>
              <w:t>Announced Plans or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center"/>
              <w:ind w:right="201"/>
              <w:spacing w:after="0" w:line="14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200"/>
        </w:trPr>
        <w:tc>
          <w:tcPr>
            <w:tcW w:w="2680" w:type="dxa"/>
            <w:vAlign w:val="bottom"/>
            <w:gridSpan w:val="2"/>
            <w:vMerge w:val="continue"/>
          </w:tcPr>
          <w:p>
            <w:pPr>
              <w:spacing w:after="0"/>
              <w:rPr>
                <w:sz w:val="17"/>
                <w:szCs w:val="17"/>
                <w:color w:val="auto"/>
              </w:rPr>
            </w:pPr>
          </w:p>
        </w:tc>
        <w:tc>
          <w:tcPr>
            <w:tcW w:w="2080" w:type="dxa"/>
            <w:vAlign w:val="bottom"/>
            <w:gridSpan w:val="2"/>
          </w:tcPr>
          <w:p>
            <w:pPr>
              <w:jc w:val="center"/>
              <w:ind w:right="120"/>
              <w:spacing w:after="0" w:line="201"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Paid per Share</w:t>
            </w:r>
          </w:p>
        </w:tc>
        <w:tc>
          <w:tcPr>
            <w:tcW w:w="1840" w:type="dxa"/>
            <w:vAlign w:val="bottom"/>
          </w:tcPr>
          <w:p>
            <w:pPr>
              <w:jc w:val="center"/>
              <w:ind w:left="288"/>
              <w:spacing w:after="0" w:line="201"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jc w:val="center"/>
              <w:ind w:right="2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85"/>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center"/>
              <w:ind w:right="2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8"/>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10/1/22 - 10/31/22</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28"/>
        </w:trPr>
        <w:tc>
          <w:tcPr>
            <w:tcW w:w="2580" w:type="dxa"/>
            <w:vAlign w:val="bottom"/>
          </w:tcPr>
          <w:p>
            <w:pPr>
              <w:ind w:left="20"/>
              <w:spacing w:after="0"/>
              <w:rPr>
                <w:sz w:val="20"/>
                <w:szCs w:val="20"/>
                <w:color w:val="auto"/>
              </w:rPr>
            </w:pPr>
            <w:r>
              <w:rPr>
                <w:rFonts w:ascii="Arial" w:cs="Arial" w:eastAsia="Arial" w:hAnsi="Arial"/>
                <w:sz w:val="18"/>
                <w:szCs w:val="18"/>
                <w:color w:val="auto"/>
              </w:rPr>
              <w:t>11/1/22 - 11/30/22</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28"/>
        </w:trPr>
        <w:tc>
          <w:tcPr>
            <w:tcW w:w="2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12/1/22 - 12/31/22</w:t>
            </w:r>
          </w:p>
        </w:tc>
        <w:tc>
          <w:tcPr>
            <w:tcW w:w="1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60" w:hanging="330"/>
        <w:spacing w:after="0" w:line="310" w:lineRule="auto"/>
        <w:tabs>
          <w:tab w:leader="none" w:pos="654"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October 2022, November 2022, and December 2022, 403 shares, 2,862 shares, and 467 shares, respectively (totaling 3,732 shares), were purchased to satisfy federal and state withholding obligations of our employees upon the settlement of restricted stock units and restricted stock awards, all in accordance with our Seventh Amended and Restated 2008 Stock Plan and 2017 Inducement Grant Plan, as described above.</w:t>
      </w:r>
    </w:p>
    <w:p>
      <w:pPr>
        <w:spacing w:after="0" w:line="39" w:lineRule="exact"/>
        <w:rPr>
          <w:rFonts w:ascii="Arial" w:cs="Arial" w:eastAsia="Arial" w:hAnsi="Arial"/>
          <w:sz w:val="16"/>
          <w:szCs w:val="16"/>
          <w:color w:val="auto"/>
        </w:rPr>
      </w:pPr>
    </w:p>
    <w:p>
      <w:pPr>
        <w:ind w:left="640" w:hanging="310"/>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63" w:lineRule="exact"/>
        <w:rPr>
          <w:sz w:val="20"/>
          <w:szCs w:val="20"/>
          <w:color w:val="auto"/>
        </w:rPr>
      </w:pPr>
    </w:p>
    <w:p>
      <w:pPr>
        <w:jc w:val="both"/>
        <w:ind w:firstLine="323"/>
        <w:spacing w:after="0" w:line="290"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student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56"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Our MyLendingTree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77"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7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8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(loss)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19"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7"/>
          <w:szCs w:val="17"/>
          <w:color w:val="auto"/>
        </w:rPr>
        <w:t>We continue to monitor the impact of the COVID-19 pandemic, government actions and measures taken to prevent its spread, and the potential to affect our operations. We are also monitoring the current global economic environment, specifically including inflationary pressures and interest rates, and any resulting impacts on our financial position and results of operations. Refer to Item 1A. “Risk Factors” for additional information.</w:t>
      </w:r>
    </w:p>
    <w:p>
      <w:pPr>
        <w:spacing w:after="0" w:line="5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Of our three reportable segments, the Consumer segment was impacted the most as unsecured credit and the flow of capital in certain areas of the market contracted. Most of our selling and marketing expenses are variable costs that we adjust dynamically in relation to revenue opportunities to profitably meet demand. Thus, as our revenue was negatively impacted during the COVID-19 pandemic and the macro-economic conditions that followed, our marketing expenses generally decreased in line with revenue.</w:t>
      </w:r>
    </w:p>
    <w:p>
      <w:pPr>
        <w:spacing w:after="0" w:line="77" w:lineRule="exact"/>
        <w:rPr>
          <w:sz w:val="20"/>
          <w:szCs w:val="20"/>
          <w:color w:val="auto"/>
        </w:rPr>
      </w:pPr>
    </w:p>
    <w:p>
      <w:pPr>
        <w:jc w:val="both"/>
        <w:ind w:firstLine="323"/>
        <w:spacing w:after="0" w:line="297" w:lineRule="auto"/>
        <w:rPr>
          <w:sz w:val="20"/>
          <w:szCs w:val="20"/>
          <w:color w:val="auto"/>
        </w:rPr>
      </w:pPr>
      <w:r>
        <w:rPr>
          <w:rFonts w:ascii="Arial" w:cs="Arial" w:eastAsia="Arial" w:hAnsi="Arial"/>
          <w:sz w:val="16"/>
          <w:szCs w:val="16"/>
          <w:color w:val="auto"/>
        </w:rPr>
        <w:t>During 2022, the challenging interest rate environment and persistent inflationary pressures have presented additional challenges for many of our mortgage lending and insurance partners. We have seen the most significant impact in our Home segment as mortgage rates have nearly doubled in 2022, causing a sharp decline in refinance volumes and more recent pressure on purchase activity. Although our Insurance segment continues to rebound from the</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trough in the fourth quarter of 2021, the recovery has been slower than expected as demand from our carrier partners remains volatile as they continue to attempt to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implement premium increases to offset the effect of inflation on claims. In addition, the auto and home insurance industry was impacted in 2022 by persistent industry headwinds, supply chain issues, rising accident severity and frequency, and hurricane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 &amp; Investments</w:t>
      </w:r>
    </w:p>
    <w:p>
      <w:pPr>
        <w:spacing w:after="0" w:line="160" w:lineRule="exact"/>
        <w:rPr>
          <w:sz w:val="20"/>
          <w:szCs w:val="20"/>
          <w:color w:val="auto"/>
        </w:rPr>
      </w:pPr>
    </w:p>
    <w:p>
      <w:pPr>
        <w:jc w:val="both"/>
        <w:ind w:firstLine="323"/>
        <w:spacing w:after="0" w:line="289" w:lineRule="auto"/>
        <w:rPr>
          <w:sz w:val="20"/>
          <w:szCs w:val="20"/>
          <w:color w:val="auto"/>
        </w:rPr>
      </w:pPr>
      <w:r>
        <w:rPr>
          <w:rFonts w:ascii="Arial" w:cs="Arial" w:eastAsia="Arial" w:hAnsi="Arial"/>
          <w:sz w:val="17"/>
          <w:szCs w:val="17"/>
          <w:color w:val="auto"/>
        </w:rPr>
        <w:t>In January 2022, the Company acquired an equity interest in EarnUp for $15.0 million. EarnUp is a consumer-first mortgage payment platform that intelligently automates loan payment scheduling and helps consumers better manage their money and improve their financial well-being.</w:t>
      </w:r>
    </w:p>
    <w:p>
      <w:pPr>
        <w:spacing w:after="0" w:line="147" w:lineRule="exact"/>
        <w:rPr>
          <w:sz w:val="20"/>
          <w:szCs w:val="20"/>
          <w:color w:val="auto"/>
        </w:rPr>
      </w:pPr>
    </w:p>
    <w:p>
      <w:pPr>
        <w:jc w:val="both"/>
        <w:ind w:firstLine="323"/>
        <w:spacing w:after="0"/>
        <w:rPr>
          <w:sz w:val="20"/>
          <w:szCs w:val="20"/>
          <w:color w:val="auto"/>
        </w:rPr>
      </w:pPr>
      <w:r>
        <w:rPr>
          <w:rFonts w:ascii="Arial" w:cs="Arial" w:eastAsia="Arial" w:hAnsi="Arial"/>
          <w:sz w:val="18"/>
          <w:szCs w:val="18"/>
          <w:color w:val="auto"/>
        </w:rPr>
        <w:t>In February 2020, we acquired an equity interest in Stash for $80.0 million, and in January 2021, we acquired an additional equity interest in Stash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 In the fourth quarter of 2021, we sold a portion of our investment in Stash for $46.3 million, realizing a gain on the sale of $27.9 million.</w:t>
      </w:r>
    </w:p>
    <w:p>
      <w:pPr>
        <w:spacing w:after="0" w:line="121"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8—Equity Investments in the notes to the consolidated financial statements included elsewhere in this report for additional information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 in Stash and EarnUp.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Interest rate and market risks are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77"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Typically, when interest rates decline, we see increased consumer demand for mortgage refinancings,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 and, accordingly, lenders receive more organic mortgage lead volume. Due to lower lender demand, our revenue earned per consumer typically decreases, but with correspondingly lower selling and marketing costs.</w:t>
      </w:r>
    </w:p>
    <w:p>
      <w:pPr>
        <w:spacing w:after="0" w:line="48"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2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According to Freddie Mac, 30-year mortgage interest rates steadily decreased in 2020, largely as a result of stimulus efforts in response to the COVID-19 pandemic, beginning at a monthly average of 3.62% in January 2020 and ending at a monthly average of 2.68% in December 2020. During 2021, 30-year mortgage interest rates steadily increased from a monthly average of 2.74% in January 2021, ending at a monthly average of 3.10% in December 2021. During 2022, 30-year mortgage interest rates increased significantly from a monthly average of 3.45% in January 2022, ending at a monthly average of 6.36% in December 2022.</w:t>
      </w:r>
    </w:p>
    <w:p>
      <w:pPr>
        <w:spacing w:after="0" w:line="8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On a full-year basis, 30-year mortgage interest rates increased to an average 5.33% in 2022, compared to 2.96% and 3.11% in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398145</wp:posOffset>
            </wp:positionV>
            <wp:extent cx="5631180" cy="3950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31180" cy="395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of total mortgage origination dollars remained relatively consistent in 2020 and 2021, with 60% of total 2020 mortgage origination dollars from refinance and 59% of total 2021 mortgage origination dollars from refinance as a result of the general trend in average mortgage interest rates. Total refinance original dollars decreased to 30% of total mortgage origination dollars in 2022 due to the increase in average mortgage interest rates. Total refinance origination dollars decreased by 11% in 2021 over 2020 and 74% in 2022 over 2021. Industry-wide mortgage origination dollars decreased by 3% in 2021 over 2020 and 49% in 2022 over 2021.</w:t>
      </w:r>
    </w:p>
    <w:p>
      <w:pPr>
        <w:spacing w:after="0" w:line="85"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Looking forward, the MBA is projecting 30-year mortgage interest rates to decrease in 2023 to an average 5.2%. According to MBA projections, the mix of mortgage origination dollars is expected to continue to move towards purchase mortgages with the refinance share representing just 24% for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19"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8"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According to Fannie Mae data, in 2020, existing home sales grew by 6% over 2019, fueled by increased competition for low inventory as well as an increase in first-time home buyers. This trend continued into 2021 with existing home sales growing 9% over 2020. In 2022, existing home sales decreased by 17% as compared to 2021 due to increased interest rates and limited inventory of homes. Fannie Mae expects a 22% decrease in existing home sales in 2023 compared to 2022.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MyLendingTree</w:t>
      </w:r>
    </w:p>
    <w:p>
      <w:pPr>
        <w:spacing w:after="0" w:line="17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We consider certain metrics related to MyLendingTree set forth below to help us evaluate our business and growth trends and assess operational efficiencies. The calculation of the metrics discussed below may differ from other similarly titled metrics used by other companies, securities analysts or investors.</w:t>
      </w:r>
    </w:p>
    <w:p>
      <w:pPr>
        <w:spacing w:after="0" w:line="128"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We continued to grow our user base and added 3.8 million new users in 2022, bringing cumulative sign-ups to 24.8 million at December 31, 2022. We attribute $123.7 million of revenue in 2022 to registered MyLendingTree members across the LendingTree platform.</w:t>
      </w:r>
    </w:p>
    <w:p>
      <w:pPr>
        <w:spacing w:after="0" w:line="117"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Our focus on improving the MyLendingTree experience for consumers remains a top priority. Becoming an integrated digital advisor will greatly improve the consumer experience, which we expect to result in higher levels of engagement improved membership growth rates, and ultimately stronger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Hedge and Warrant Transactions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On July 24, 2020, we issued $575.0 million aggregate principal amount of our 0.50% Convertible Senior Notes due July 15, 2025 and, in connection therewith, entered into Convertible Note Hedge and Warrant transactions with respect to our common stock.</w:t>
      </w:r>
    </w:p>
    <w:p>
      <w:pPr>
        <w:spacing w:after="0" w:line="6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On May 31, 2017, we issued $300.0 million aggregate principal amount of our 0.625% Convertible Senior Notes due June 1, 2022 and, in connection therewith, entered into Convertible Note Hedge and Warrant transactions with respect to our common stock. On July 24, 2020, a portion of the net proceeds from the issuance of the 2025 Notes was used to repurchase approximately $130.3 million principal amount of the 2022 Notes. A portion of the call spread transactions associated with the 2022 Notes was also terminated on July 24, 2020 in notional amounts corresponding to the principal amount of the 2022 Notes repurchased.</w:t>
      </w:r>
    </w:p>
    <w:p>
      <w:pPr>
        <w:spacing w:after="0" w:line="8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On May 31, 2022, we drew $250.0 million on the Term Loan Facility. A portion of this was used to pay the outstanding balance of $169.7 million and interest on our 0.625% Convertible Senior Notes that matured on June 1, 2022. The remaining call spread transactions associated with the 2022 Notes terminated in 2022.</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16—Debt, in the notes to the consolidated financial statements included elsewhere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Our new corporate office is located on approximately 176,000 square feet of office space in Charlotte, North Carolina under an approximate 15-year lease that commenced in the second quarter of 2021.</w:t>
      </w:r>
    </w:p>
    <w:p>
      <w:pPr>
        <w:spacing w:after="0" w:line="63"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6"/>
          <w:szCs w:val="16"/>
          <w:color w:val="auto"/>
        </w:rPr>
        <w:t>With our expansion in North Carolina, in December 2016, we received a grant from the state that provides up to $4.9 million in reimbursements through 2029 beginning in 2017 for investing in real estate and infrastructure in addition to increasing jobs in North Carolina at specific targeted levels through 2021, and maintaining the jobs thereafter. We have received approximately $0.7 million related to the December 2016 grants. If we are unable to maintain the specified target levels, our ability to earn further reimbursements could be limited.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an aggregate amount up to $8.4 million in reimbursements through 2032 beginning in 2021 for increasing jobs in North Carolina at specific targeted levels through 2024, and maintaining the jobs thereafter. We have currently not met the specified target levels set forth in the December 2018 grant and may not realize any reimbursements from this grant.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2022 and 2021</w:t>
      </w:r>
    </w:p>
    <w:p>
      <w:pPr>
        <w:spacing w:after="0" w:line="227" w:lineRule="exact"/>
        <w:rPr>
          <w:sz w:val="20"/>
          <w:szCs w:val="20"/>
          <w:color w:val="auto"/>
        </w:rPr>
      </w:pPr>
    </w:p>
    <w:p>
      <w:pPr>
        <w:ind w:right="240"/>
        <w:spacing w:after="0" w:line="307" w:lineRule="auto"/>
        <w:rPr>
          <w:sz w:val="20"/>
          <w:szCs w:val="20"/>
          <w:color w:val="auto"/>
        </w:rPr>
      </w:pPr>
      <w:r>
        <w:rPr>
          <w:rFonts w:ascii="Arial" w:cs="Arial" w:eastAsia="Arial" w:hAnsi="Arial"/>
          <w:sz w:val="16"/>
          <w:szCs w:val="16"/>
          <w:color w:val="auto"/>
        </w:rPr>
        <w:t xml:space="preserve">For information on fiscal 2020 results and similar comparisons,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7. Management's Discussion and Analysis of Financial Condition and Results of Operations—Results of Operations for the Years ended December 31, 2021 and 2020 of our Form 10-K for the fiscal year ended December 31, 2021.</w:t>
      </w: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8"/>
                <w:szCs w:val="18"/>
                <w:color w:val="auto"/>
              </w:rPr>
            </w:pPr>
          </w:p>
        </w:tc>
        <w:tc>
          <w:tcPr>
            <w:tcW w:w="2300" w:type="dxa"/>
            <w:vAlign w:val="bottom"/>
            <w:gridSpan w:val="2"/>
          </w:tcPr>
          <w:p>
            <w:pPr>
              <w:jc w:val="right"/>
              <w:ind w:right="631"/>
              <w:spacing w:after="0"/>
              <w:rPr>
                <w:sz w:val="20"/>
                <w:szCs w:val="20"/>
                <w:color w:val="auto"/>
              </w:rPr>
            </w:pPr>
            <w:r>
              <w:rPr>
                <w:rFonts w:ascii="Arial" w:cs="Arial" w:eastAsia="Arial" w:hAnsi="Arial"/>
                <w:sz w:val="16"/>
                <w:szCs w:val="16"/>
                <w:b w:val="1"/>
                <w:bCs w:val="1"/>
                <w:color w:val="auto"/>
              </w:rPr>
              <w:t>2022 vs. 2021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731"/>
              <w:spacing w:after="0" w:line="158" w:lineRule="exact"/>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ind w:right="351"/>
              <w:spacing w:after="0" w:line="158" w:lineRule="exact"/>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811"/>
              <w:spacing w:after="0"/>
              <w:rPr>
                <w:sz w:val="20"/>
                <w:szCs w:val="20"/>
                <w:color w:val="auto"/>
              </w:rPr>
            </w:pPr>
            <w:r>
              <w:rPr>
                <w:rFonts w:ascii="Arial" w:cs="Arial" w:eastAsia="Arial" w:hAnsi="Arial"/>
                <w:sz w:val="13"/>
                <w:szCs w:val="13"/>
                <w:b w:val="1"/>
                <w:bCs w:val="1"/>
                <w:i w:val="1"/>
                <w:iCs w:val="1"/>
                <w:color w:val="auto"/>
              </w:rPr>
              <w:t>(Dollars in thousands)</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289,383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(152,355)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396,109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329,945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66,164</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299,073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(27,080)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(236)</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984,992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1,098,499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(113,507)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8"/>
        </w:trPr>
        <w:tc>
          <w:tcPr>
            <w:tcW w:w="57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2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separately below)</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57,769</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702,238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(71,752)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152,377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(1,095)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55,553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2,688</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20,095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25,306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(17,432)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8,249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Arial" w:cs="Arial" w:eastAsia="Arial" w:hAnsi="Arial"/>
                <w:sz w:val="18"/>
                <w:szCs w:val="18"/>
                <w:color w:val="auto"/>
              </w:rPr>
              <w:t>Restructuring and severance</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4,428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4,375</w:t>
            </w:r>
          </w:p>
        </w:tc>
        <w:tc>
          <w:tcPr>
            <w:tcW w:w="1040" w:type="dxa"/>
            <w:vAlign w:val="bottom"/>
          </w:tcPr>
          <w:p>
            <w:pPr>
              <w:jc w:val="right"/>
              <w:spacing w:after="0"/>
              <w:rPr>
                <w:sz w:val="20"/>
                <w:szCs w:val="20"/>
                <w:color w:val="auto"/>
              </w:rPr>
            </w:pPr>
            <w:r>
              <w:rPr>
                <w:rFonts w:ascii="Arial" w:cs="Arial" w:eastAsia="Arial" w:hAnsi="Arial"/>
                <w:sz w:val="18"/>
                <w:szCs w:val="18"/>
                <w:color w:val="auto"/>
              </w:rPr>
              <w:t>8,255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(410)</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2"/>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1,017,748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1,090,468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(72,720)</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(32,756)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(40,787)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0" w:type="dxa"/>
            <w:vAlign w:val="bottom"/>
          </w:tcPr>
          <w:p>
            <w:pPr>
              <w:spacing w:after="0"/>
              <w:rPr>
                <w:sz w:val="1"/>
                <w:szCs w:val="1"/>
                <w:color w:val="auto"/>
              </w:rPr>
            </w:pPr>
          </w:p>
        </w:tc>
      </w:tr>
      <w:tr>
        <w:trPr>
          <w:trHeight w:val="228"/>
        </w:trPr>
        <w:tc>
          <w:tcPr>
            <w:tcW w:w="57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(20,853)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3,843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123,272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(119,429)</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(54,927)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(139,363)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(133,019)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121,721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(187,946)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(261,084)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Loss from discontinued operations, net of tax</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(4,017)</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and comprehensive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(187,952)</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69,115</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(257,067)</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Revenue decreased in 2022 compared to 2021 due to decreases in our Home and Insurance segments, partially offset by an increase in our Consumer segment.</w:t>
      </w:r>
    </w:p>
    <w:p>
      <w:pPr>
        <w:spacing w:after="0" w:line="63"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increased $66.2 million in 2022 from 2021, or 20%, primarily due to increases in our personal loans, small business loans products, credit cards, and deposit accounts, partially offset by a decrease in student loans. Many of our products in the Consumer segment experienced increases in revenue in 2022 from 2021 due to the recovery from the impacts of the COVID-19 pandemic.</w:t>
      </w:r>
    </w:p>
    <w:p>
      <w:pPr>
        <w:spacing w:after="0" w:line="52"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Revenue from our personal loans product increased $34.0 million, or 31%, to $144.1 million in 2022 from $110.1 million in 2021 primarily due to an increase in the number of consumers completing request forms.</w:t>
      </w:r>
    </w:p>
    <w:p>
      <w:pPr>
        <w:spacing w:after="0" w:line="6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Revenue from our credit cards product increased $6.8 million, or 7%, to $100.2 million in 2022 from $93.4 million in 2021 primarily due to an increase in revenue earned per click, partially offset by a decrease in the number of clicks.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firstLine="323"/>
        <w:spacing w:after="0" w:line="239" w:lineRule="auto"/>
        <w:rPr>
          <w:sz w:val="20"/>
          <w:szCs w:val="20"/>
          <w:color w:val="auto"/>
        </w:rPr>
      </w:pPr>
      <w:r>
        <w:rPr>
          <w:rFonts w:ascii="Arial" w:cs="Arial" w:eastAsia="Arial" w:hAnsi="Arial"/>
          <w:sz w:val="18"/>
          <w:szCs w:val="18"/>
          <w:color w:val="auto"/>
        </w:rPr>
        <w:t>For the periods presented, no other products in our Consumer segment represented more than 10% of revenue; however, certain other Consumer products experienced notable changes. Revenue from our small business loans product increased $19.9 million in 2022 compared to 2021, due to an increase in revenue earned per consumer, partially offset by a decrease in the number of consumers. Revenue from our deposit accounts product increased $6.6 million in 2022 compared to 2021 due to an increase in the number of consumers and an increase in revenue earned per consumer. Student loans decreased $6.4 million in 2022 compared to 2021, due to a decrease in the number of consumers, partially offset by an increase in revenue earned per consumer.</w:t>
      </w:r>
    </w:p>
    <w:p>
      <w:pPr>
        <w:spacing w:after="0" w:line="93"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7"/>
          <w:szCs w:val="17"/>
          <w:color w:val="auto"/>
        </w:rPr>
        <w:t>Revenue from our Insurance segment decreased $27.1 million, or 8%, to $299.1 million in 2022 from $326.2 million in 2021 primarily due to a decrease in carrier budgets reducing the number of consumers completing request forms. The decrease in carrier budgets was due primarily to reduced customer acquisition activity for insurance carriers as they attempted to raise premium rates in response to inflationary pressures on claims.</w:t>
      </w:r>
    </w:p>
    <w:p>
      <w:pPr>
        <w:spacing w:after="0" w:line="5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Our Home segment includes the following products: purchase mortgage, refinance mortgage, home equity loans and lines of credit, and real estate. We ceased offering reverse mortgage loans in the fourth quarter of 2022. Revenue from our Home segment decreased $152.4 million, or 34%, in 2022 from 2021 primarily due to a decrease in revenue from our refinance mortgage product, partially offset by increases in our home equity loans and purchase mortgage products.</w:t>
      </w:r>
    </w:p>
    <w:p>
      <w:pPr>
        <w:spacing w:after="0" w:line="77"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Revenue from our mortgage products decreased $196.6 million, or 52%, to $179.4 million in 2022 from $376.1 million in 2021. Revenue from our refinance mortgage product decreased $203.7 million in 2022 compared to 2021, primarily due to a decrease in the number of consumers completing request forms and a decrease in revenue earned per consumer, as interest rates rose significantly in 2022. Revenue from our purchase mortgage product increased $7.1 million in 2022 compared to 2021 primarily due to an increase in revenue earned per consumer, partially offset by a decrease in the number of consumers completing request forms. Revenue from our home equity loans and lines of credit product increased $43.0 million, or 67% to $105.8 million in 2022 from $62.7 million in 2021 due to an increase in both the number of consumers completing request forms and the revenue earned per consumer.</w:t>
      </w:r>
    </w:p>
    <w:p>
      <w:pPr>
        <w:spacing w:after="0" w:line="54"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While we believe our three reportable segments have generally recovered from the impacts of the ongoing COVID-19 pandemic, we are continuously monitoring the impacts of the pandemic on the economy and any potential future impacts to our segment 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remained relatively consistent in 2022 compared to 2021.</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increased to 6% in 2022 compared to 5% in 2021.</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19" w:lineRule="exact"/>
        <w:rPr>
          <w:sz w:val="20"/>
          <w:szCs w:val="20"/>
          <w:color w:val="auto"/>
        </w:rPr>
      </w:pPr>
    </w:p>
    <w:p>
      <w:pPr>
        <w:jc w:val="both"/>
        <w:ind w:firstLine="323"/>
        <w:spacing w:after="0" w:line="310"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0" w:lineRule="exact"/>
        <w:rPr>
          <w:sz w:val="20"/>
          <w:szCs w:val="20"/>
          <w:color w:val="auto"/>
        </w:rPr>
      </w:pPr>
    </w:p>
    <w:p>
      <w:pPr>
        <w:jc w:val="both"/>
        <w:ind w:right="20" w:firstLine="323"/>
        <w:spacing w:after="0" w:line="305" w:lineRule="auto"/>
        <w:rPr>
          <w:sz w:val="20"/>
          <w:szCs w:val="20"/>
          <w:color w:val="auto"/>
        </w:rPr>
      </w:pPr>
      <w:r>
        <w:rPr>
          <w:rFonts w:ascii="Arial" w:cs="Arial" w:eastAsia="Arial" w:hAnsi="Arial"/>
          <w:sz w:val="17"/>
          <w:szCs w:val="17"/>
          <w:color w:val="auto"/>
        </w:rPr>
        <w:t>The $71.8 million decrease in selling and marketing expense in 2022 compared to 2021 was primarily due to the decreases in advertising and promotional expense discussed below. Additionally, compensation and benefits decreased $2.4 million in 2022 compared to 2021.</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4"/>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80" w:type="dxa"/>
            <w:vAlign w:val="bottom"/>
          </w:tcPr>
          <w:p>
            <w:pPr>
              <w:spacing w:after="0"/>
              <w:rPr>
                <w:sz w:val="18"/>
                <w:szCs w:val="18"/>
                <w:color w:val="auto"/>
              </w:rPr>
            </w:pPr>
          </w:p>
        </w:tc>
        <w:tc>
          <w:tcPr>
            <w:tcW w:w="2380" w:type="dxa"/>
            <w:vAlign w:val="bottom"/>
            <w:gridSpan w:val="2"/>
          </w:tcPr>
          <w:p>
            <w:pPr>
              <w:jc w:val="right"/>
              <w:ind w:right="833"/>
              <w:spacing w:after="0"/>
              <w:rPr>
                <w:sz w:val="20"/>
                <w:szCs w:val="20"/>
                <w:color w:val="auto"/>
              </w:rPr>
            </w:pPr>
            <w:r>
              <w:rPr>
                <w:rFonts w:ascii="Arial" w:cs="Arial" w:eastAsia="Arial" w:hAnsi="Arial"/>
                <w:sz w:val="16"/>
                <w:szCs w:val="16"/>
                <w:b w:val="1"/>
                <w:bCs w:val="1"/>
                <w:color w:val="auto"/>
              </w:rPr>
              <w:t>2022 vs. 2021</w:t>
            </w:r>
          </w:p>
        </w:tc>
        <w:tc>
          <w:tcPr>
            <w:tcW w:w="0" w:type="dxa"/>
            <w:vAlign w:val="bottom"/>
          </w:tcPr>
          <w:p>
            <w:pPr>
              <w:spacing w:after="0"/>
              <w:rPr>
                <w:sz w:val="1"/>
                <w:szCs w:val="1"/>
                <w:color w:val="auto"/>
              </w:rPr>
            </w:pPr>
          </w:p>
        </w:tc>
      </w:tr>
      <w:tr>
        <w:trPr>
          <w:trHeight w:val="158"/>
        </w:trPr>
        <w:tc>
          <w:tcPr>
            <w:tcW w:w="51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34"/>
              <w:spacing w:after="0" w:line="158" w:lineRule="exact"/>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553"/>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w w:val="88"/>
              </w:rPr>
              <w:t>Change</w:t>
            </w: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(Dollars in thousands)</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Online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614,369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687,976</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(73,607)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5140" w:type="dxa"/>
            <w:vAlign w:val="bottom"/>
          </w:tcPr>
          <w:p>
            <w:pPr>
              <w:ind w:left="140"/>
              <w:spacing w:after="0"/>
              <w:rPr>
                <w:sz w:val="20"/>
                <w:szCs w:val="20"/>
                <w:color w:val="auto"/>
              </w:rPr>
            </w:pPr>
            <w:r>
              <w:rPr>
                <w:rFonts w:ascii="Arial" w:cs="Arial" w:eastAsia="Arial" w:hAnsi="Arial"/>
                <w:sz w:val="18"/>
                <w:szCs w:val="18"/>
                <w:color w:val="auto"/>
              </w:rPr>
              <w:t>Broadcast</w:t>
            </w:r>
          </w:p>
        </w:tc>
        <w:tc>
          <w:tcPr>
            <w:tcW w:w="3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16,654</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8,738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94"/>
              <w:spacing w:after="0"/>
              <w:rPr>
                <w:sz w:val="20"/>
                <w:szCs w:val="20"/>
                <w:color w:val="auto"/>
              </w:rPr>
            </w:pPr>
            <w:r>
              <w:rPr>
                <w:rFonts w:ascii="Arial" w:cs="Arial" w:eastAsia="Arial" w:hAnsi="Arial"/>
                <w:sz w:val="18"/>
                <w:szCs w:val="18"/>
                <w:color w:val="auto"/>
              </w:rPr>
              <w:t>7,916</w:t>
            </w:r>
          </w:p>
        </w:tc>
        <w:tc>
          <w:tcPr>
            <w:tcW w:w="124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8"/>
        </w:trPr>
        <w:tc>
          <w:tcPr>
            <w:tcW w:w="5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16,301</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(3,624)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advertising and promotional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647,324</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716,639</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(69,315)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 xml:space="preserve">In the periods presented, advertising and promotional expenses are equivalent to the non-GAAP measure variable marketing expense. </w:t>
      </w:r>
      <w:r>
        <w:rPr>
          <w:rFonts w:ascii="Arial" w:cs="Arial" w:eastAsia="Arial" w:hAnsi="Arial"/>
          <w:sz w:val="18"/>
          <w:szCs w:val="18"/>
          <w:i w:val="1"/>
          <w:iCs w:val="1"/>
          <w:color w:val="auto"/>
        </w:rPr>
        <w:t>See</w:t>
      </w:r>
      <w:r>
        <w:rPr>
          <w:rFonts w:ascii="Arial" w:cs="Arial" w:eastAsia="Arial" w:hAnsi="Arial"/>
          <w:sz w:val="18"/>
          <w:szCs w:val="18"/>
          <w:color w:val="auto"/>
        </w:rPr>
        <w:t xml:space="preserve"> Variable Marketing Expense and Variable Marketing Margin below for additional information.</w:t>
      </w:r>
    </w:p>
    <w:p>
      <w:pPr>
        <w:spacing w:after="0" w:line="63"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8"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We adjusted our advertising expenditures in 2022 compared to 2021 in response to changes in Network Partner demand on our marketplace. We will continue to adjust selling and marketing expenditures dynamically in response to anticipated revenue opportunities.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General and administrative expense decreased in 2022 compared to 2021, primarily due to decreases in compensation and benefits, facilities, and professional fees expense of $13.4 million, $1.6 million, and $1.1 million, respectively. This was partially offset by increases in technology, fees and charges, travel and entertainment, and other tax expense of $5.6 million, $2.0 million, $1.5 million, and $1.5 million, respectively. Additionally, losses on the disposal of assets increased $3.1 million in 2022 compared to 2021.</w:t>
      </w:r>
    </w:p>
    <w:p>
      <w:pPr>
        <w:spacing w:after="0" w:line="77"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 xml:space="preserve">Non-cash compensation expense, included in total compensation and benefits noted above, within general and administrative expense decreased in 2022, which resulted in an increase in net income from continuing operations in 2022 compared to 2021. For additional information,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Note—14-Stock-Based Compensation in the notes to the consolidated financial statements included elsewhere in this report. Non-cash compensation expense is excluded from Adjusted Earnings Before Interest, Taxes, Depreciation, and Amortization (“Adjusted EBITDA”), as discussed below.</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 as a percentage of revenue increased to 15% in 2022 from 14% in 2021.</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19"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8" w:lineRule="exact"/>
        <w:rPr>
          <w:sz w:val="20"/>
          <w:szCs w:val="20"/>
          <w:color w:val="auto"/>
        </w:rPr>
      </w:pPr>
    </w:p>
    <w:p>
      <w:pPr>
        <w:jc w:val="both"/>
        <w:ind w:firstLine="323"/>
        <w:spacing w:after="0" w:line="305" w:lineRule="auto"/>
        <w:rPr>
          <w:sz w:val="20"/>
          <w:szCs w:val="20"/>
          <w:color w:val="auto"/>
        </w:rPr>
      </w:pPr>
      <w:r>
        <w:rPr>
          <w:rFonts w:ascii="Arial" w:cs="Arial" w:eastAsia="Arial" w:hAnsi="Arial"/>
          <w:sz w:val="17"/>
          <w:szCs w:val="17"/>
          <w:color w:val="auto"/>
        </w:rPr>
        <w:t>Product development expense increased in 2022 compared to 2021 as we continued to invest in internal development of new and enhanced features, functionality and business opportunities that we believe will enable us to better and more fully serve consumers and Network Partners.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The increase in depreciation expense in 2022 compared to 2021 was primarily the result of higher investment in internally developed software in recent years, to support the growth of our business in addition to depreciation on new assets related to our principal executive offices which we moved into in mid-2021.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decrease in amortization of intangibles in 2022 compared to 2021 was due to certain intangible assets associated with our recent business acquisitions becoming fully amortized.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2022, we did not record contingent consideration expense. All earnouts were completed prior to 2022.</w:t>
      </w:r>
    </w:p>
    <w:p>
      <w:pPr>
        <w:spacing w:after="0" w:line="115"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During 2021, we recorded aggregate contingent consideration gains of $8.2 million due to adjustments in the estimated fair value of the earnout payment related to the QuoteWizard acquisition for which the earnout period ended in 2021.</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and severance</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During 2022, we completed workforce reductions in each of the first, second, and fourth quarters of approximately 75 employees, 25 employees, and 50 employees, respectively. We incurred total expense of $4.4 million consisting of employee separation costs of $3.3 million and non-cash compensation expense of $1.1 million due to the accelerated vesting of certain equity awards. All employee separation costs are expected to be paid by the third quarter of 2023.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19"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 xml:space="preserve">Interest expense decreased in 2022 compared to 2021 primarily due to the adoption of Accounting Standards Update (“ASU”) 2020-06 on January 1, 2022, whereby we derecognized the remaining debt discounts on the 2022 Notes and 2025 Notes and therefore no longer recognize any amortization of debt discounts as interest expense, partially offset by an increase in interest from our Term Loan Facility.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Note—2 Significant Accounting Policies in the notes to the consolidated financial statements included elsewhere in this report for additional information.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Other income for 2022 primarily consists of dividend income. During 2021, we sold a portion of our investment in Stash and realized a gain of $27.9 million. Additionally, we recorded unrealized gains of $95.4 million as a result of an adjustment to the fair value of the Stash equity securities still held by us based on observable market events.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center"/>
              <w:ind w:right="253"/>
              <w:spacing w:after="0"/>
              <w:rPr>
                <w:sz w:val="20"/>
                <w:szCs w:val="20"/>
                <w:color w:val="auto"/>
              </w:rPr>
            </w:pPr>
            <w:r>
              <w:rPr>
                <w:rFonts w:ascii="Arial" w:cs="Arial" w:eastAsia="Arial" w:hAnsi="Arial"/>
                <w:sz w:val="16"/>
                <w:szCs w:val="16"/>
                <w:b w:val="1"/>
                <w:bCs w:val="1"/>
                <w:color w:val="auto"/>
                <w:w w:val="91"/>
              </w:rPr>
              <w:t>Year Ended December 31,</w:t>
            </w:r>
          </w:p>
        </w:tc>
      </w:tr>
      <w:tr>
        <w:trPr>
          <w:trHeight w:val="209"/>
        </w:trPr>
        <w:tc>
          <w:tcPr>
            <w:tcW w:w="7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r>
      <w:tr>
        <w:trPr>
          <w:trHeight w:val="208"/>
        </w:trPr>
        <w:tc>
          <w:tcPr>
            <w:tcW w:w="7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3"/>
          </w:tcPr>
          <w:p>
            <w:pPr>
              <w:jc w:val="center"/>
              <w:ind w:right="253"/>
              <w:spacing w:after="0"/>
              <w:rPr>
                <w:sz w:val="20"/>
                <w:szCs w:val="20"/>
                <w:color w:val="auto"/>
              </w:rPr>
            </w:pPr>
            <w:r>
              <w:rPr>
                <w:rFonts w:ascii="Arial" w:cs="Arial" w:eastAsia="Arial" w:hAnsi="Arial"/>
                <w:sz w:val="16"/>
                <w:szCs w:val="16"/>
                <w:i w:val="1"/>
                <w:iCs w:val="1"/>
                <w:color w:val="auto"/>
                <w:w w:val="89"/>
              </w:rPr>
              <w:t>(in thousands, except percentages)</w:t>
            </w:r>
          </w:p>
        </w:tc>
      </w:tr>
      <w:tr>
        <w:trPr>
          <w:trHeight w:val="23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(133,019)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(11,298)</w:t>
            </w:r>
          </w:p>
        </w:tc>
      </w:tr>
      <w:tr>
        <w:trPr>
          <w:trHeight w:val="228"/>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(242.2)%</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13.4 %</w:t>
            </w:r>
          </w:p>
        </w:tc>
      </w:tr>
    </w:tbl>
    <w:p>
      <w:pPr>
        <w:spacing w:after="0" w:line="187"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 xml:space="preserve">For 2022, the effective tax rate varied from the federal statutory rate of 21% primarily due to expense of $139.4 million to record a full valuation allowance against our net deferred tax assets.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Note—15 Income Taxes in the notes to the consolidated financial statements included elsewhere in this report for additional information on the valuation allowance.</w:t>
      </w:r>
    </w:p>
    <w:p>
      <w:pPr>
        <w:spacing w:after="0" w:line="7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For 2021, the effective tax rate varied from the federal statutory rate of 21% in part due to the benefit derived from excess tax deductions from exercise of stock options of $11.7 million, including state taxes and from research and experimentation tax credits of $3.2 million, partially offset by expense due to nondeductible executive compensation of $3.1 million and incremental valuation allowance on state net operating losses of $0.6 million, primarily due to state legislative changes.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77"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w:t>
      </w:r>
    </w:p>
    <w:p>
      <w:pPr>
        <w:spacing w:after="0" w:line="75"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During the HLC bankruptcy, a bar date for claims against HLC was set, establishing a deadline for all HLC's creditors to assert any claim they may have had against HLC. Distributions were made to holders of allowed claims deemed timely filed.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After all distributions to creditors were made and HLC's Chapter 7 bankruptcy estate was fully administered, the HLC bankruptcy case was closed on July 14, 2021.</w:t>
      </w:r>
    </w:p>
    <w:p>
      <w:pPr>
        <w:spacing w:after="0" w:line="6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legal proceedings against LendingTree, Inc. or LendingTree, LLC that arose due to the LendingTree Loans business or the HLC bankruptcy filing.</w:t>
      </w:r>
    </w:p>
    <w:p>
      <w:pPr>
        <w:spacing w:after="0" w:line="6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22—Discontinued Operations in the notes to the consolidated financial statements included elsewhere in this report for more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accounting effect of HLC’s bankruptcy filing on our consolidated financial statements.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2300" w:type="dxa"/>
            <w:vAlign w:val="bottom"/>
            <w:gridSpan w:val="2"/>
          </w:tcPr>
          <w:p>
            <w:pPr>
              <w:jc w:val="right"/>
              <w:ind w:right="716"/>
              <w:spacing w:after="0"/>
              <w:rPr>
                <w:sz w:val="20"/>
                <w:szCs w:val="20"/>
                <w:color w:val="auto"/>
              </w:rPr>
            </w:pPr>
            <w:r>
              <w:rPr>
                <w:rFonts w:ascii="Arial" w:cs="Arial" w:eastAsia="Arial" w:hAnsi="Arial"/>
                <w:sz w:val="16"/>
                <w:szCs w:val="16"/>
                <w:b w:val="1"/>
                <w:bCs w:val="1"/>
                <w:color w:val="auto"/>
              </w:rPr>
              <w:t>2022 vs. 2021</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654"/>
              <w:spacing w:after="0" w:line="171" w:lineRule="exact"/>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5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5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4"/>
          </w:tcPr>
          <w:p>
            <w:pPr>
              <w:jc w:val="right"/>
              <w:ind w:right="954"/>
              <w:spacing w:after="0"/>
              <w:rPr>
                <w:sz w:val="20"/>
                <w:szCs w:val="20"/>
                <w:color w:val="auto"/>
              </w:rPr>
            </w:pPr>
            <w:r>
              <w:rPr>
                <w:rFonts w:ascii="Arial" w:cs="Arial" w:eastAsia="Arial" w:hAnsi="Arial"/>
                <w:sz w:val="13"/>
                <w:szCs w:val="13"/>
                <w:b w:val="1"/>
                <w:bCs w:val="1"/>
                <w:i w:val="1"/>
                <w:iCs w:val="1"/>
                <w:color w:val="auto"/>
              </w:rPr>
              <w:t>(Dollars in thousands)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(50,268)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Arial" w:cs="Arial" w:eastAsia="Arial" w:hAnsi="Arial"/>
                <w:sz w:val="18"/>
                <w:szCs w:val="18"/>
                <w:color w:val="auto"/>
              </w:rPr>
              <w:t>Consumer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174,578</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31,081</w:t>
            </w:r>
          </w:p>
        </w:tc>
        <w:tc>
          <w:tcPr>
            <w:tcW w:w="11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(21,630)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(608)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1,147 %</w:t>
            </w:r>
          </w:p>
        </w:tc>
        <w:tc>
          <w:tcPr>
            <w:tcW w:w="0" w:type="dxa"/>
            <w:vAlign w:val="bottom"/>
          </w:tcPr>
          <w:p>
            <w:pPr>
              <w:spacing w:after="0"/>
              <w:rPr>
                <w:sz w:val="1"/>
                <w:szCs w:val="1"/>
                <w:color w:val="auto"/>
              </w:rPr>
            </w:pPr>
          </w:p>
        </w:tc>
      </w:tr>
      <w:tr>
        <w:trPr>
          <w:trHeight w:val="222"/>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368,941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410,366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(41,425)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23— Segment Information in the notes to the consolidated financial statements included elsewhere in this report for additional information on segments and a reconciliation of segment profit to pre-tax income from continuing operations.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HOME</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Revenue in the Home segment decreased 34% to $289.4 million in 2022 from 2021, with segment profit of $103.1 million in 2022, a decrease of 33% from 2021. Our Home segment margin (segment profit divided by segment revenue) remained relatively consistent, at 36% in 2022 compared to 35% in 2021.</w:t>
      </w:r>
    </w:p>
    <w:p>
      <w:pPr>
        <w:spacing w:after="0" w:line="75"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Within Home, our core mortgage business generated revenue of $179.4 million in 2022, down 52% from 2021, as demand for refinancing transactions diminished throughout the year, with almost no outstanding mortgages later in the year carrying a higher rate than current loan offerings. The 30-year mortgage interest rates increased from a monthly average of 3.1% in December 2021 to a monthly average of 6.36% in December 2022, according to Freddie Mac Near record home prices coupled with higher mortgage rates led to a 17% decrease in existing home sales in 2022 compared to 2021. Our mortgage volume decreased 47% and revenue per lead decreased 10% in 2022 compared to 2021. The volume mix in our mortgage business was close to evenly balanced between refinance at 54% and purchase loans at 46% of total volume in 2022 as compared to refinance at 67% and purchase at 33% of total volume in 2021.</w:t>
      </w:r>
    </w:p>
    <w:p>
      <w:pPr>
        <w:spacing w:after="0" w:line="85"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Revenue from our home equity loan product of $105.8 million in 2022 increased 69% from 2021, as homeowners in the U.S. enjoy near record levels of equity to borrow against for other debt repayments and to finance home improvements.</w:t>
      </w:r>
    </w:p>
    <w:p>
      <w:pPr>
        <w:spacing w:after="0" w:line="6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Home equity revenue per lead increased 13% in 2022 compared to 2021 as we were able to capture 49% more volume in 2022 compared to 2021. During the fourth quarter of 2022, we discontinued our reverse mortgage offering to better focus resources on supporting our traditional lending Network Partners going forward.</w:t>
      </w:r>
    </w:p>
    <w:p>
      <w:pPr>
        <w:spacing w:after="0" w:line="7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 outlook for the mortgage industry is a sustained period of lower refinance demand, with the Mortgage Bankers Association forecasting a 37% decline in refinance originations in 2023 after falling 76% in 2022. We have been actively engaged with our Network Partners in mortgage to increase purchase lead conversion rates, and are focusing on this metric internally as a key growth priority for the segment this year. We expect home equity will continue to generate the majority of our Home revenue in 2023, as our Network Partners have leaned on the favorable environment for cash-out transactions to maintain loan officer productivity.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CONSUMER</w:t>
      </w:r>
    </w:p>
    <w:p>
      <w:pPr>
        <w:spacing w:after="0" w:line="119" w:lineRule="exact"/>
        <w:rPr>
          <w:sz w:val="20"/>
          <w:szCs w:val="20"/>
          <w:color w:val="auto"/>
        </w:rPr>
      </w:pPr>
    </w:p>
    <w:p>
      <w:pPr>
        <w:jc w:val="both"/>
        <w:ind w:firstLine="323"/>
        <w:spacing w:after="0" w:line="305" w:lineRule="auto"/>
        <w:rPr>
          <w:sz w:val="20"/>
          <w:szCs w:val="20"/>
          <w:color w:val="auto"/>
        </w:rPr>
      </w:pPr>
      <w:r>
        <w:rPr>
          <w:rFonts w:ascii="Arial" w:cs="Arial" w:eastAsia="Arial" w:hAnsi="Arial"/>
          <w:sz w:val="17"/>
          <w:szCs w:val="17"/>
          <w:color w:val="auto"/>
        </w:rPr>
        <w:t>Growth in our Consumer segment continued, with revenue of $396.1 million in 2022, an increase of 20% from 2021, and segment profit of $174.6 million in 2022, an increase of 22% from 2021. Our Consumer segment margin remained consistent, at 44% in 2022 compared to 43% in 2021.</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Revenue from our personal loan product of $144.1 million increased 31% in 2022 compared to 2021 as debt consolidation was attractive with consumer credit card balances continuing to rise. Many of our partners have tightened their underwriting criteria to reduce portfolio risk given recession fears, focusing their customer acquisition activity on consumers with somewhat higher credit quality.</w:t>
      </w:r>
    </w:p>
    <w:p>
      <w:pPr>
        <w:spacing w:after="0" w:line="75"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Credit card revenue increased to $100.2 million or 7.3% in 2022 compared to 2021. Revenue per click grew 17% in 2022 compared to 2021 while we experienced an 8% decrease in the number of clicks. Operational improvements are being implemented and improving credit card results is a core priority for the company in 2023.</w:t>
      </w:r>
    </w:p>
    <w:p>
      <w:pPr>
        <w:spacing w:after="0" w:line="7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Small business achieved revenue growth of 41% in 2022 from 2021. In the second half of 2022 we continue to focus on lender performance to grow originations and improve conversion rates. By optimizing our marketing mix, we have aimed to increase the quality of our leads which benefits lenders and increases profitability. Our ability to efficiently steer borrowers to the most appropriate lender on our network with our concierge model continues to positively impact results. Going forward we are implementing technology improvements to automate capture of applicant financial data to enhance the borrower experience and increase lender match rate.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INSURANCE</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The auto and home insurance industry in 2022 was impacted by persistent industry headwinds, supply chain issues, rising accident severity and frequency, and hurricane losses in the back half of the year. This difficult operating environment for our carrier partners caused an 8% decrease in revenue in our Insurance segment to $299.1 million in 2022, from 2021. Segment profit of $91.8 million in 2022 decreased 19% from 2021. Our Insurance segment margin decreased to 31% in 2022 compared to 35% in 2021.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Variable Marketing Expense and Variable Marketing Margin</w:t>
      </w:r>
    </w:p>
    <w:p>
      <w:pPr>
        <w:spacing w:after="0" w:line="119" w:lineRule="exact"/>
        <w:rPr>
          <w:sz w:val="20"/>
          <w:szCs w:val="20"/>
          <w:color w:val="auto"/>
        </w:rPr>
      </w:pPr>
    </w:p>
    <w:p>
      <w:pPr>
        <w:jc w:val="both"/>
        <w:ind w:firstLine="323"/>
        <w:spacing w:after="0" w:line="268" w:lineRule="auto"/>
        <w:rPr>
          <w:sz w:val="20"/>
          <w:szCs w:val="20"/>
          <w:color w:val="auto"/>
        </w:rPr>
      </w:pPr>
      <w:r>
        <w:rPr>
          <w:rFonts w:ascii="Arial" w:cs="Arial" w:eastAsia="Arial" w:hAnsi="Arial"/>
          <w:sz w:val="17"/>
          <w:szCs w:val="17"/>
          <w:color w:val="auto"/>
        </w:rPr>
        <w:t>We report variable marketing expense and variable marketing margin as supplemental measures to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75"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(loss). Variable marketing margin is defined as revenue less variable marketing expense.</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the calculation of variable marketing margin: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495"/>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8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5"/>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6"/>
                <w:szCs w:val="16"/>
                <w:color w:val="auto"/>
              </w:rPr>
            </w:pPr>
          </w:p>
        </w:tc>
      </w:tr>
      <w:tr>
        <w:trPr>
          <w:trHeight w:val="238"/>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984,992</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1,098,499</w:t>
            </w:r>
          </w:p>
        </w:tc>
      </w:tr>
      <w:tr>
        <w:trPr>
          <w:trHeight w:val="228"/>
        </w:trPr>
        <w:tc>
          <w:tcPr>
            <w:tcW w:w="8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Variable marketing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647,324</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716,639</w:t>
            </w:r>
          </w:p>
        </w:tc>
      </w:tr>
      <w:tr>
        <w:trPr>
          <w:trHeight w:val="229"/>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Variable marketing margin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337,668</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381,860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selling and marketing expense, the most directly comparable GAAP measure, to variable marketing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center"/>
              <w:ind w:right="235"/>
              <w:spacing w:after="0"/>
              <w:rPr>
                <w:sz w:val="20"/>
                <w:szCs w:val="20"/>
                <w:color w:val="auto"/>
              </w:rPr>
            </w:pPr>
            <w:r>
              <w:rPr>
                <w:rFonts w:ascii="Arial" w:cs="Arial" w:eastAsia="Arial" w:hAnsi="Arial"/>
                <w:sz w:val="14"/>
                <w:szCs w:val="14"/>
                <w:b w:val="1"/>
                <w:bCs w:val="1"/>
                <w:color w:val="auto"/>
                <w:w w:val="91"/>
              </w:rPr>
              <w:t>Year Ended December 31,</w:t>
            </w:r>
          </w:p>
        </w:tc>
      </w:tr>
      <w:tr>
        <w:trPr>
          <w:trHeight w:val="25"/>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5"/>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left="479"/>
              <w:spacing w:after="0"/>
              <w:rPr>
                <w:sz w:val="20"/>
                <w:szCs w:val="20"/>
                <w:color w:val="auto"/>
              </w:rPr>
            </w:pPr>
            <w:r>
              <w:rPr>
                <w:rFonts w:ascii="Arial" w:cs="Arial" w:eastAsia="Arial" w:hAnsi="Arial"/>
                <w:sz w:val="14"/>
                <w:szCs w:val="14"/>
                <w:b w:val="1"/>
                <w:bCs w:val="1"/>
                <w:i w:val="1"/>
                <w:iCs w:val="1"/>
                <w:color w:val="auto"/>
                <w:w w:val="89"/>
              </w:rPr>
              <w:t>(in thousands)</w:t>
            </w:r>
          </w:p>
        </w:tc>
        <w:tc>
          <w:tcPr>
            <w:tcW w:w="880" w:type="dxa"/>
            <w:vAlign w:val="bottom"/>
          </w:tcPr>
          <w:p>
            <w:pPr>
              <w:spacing w:after="0"/>
              <w:rPr>
                <w:sz w:val="16"/>
                <w:szCs w:val="16"/>
                <w:color w:val="auto"/>
              </w:rPr>
            </w:pPr>
          </w:p>
        </w:tc>
      </w:tr>
      <w:tr>
        <w:trPr>
          <w:trHeight w:val="238"/>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702,238</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773,990</w:t>
            </w:r>
          </w:p>
        </w:tc>
      </w:tr>
      <w:tr>
        <w:trPr>
          <w:trHeight w:val="228"/>
        </w:trPr>
        <w:tc>
          <w:tcPr>
            <w:tcW w:w="8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Non-variable selling and marketing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(54,914)</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2"/>
              </w:rPr>
              <w:t>(57,351)</w:t>
            </w: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Variable marketing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647,324</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98"/>
              </w:rPr>
              <w:t>716,639</w:t>
            </w:r>
          </w:p>
        </w:tc>
      </w:tr>
    </w:tbl>
    <w:p>
      <w:pPr>
        <w:spacing w:after="0" w:line="241"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following is a reconciliation of net (loss) income from continuing operations, the most directly comparable GAAP measure, to variable marketing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8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8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5"/>
        </w:trPr>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Pr>
          <w:p>
            <w:pPr>
              <w:spacing w:after="0"/>
              <w:rPr>
                <w:sz w:val="16"/>
                <w:szCs w:val="16"/>
                <w:color w:val="auto"/>
              </w:rPr>
            </w:pPr>
          </w:p>
        </w:tc>
      </w:tr>
      <w:tr>
        <w:trPr>
          <w:trHeight w:val="23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(187,946)</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73,138</w:t>
            </w:r>
          </w:p>
        </w:tc>
      </w:tr>
      <w:tr>
        <w:trPr>
          <w:trHeight w:val="195"/>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variable marketing margin: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852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57,769</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57,297</w:t>
            </w:r>
          </w:p>
        </w:tc>
      </w:tr>
      <w:tr>
        <w:trPr>
          <w:trHeight w:val="228"/>
        </w:trPr>
        <w:tc>
          <w:tcPr>
            <w:tcW w:w="8520" w:type="dxa"/>
            <w:vAlign w:val="bottom"/>
            <w:shd w:val="clear" w:color="auto" w:fill="CCEEFF"/>
          </w:tcPr>
          <w:p>
            <w:pPr>
              <w:ind w:left="220"/>
              <w:spacing w:after="0" w:line="229" w:lineRule="exact"/>
              <w:rPr>
                <w:sz w:val="20"/>
                <w:szCs w:val="20"/>
                <w:color w:val="auto"/>
              </w:rPr>
            </w:pPr>
            <w:r>
              <w:rPr>
                <w:rFonts w:ascii="Arial" w:cs="Arial" w:eastAsia="Arial" w:hAnsi="Arial"/>
                <w:sz w:val="18"/>
                <w:szCs w:val="18"/>
                <w:color w:val="auto"/>
              </w:rPr>
              <w:t xml:space="preserve">Non-variable selling and marketing expense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54,914</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57,351</w:t>
            </w:r>
          </w:p>
        </w:tc>
      </w:tr>
      <w:tr>
        <w:trPr>
          <w:trHeight w:val="228"/>
        </w:trPr>
        <w:tc>
          <w:tcPr>
            <w:tcW w:w="852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152,377</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153,472</w:t>
            </w:r>
          </w:p>
        </w:tc>
      </w:tr>
      <w:tr>
        <w:trPr>
          <w:trHeight w:val="228"/>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55,553</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52,865</w:t>
            </w:r>
          </w:p>
        </w:tc>
      </w:tr>
      <w:tr>
        <w:trPr>
          <w:trHeight w:val="228"/>
        </w:trPr>
        <w:tc>
          <w:tcPr>
            <w:tcW w:w="85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20,095</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17,910</w:t>
            </w:r>
          </w:p>
        </w:tc>
      </w:tr>
      <w:tr>
        <w:trPr>
          <w:trHeight w:val="228"/>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25,306</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42,738</w:t>
            </w:r>
          </w:p>
        </w:tc>
      </w:tr>
      <w:tr>
        <w:trPr>
          <w:trHeight w:val="228"/>
        </w:trPr>
        <w:tc>
          <w:tcPr>
            <w:tcW w:w="8520" w:type="dxa"/>
            <w:vAlign w:val="bottom"/>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(8,249)</w:t>
            </w:r>
          </w:p>
        </w:tc>
      </w:tr>
      <w:tr>
        <w:trPr>
          <w:trHeight w:val="228"/>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severance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4,428</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8"/>
        </w:trPr>
        <w:tc>
          <w:tcPr>
            <w:tcW w:w="8520" w:type="dxa"/>
            <w:vAlign w:val="bottom"/>
          </w:tcPr>
          <w:p>
            <w:pPr>
              <w:ind w:left="22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28"/>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26,014</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46,867</w:t>
            </w:r>
          </w:p>
        </w:tc>
      </w:tr>
      <w:tr>
        <w:trPr>
          <w:trHeight w:val="228"/>
        </w:trPr>
        <w:tc>
          <w:tcPr>
            <w:tcW w:w="852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(3,843)</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(123,272)</w:t>
            </w:r>
          </w:p>
        </w:tc>
      </w:tr>
      <w:tr>
        <w:trPr>
          <w:trHeight w:val="228"/>
        </w:trPr>
        <w:tc>
          <w:tcPr>
            <w:tcW w:w="8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133,019</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11,298</w:t>
            </w:r>
          </w:p>
        </w:tc>
      </w:tr>
      <w:tr>
        <w:trPr>
          <w:trHeight w:val="222"/>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Variable marketing margin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337,668</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381,860</w:t>
            </w:r>
          </w:p>
        </w:tc>
      </w:tr>
    </w:tbl>
    <w:p>
      <w:pPr>
        <w:spacing w:after="0" w:line="268" w:lineRule="exact"/>
        <w:rPr>
          <w:sz w:val="20"/>
          <w:szCs w:val="20"/>
          <w:color w:val="auto"/>
        </w:rPr>
      </w:pPr>
    </w:p>
    <w:p>
      <w:pPr>
        <w:ind w:left="400" w:right="100" w:hanging="252"/>
        <w:spacing w:after="0" w:line="244"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19"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15"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and (9)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equal or greater prominence and descriptions of the reconciling items, including quantifying such items, to derive the non-GAAP measures. These non-GAAP measures may not be comparable to similarly titled measures used by other companies.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1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One-time items for the year ended December 31, 2022 consisted of the $1.5 million franchise tax caused by the equity investment gain in Stash. There are no adjustments for one-time items for the year ended December 31, 2021.</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15"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5"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75"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The following table is a reconciliation of net (loss) income from continuing operations, the most directly comparable GAAP measure, to Adjusted EBITDA.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6"/>
                <w:szCs w:val="16"/>
                <w:b w:val="1"/>
                <w:bCs w:val="1"/>
                <w:color w:val="auto"/>
              </w:rPr>
              <w:t>Year Ended December 31,</w:t>
            </w:r>
          </w:p>
        </w:tc>
      </w:tr>
      <w:tr>
        <w:trPr>
          <w:trHeight w:val="209"/>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188"/>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6"/>
                <w:szCs w:val="16"/>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(187,946)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73,138</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25,306</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42,738</w:t>
            </w: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20,095</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17,910</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severance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4,428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6,590</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(123,272)</w:t>
            </w: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58,541</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68,555</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Franchise tax caused by equity investment gain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Contribution to LendingTree Foundation</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Acquisition expense</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277</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26,014</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46,867</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133,019</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11,298</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84,464</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134,691</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7"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 xml:space="preserve">For information on fiscal 2020 results and similar comparisons,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Management's Discussion and Analysis of Financial Condition and Results of Operations—Financial Position, Liquidity and Capital Resources of our Form 10-K for the fiscal year ended December 31, 2021.</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As of December 31, 2022, we had $298.8 million of cash and cash equivalents, compared to $251.2 million of cash and cash equivalents as of December 31, 2021.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3"/>
        <w:spacing w:after="0" w:line="310" w:lineRule="auto"/>
        <w:rPr>
          <w:sz w:val="20"/>
          <w:szCs w:val="20"/>
          <w:color w:val="auto"/>
        </w:rPr>
      </w:pPr>
      <w:r>
        <w:rPr>
          <w:rFonts w:ascii="Arial" w:cs="Arial" w:eastAsia="Arial" w:hAnsi="Arial"/>
          <w:sz w:val="16"/>
          <w:szCs w:val="16"/>
          <w:color w:val="auto"/>
        </w:rPr>
        <w:t>We expect our cash and cash equivalents and cash flows from operations to be sufficient to fund our operating needs for the next twelve months and beyond. Our credit facility described below is an additional potential source of liquidity. We will continue to monitor economic impacts caused by the challenging interest rate environment, high levels of inflation, and lingering effects of the COVID-19 pandemic on our liquidity and capital resources.</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Notable transactions affecting cash and cash equivalents during the reported periods are as follows: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2022</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2022, we repurchased an aggregate of 379,895 shares of our common stock pursuant to a stock repurchase program for $43.0 million.</w:t>
      </w:r>
    </w:p>
    <w:p>
      <w:pPr>
        <w:spacing w:after="0" w:line="12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 xml:space="preserve">In the first quarter of 2022, we acquired an equity interest in EarnUp for $15.0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8—Equity Investments in the notes to the consolidated financial statements included elsewhere in this report for additional information on the equity interest.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2021</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2021, we repurchased an aggregate of 334,253 shares of our common stock pursuant to a stock repurchase program for $40.0 million.</w:t>
      </w:r>
    </w:p>
    <w:p>
      <w:pPr>
        <w:spacing w:after="0" w:line="127"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 xml:space="preserve">In the first quarter of 2021, we acquired an additional equity interest in Stash for $1.2 million. In the fourth quarter of 2021, we sold a portion of our Stash equity securities to a third party for $46.3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8—Equity Investment in the notes to the consolidated financial statements included elsewhere in this report for additional information on the equity interest in Stash.</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Facility</w:t>
      </w:r>
    </w:p>
    <w:p>
      <w:pPr>
        <w:spacing w:after="0" w:line="173"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On September 15, 2021, we entered into a credit agreement (the “Credit Agreement”), consisting of a $200.0 million Revolving Facility, which matures on September 15, 2026, and a $250.0 million delayed draw Term Loan Facility, which matures on September 15, 2028. The proceeds of the Revolving Facility can be used to finance working capital, for general corporate purposes, and any other purpose not prohibited by the Credit Agreement. We drew $250.0 million under the Term Loan Facility on May 31, 2022 and used $170.2 million of the proceeds to settle the Company’s 2022 Notes, including interest. The remaining proceeds of $79.8 million may be used for general corporate purposes and any other purposes not prohibited by the Credit Agreement.</w:t>
      </w:r>
    </w:p>
    <w:p>
      <w:pPr>
        <w:spacing w:after="0" w:line="8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As of February 27, 2023, we have outstanding $248.8 million under the Term Loan Facility, a $0.2 million letter of credit under the Revolving Facility, and the remaining borrowing capacity is $199.8 million.</w:t>
      </w:r>
    </w:p>
    <w:p>
      <w:pPr>
        <w:spacing w:after="0" w:line="6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 xml:space="preserve">For additional information on the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16—Debt in the notes to the consolidated financial statements included elsewhere in this report.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Leases</w:t>
      </w:r>
    </w:p>
    <w:p>
      <w:pPr>
        <w:spacing w:after="0" w:line="17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 xml:space="preserve">We have operating lease obligations associated with office space in various cities across the country and office equipment. Our principal executive office is located in Charlotte, North Carolina under an approximate 15-year lease that commenced in the second quarter of 2021. We anticipate cash payments under operating lease obligations of $13.1 million in 2023.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12—Leases in the notes to the consolidated financial statements included elsewhere in this report for more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615"/>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192"/>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6"/>
                <w:szCs w:val="16"/>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39"/>
              <w:spacing w:after="0"/>
              <w:rPr>
                <w:sz w:val="20"/>
                <w:szCs w:val="20"/>
                <w:color w:val="auto"/>
              </w:rPr>
            </w:pPr>
            <w:r>
              <w:rPr>
                <w:rFonts w:ascii="Arial" w:cs="Arial" w:eastAsia="Arial" w:hAnsi="Arial"/>
                <w:sz w:val="18"/>
                <w:szCs w:val="18"/>
                <w:color w:val="auto"/>
                <w:w w:val="87"/>
              </w:rPr>
              <w:t>42,974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131,256</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299"/>
              <w:spacing w:after="0"/>
              <w:rPr>
                <w:sz w:val="20"/>
                <w:szCs w:val="20"/>
                <w:color w:val="auto"/>
              </w:rPr>
            </w:pPr>
            <w:r>
              <w:rPr>
                <w:rFonts w:ascii="Arial" w:cs="Arial" w:eastAsia="Arial" w:hAnsi="Arial"/>
                <w:sz w:val="18"/>
                <w:szCs w:val="18"/>
                <w:color w:val="auto"/>
                <w:w w:val="89"/>
              </w:rPr>
              <w:t>(27,876)</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10,067</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8"/>
                <w:szCs w:val="18"/>
                <w:color w:val="auto"/>
                <w:w w:val="87"/>
              </w:rPr>
              <w:t>32,536</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(63,347)</w:t>
            </w:r>
          </w:p>
        </w:tc>
      </w:tr>
    </w:tbl>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5"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Our largest source of cash provided by our operating activities is revenues generated by our products. Our primary uses of cash from our operating activities include advertising and promotional payments. In addition, our uses of cash from operating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activities include compensation and other employee-related costs, other general corporate expenditures, litigation settlements and contingencies, certain contingent consideration payments, and income taxes.</w:t>
      </w:r>
    </w:p>
    <w:p>
      <w:pPr>
        <w:spacing w:after="0" w:line="6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Net cash provided by operating activities attributable to continuing operations decreased in 2022 from 2021 primarily due to a decrease in revenue, partially offset by a corresponding decrease in selling and marketing expense. Additionally, cash from changes in working capital decreased primarily as a result of changes in accounts payable, accrued expenses and other current liabilities, and income taxes receivable, partially offset by favorable changes in accounts receivable.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5"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Net cash used in investing activities attributable to continuing operations in 2022 of $27.9 million consisted of the purchase of a $16.4 million equity investment in EarnUp and another small investment, as well as capital expenditures of $11.4 million primarily related to internally-developed software.</w:t>
      </w:r>
    </w:p>
    <w:p>
      <w:pPr>
        <w:spacing w:after="0" w:line="18"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Net cash provided by investing activities attributable to continuing operations in 2021 of $10.1 million consisted of $46.3 million in proceeds from a partial sale of our equity interest in Stash partially offset by $1.2 million for the purchase of an additional equity interest in Stash and capital expenditures of $35.1 million primarily related to internally developed software.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Net cash provided by financing activities attributable to continuing operations in 2022 of $32.5 million consisted primarily of $250.0 million in proceeds from the term loan and the repayment of $169.7 million to settle our 2022 Notes discussed in the “Credit Facility” section above, $43.0 million for the repurchase of our stock, $3.4 million in withholding taxes paid upon surrender of shares to satisfy obligations on equity awards, net of proceeds from the exercise of stock options and $1.3 million repayment of the term loan.</w:t>
      </w:r>
    </w:p>
    <w:p>
      <w:pPr>
        <w:spacing w:after="0" w:line="77"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Net cash used in financing activities attributable to continuing operations in 2021 of $63.3 million consisted primarily of $40.0 million for the repurchase of our stock, $14.4 million in withholding taxes paid upon surrender of shares to satisfy obligations on equity awards, net of proceeds from the exercise of stock options, as well as $6.4 million for the payment of debt issuance costs and $2.5 million paid for the original issue discount on the Term Loan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9"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6"/>
          <w:szCs w:val="16"/>
          <w:color w:val="auto"/>
        </w:rPr>
        <w:t>The following disclosure is provided to supplement the description of our accounting policies contained in Note 2—Significant Accounting Policies in the notes to the consolidated financial statements included elsewhere in this report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19"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Estimates of current and deferred income taxes and the significant items giving rise to the deferred assets and liabilities are shown in Note 15—Income Taxes in the notes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and/or state tax authorities, as well as actual operating results that may vary significantly from anticipated results.</w:t>
      </w:r>
    </w:p>
    <w:p>
      <w:pPr>
        <w:spacing w:after="0" w:line="52"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 xml:space="preserve">A valuation allowance is provided on deferred tax assets if it is determined that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deferred tax asset will not be realized.</w:t>
      </w:r>
    </w:p>
    <w:p>
      <w:pPr>
        <w:spacing w:after="0" w:line="63"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During the third quarter of 2022, we established a full valuation allowance against our net deferred tax assets due to historical cumulative pre-tax losses and continued pre-tax losses in the quarter. We regularly review our deferred tax assets for recoverability based on historical taxable income, projected future taxable income, the expected timing of the reversals of existing taxable temporary differences, and tax planning strategies. The ultimate realization of deferred tax assets is dependent upon the generation of future taxable income. In determining the amount of the valuation allowance, we considered the scheduled reversal of deferred tax liabilities. We will maintain a full valuation allowance on net deferred tax assets until there is sufficient evidence to support the reversal of some or all of the allowance. Should there be a change in the valuation allowance in the future, the income tax provision would increase or decrease in the period in which the allowance is changed.</w:t>
      </w:r>
    </w:p>
    <w:p>
      <w:pPr>
        <w:spacing w:after="0" w:line="7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The indefinite carryforward period for certain deferred tax assets means that indefinite-lived deferred tax liabilities can be considered as support for realization of such deferred tax assets including post December 31, 2017 net operating loss carryovers, which can affect the need to record or maintain a valuation allowance for deferred tax assets.</w:t>
      </w:r>
    </w:p>
    <w:p>
      <w:pPr>
        <w:spacing w:after="0" w:line="75"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During 2022, we incurred income tax expense of $139.4 million related to the valuation allowance. At December 31, 2022, we maintain a valuation allowance of $145.4 million against our net deferred tax assets.</w:t>
      </w:r>
    </w:p>
    <w:p>
      <w:pPr>
        <w:spacing w:after="0" w:line="63"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At December 31, 2021 and 2020, we recorded a partial valuation allowance of $6.0 million and $5.8 million, respectively, primarily related to state net operating losses, which we do not expect to be able to utilize prior to expiration.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19"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 xml:space="preserve">The forms of stock-based awards granted to our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our Chairman and Chief Executive Officer. The value of RSUs is measured at their grant dates as the fair value of common stock and amortized ratably as non-cash compensation expense over the vesting term. The value of stock options issued and Employee Stock Purchase Rights are generally estimated using a Black-Scholes option pricing model. The value of performance-based grants is measured at their grant dates and recognized as non-cash compensation expense, considering the probability of the targets being achieved. Performance-based grants with a market condition are generally valued using a Monte Carlo simulation model. If an award is modified, we determine if the modification requires a new calculation of fair value or change in the vesting term of the award.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14—Stock-Based Compensation in the notes to the consolidated financial statements included elsewhere in this report for additional information on assumptions and inputs to the fair value determination of stock-based awards.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Goodwill Impairment</w:t>
      </w:r>
    </w:p>
    <w:p>
      <w:pPr>
        <w:spacing w:after="0" w:line="11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We test goodwill annually for impairment as of October 1, or more frequently upon the occurrence of certain events or substantive changes in circumstances. As part of our annual impairment testing of goodwill, we may elect to assess qualitative factors as a basis for determining whether it is necessary to perform the traditional quantitative impairment testing. If our assessment of these qualitative factors indicates that it is not more likely than not that the fair value of the reporting unit or indefinite-lived intangible asset is less than its carrying value, then no further testing is required. Otherwise, the goodwill reporting unit must be quantitatively tested for impairment.</w:t>
      </w:r>
    </w:p>
    <w:p>
      <w:pPr>
        <w:spacing w:after="0" w:line="8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Performing the quantitative test for goodwill impairment that compares the reporting unit fair value with its carrying value using a discounted cash flow and market analysis requires the exercise of significant judgments, including judgments about appropriate discount rates, perpetual growth rates, including revenue, the amount and timing of expected future cash flows, and market multiples. If the carrying amount of a reporting unit exceeds its fair value, an impairment loss is recognized in an amount equal to that excess.</w:t>
      </w:r>
    </w:p>
    <w:p>
      <w:pPr>
        <w:spacing w:after="0" w:line="77"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At June 30, 2022, we assessed the qualitative factors in our impairment testing of goodwill and determined that the effects of the challenging interest rate environment, consumer price inflation, and the decline in our market capitalization required a quantitative impairment test be performed. The quantitative goodwill impairment test found that the fair value of each reporting unit exceeded its carrying amount, indicating no goodwill impairment. We will monitor the recovery of the Insurance reporting unit and the Mortgage reporting unit. The property and casualty auto insurance industry is experiencing challenges caused by inflation, supply chain challenges, and the rising severity and frequency of claims. Additionally, the significant increase in mortgage interest rates have had a negative impact on our Mortgage reporting unit. Changes in the timing of the recovery compared to current expectations could cause an impairment to the Insurance or Mortgage reporting units.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goodwill subject to assessment for impairment at December 31, 2022 is $420.1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Recoverability of Long-Lived Assets</w:t>
      </w:r>
    </w:p>
    <w:p>
      <w:pPr>
        <w:spacing w:after="0" w:line="119"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We review the carrying value of all long-lived assets, primarily property and equipment, definite-lived intangible assets and operating lease right-of-use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7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Subsequent to the adoption of ASU 2018-15 in the first quarter of 2020, capitalized implementation costs incurred in a hosting arrangement that is a service contract are also allocated to and included within long-lived asset groups tested for recoverability.</w:t>
      </w:r>
    </w:p>
    <w:p>
      <w:pPr>
        <w:spacing w:after="0" w:line="6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combined value of long-lived assets and capitalized implementation costs incurred in a hosting arrangement that is a service contract subject to assessment for impairment is $179.4 million at December 31, 2022.</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Acquisitions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using Level 3 unobservable inputs. Our estimates of fair value are based upon assumptions believed to be reasonable but which are uncertain and involve significant judgments by management.</w:t>
      </w:r>
    </w:p>
    <w:p>
      <w:pPr>
        <w:spacing w:after="0" w:line="7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We reassess the fair value of contingent consideration quarterly until the contingency is resolved, and changes in the fair value are recorded in operating income in the consolidated statements of operations and comprehensive income (loss).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Investment</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Our equity securities do not have a readily determinable fair value and, upon acquisition, we elected the measurement alternative to value these securities. Accordingly, the equity securities will be carried at cost less impairment, if any, and subsequently measured to fair value upon observable price changes in an orderly transaction for the identical or similar investments with any gains or losses recorded to the consolidated statement of operations and comprehensive income.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our equity investment at December 31, 2022 is $174.6 million.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2—Significant Accounting Policies in the notes to the consolidated financial statements included elsewhere in this report for a description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19"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$2.5 million annual effect on the interest paid on borrowings under the Credit Facility. As of February 27, 2023, the Company had $248.8 million outstanding on its Term Loan Facility, and there were no outstanding borrowings under its Revolving Facility.</w:t>
      </w:r>
    </w:p>
    <w:p>
      <w:pPr>
        <w:spacing w:after="0" w:line="67"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1"/>
        </w:trPr>
        <w:tc>
          <w:tcPr>
            <w:tcW w:w="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14"/>
        </w:trPr>
        <w:tc>
          <w:tcPr>
            <w:tcW w:w="9660" w:type="dxa"/>
            <w:vAlign w:val="bottom"/>
            <w:gridSpan w:val="8"/>
          </w:tcPr>
          <w:p>
            <w:pPr>
              <w:spacing w:after="0"/>
              <w:rPr>
                <w:sz w:val="20"/>
                <w:szCs w:val="20"/>
                <w:color w:val="auto"/>
              </w:rPr>
            </w:pPr>
            <w:r>
              <w:rPr>
                <w:rFonts w:ascii="Arial" w:cs="Arial" w:eastAsia="Arial" w:hAnsi="Arial"/>
                <w:sz w:val="18"/>
                <w:szCs w:val="18"/>
                <w:color w:val="auto"/>
              </w:rPr>
              <w:t>LENDINGTREE, INC. AND SUBSIDIARIES:</w:t>
            </w:r>
          </w:p>
        </w:tc>
        <w:tc>
          <w:tcPr>
            <w:tcW w:w="1520" w:type="dxa"/>
            <w:vAlign w:val="bottom"/>
          </w:tcPr>
          <w:p>
            <w:pPr>
              <w:spacing w:after="0"/>
              <w:rPr>
                <w:sz w:val="18"/>
                <w:szCs w:val="18"/>
                <w:color w:val="auto"/>
              </w:rPr>
            </w:pPr>
          </w:p>
        </w:tc>
      </w:tr>
      <w:tr>
        <w:trPr>
          <w:trHeight w:val="189"/>
        </w:trPr>
        <w:tc>
          <w:tcPr>
            <w:tcW w:w="9660" w:type="dxa"/>
            <w:vAlign w:val="bottom"/>
            <w:gridSpan w:val="8"/>
          </w:tcPr>
          <w:p>
            <w:pPr>
              <w:spacing w:after="0" w:line="189" w:lineRule="exact"/>
              <w:rPr>
                <w:sz w:val="20"/>
                <w:szCs w:val="20"/>
                <w:color w:val="auto"/>
              </w:rPr>
            </w:pPr>
            <w:r>
              <w:rPr>
                <w:rFonts w:ascii="Arial" w:cs="Arial" w:eastAsia="Arial" w:hAnsi="Arial"/>
                <w:sz w:val="18"/>
                <w:szCs w:val="18"/>
                <w:b w:val="1"/>
                <w:bCs w:val="1"/>
                <w:i w:val="1"/>
                <w:iCs w:val="1"/>
                <w:color w:val="0000FF"/>
              </w:rPr>
              <w:t xml:space="preserve">Report of Independent Registered Public Accounting Firm (PCAOB ID </w:t>
            </w:r>
            <w:r>
              <w:rPr>
                <w:rFonts w:ascii="Arial" w:cs="Arial" w:eastAsia="Arial" w:hAnsi="Arial"/>
                <w:sz w:val="18"/>
                <w:szCs w:val="18"/>
                <w:b w:val="1"/>
                <w:bCs w:val="1"/>
                <w:i w:val="1"/>
                <w:iCs w:val="1"/>
                <w:color w:val="000000"/>
              </w:rPr>
              <w:t>238</w:t>
            </w:r>
            <w:r>
              <w:rPr>
                <w:rFonts w:ascii="Arial" w:cs="Arial" w:eastAsia="Arial" w:hAnsi="Arial"/>
                <w:sz w:val="18"/>
                <w:szCs w:val="18"/>
                <w:b w:val="1"/>
                <w:bCs w:val="1"/>
                <w:i w:val="1"/>
                <w:iCs w:val="1"/>
                <w:u w:val="single" w:color="auto"/>
                <w:color w:val="0000FF"/>
              </w:rPr>
              <w:t>)</w:t>
            </w:r>
          </w:p>
        </w:tc>
        <w:tc>
          <w:tcPr>
            <w:tcW w:w="1520" w:type="dxa"/>
            <w:vAlign w:val="bottom"/>
          </w:tcPr>
          <w:p>
            <w:pPr>
              <w:jc w:val="center"/>
              <w:spacing w:after="0" w:line="189" w:lineRule="exact"/>
              <w:rPr>
                <w:sz w:val="20"/>
                <w:szCs w:val="20"/>
                <w:color w:val="auto"/>
              </w:rPr>
            </w:pPr>
            <w:r>
              <w:rPr>
                <w:rFonts w:ascii="Arial" w:cs="Arial" w:eastAsia="Arial" w:hAnsi="Arial"/>
                <w:sz w:val="18"/>
                <w:szCs w:val="18"/>
                <w:color w:val="0000FF"/>
                <w:w w:val="89"/>
              </w:rPr>
              <w:t>53</w:t>
            </w:r>
          </w:p>
        </w:tc>
      </w:tr>
      <w:tr>
        <w:trPr>
          <w:trHeight w:val="463"/>
        </w:trPr>
        <w:tc>
          <w:tcPr>
            <w:tcW w:w="53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434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r>
      <w:tr>
        <w:trPr>
          <w:trHeight w:val="189"/>
        </w:trPr>
        <w:tc>
          <w:tcPr>
            <w:tcW w:w="400" w:type="dxa"/>
            <w:vAlign w:val="bottom"/>
          </w:tcPr>
          <w:p>
            <w:pPr>
              <w:spacing w:after="0"/>
              <w:rPr>
                <w:sz w:val="16"/>
                <w:szCs w:val="16"/>
                <w:color w:val="auto"/>
              </w:rPr>
            </w:pPr>
          </w:p>
        </w:tc>
        <w:tc>
          <w:tcPr>
            <w:tcW w:w="5500" w:type="dxa"/>
            <w:vAlign w:val="bottom"/>
            <w:tcBorders>
              <w:bottom w:val="single" w:sz="8" w:color="0000FF"/>
            </w:tcBorders>
            <w:gridSpan w:val="6"/>
          </w:tcPr>
          <w:p>
            <w:pPr>
              <w:spacing w:after="0" w:line="189" w:lineRule="exact"/>
              <w:rPr>
                <w:sz w:val="20"/>
                <w:szCs w:val="20"/>
                <w:color w:val="auto"/>
              </w:rPr>
            </w:pPr>
            <w:r>
              <w:rPr>
                <w:rFonts w:ascii="Arial" w:cs="Arial" w:eastAsia="Arial" w:hAnsi="Arial"/>
                <w:sz w:val="18"/>
                <w:szCs w:val="18"/>
                <w:b w:val="1"/>
                <w:bCs w:val="1"/>
                <w:i w:val="1"/>
                <w:iCs w:val="1"/>
                <w:color w:val="0000FF"/>
                <w:w w:val="85"/>
              </w:rPr>
              <w:t>Consolidated Statements of Operations and Comprehensive Income (Loss)</w:t>
            </w:r>
          </w:p>
        </w:tc>
        <w:tc>
          <w:tcPr>
            <w:tcW w:w="376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8"/>
                <w:szCs w:val="18"/>
                <w:color w:val="0000FF"/>
                <w:w w:val="89"/>
              </w:rPr>
              <w:t>55</w:t>
            </w:r>
          </w:p>
        </w:tc>
      </w:tr>
      <w:tr>
        <w:trPr>
          <w:trHeight w:val="208"/>
        </w:trPr>
        <w:tc>
          <w:tcPr>
            <w:tcW w:w="400" w:type="dxa"/>
            <w:vAlign w:val="bottom"/>
          </w:tcPr>
          <w:p>
            <w:pPr>
              <w:spacing w:after="0"/>
              <w:rPr>
                <w:sz w:val="18"/>
                <w:szCs w:val="18"/>
                <w:color w:val="auto"/>
              </w:rPr>
            </w:pPr>
          </w:p>
        </w:tc>
        <w:tc>
          <w:tcPr>
            <w:tcW w:w="9260" w:type="dxa"/>
            <w:vAlign w:val="bottom"/>
            <w:gridSpan w:val="7"/>
          </w:tcPr>
          <w:p>
            <w:pPr>
              <w:spacing w:after="0"/>
              <w:rPr>
                <w:sz w:val="20"/>
                <w:szCs w:val="20"/>
                <w:color w:val="auto"/>
              </w:rPr>
            </w:pPr>
            <w:r>
              <w:rPr>
                <w:rFonts w:ascii="Arial" w:cs="Arial" w:eastAsia="Arial" w:hAnsi="Arial"/>
                <w:sz w:val="18"/>
                <w:szCs w:val="18"/>
                <w:b w:val="1"/>
                <w:bCs w:val="1"/>
                <w:i w:val="1"/>
                <w:iCs w:val="1"/>
                <w:color w:val="0000FF"/>
              </w:rPr>
              <w:t>Consolidated Balance Sheets</w:t>
            </w:r>
          </w:p>
        </w:tc>
        <w:tc>
          <w:tcPr>
            <w:tcW w:w="1520" w:type="dxa"/>
            <w:vAlign w:val="bottom"/>
          </w:tcPr>
          <w:p>
            <w:pPr>
              <w:jc w:val="center"/>
              <w:spacing w:after="0"/>
              <w:rPr>
                <w:sz w:val="20"/>
                <w:szCs w:val="20"/>
                <w:color w:val="auto"/>
              </w:rPr>
            </w:pPr>
            <w:r>
              <w:rPr>
                <w:rFonts w:ascii="Arial" w:cs="Arial" w:eastAsia="Arial" w:hAnsi="Arial"/>
                <w:sz w:val="18"/>
                <w:szCs w:val="18"/>
                <w:color w:val="0000FF"/>
                <w:w w:val="89"/>
              </w:rPr>
              <w:t>56</w:t>
            </w:r>
          </w:p>
        </w:tc>
      </w:tr>
      <w:tr>
        <w:trPr>
          <w:trHeight w:val="20"/>
        </w:trPr>
        <w:tc>
          <w:tcPr>
            <w:tcW w:w="4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8"/>
        </w:trPr>
        <w:tc>
          <w:tcPr>
            <w:tcW w:w="400" w:type="dxa"/>
            <w:vAlign w:val="bottom"/>
          </w:tcPr>
          <w:p>
            <w:pPr>
              <w:spacing w:after="0"/>
              <w:rPr>
                <w:sz w:val="18"/>
                <w:szCs w:val="18"/>
                <w:color w:val="auto"/>
              </w:rPr>
            </w:pPr>
          </w:p>
        </w:tc>
        <w:tc>
          <w:tcPr>
            <w:tcW w:w="3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i w:val="1"/>
                <w:iCs w:val="1"/>
                <w:color w:val="0000FF"/>
                <w:w w:val="85"/>
              </w:rPr>
              <w:t>Consolidated Statements of Shareholders' Equity</w:t>
            </w:r>
          </w:p>
        </w:tc>
        <w:tc>
          <w:tcPr>
            <w:tcW w:w="5620" w:type="dxa"/>
            <w:vAlign w:val="bottom"/>
            <w:gridSpan w:val="3"/>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0000FF"/>
                <w:w w:val="89"/>
              </w:rPr>
              <w:t>57</w:t>
            </w:r>
          </w:p>
        </w:tc>
      </w:tr>
      <w:tr>
        <w:trPr>
          <w:trHeight w:val="208"/>
        </w:trPr>
        <w:tc>
          <w:tcPr>
            <w:tcW w:w="400" w:type="dxa"/>
            <w:vAlign w:val="bottom"/>
          </w:tcPr>
          <w:p>
            <w:pPr>
              <w:spacing w:after="0"/>
              <w:rPr>
                <w:sz w:val="18"/>
                <w:szCs w:val="18"/>
                <w:color w:val="auto"/>
              </w:rPr>
            </w:pPr>
          </w:p>
        </w:tc>
        <w:tc>
          <w:tcPr>
            <w:tcW w:w="2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i w:val="1"/>
                <w:iCs w:val="1"/>
                <w:color w:val="0000FF"/>
                <w:w w:val="85"/>
              </w:rPr>
              <w:t>Consolidated Statements of Cash Flows</w:t>
            </w:r>
          </w:p>
        </w:tc>
        <w:tc>
          <w:tcPr>
            <w:tcW w:w="6320" w:type="dxa"/>
            <w:vAlign w:val="bottom"/>
            <w:gridSpan w:val="5"/>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0000FF"/>
                <w:w w:val="89"/>
              </w:rPr>
              <w:t>58</w:t>
            </w:r>
          </w:p>
        </w:tc>
      </w:tr>
      <w:tr>
        <w:trPr>
          <w:trHeight w:val="208"/>
        </w:trPr>
        <w:tc>
          <w:tcPr>
            <w:tcW w:w="400" w:type="dxa"/>
            <w:vAlign w:val="bottom"/>
          </w:tcPr>
          <w:p>
            <w:pPr>
              <w:spacing w:after="0"/>
              <w:rPr>
                <w:sz w:val="18"/>
                <w:szCs w:val="18"/>
                <w:color w:val="auto"/>
              </w:rPr>
            </w:pPr>
          </w:p>
        </w:tc>
        <w:tc>
          <w:tcPr>
            <w:tcW w:w="9260" w:type="dxa"/>
            <w:vAlign w:val="bottom"/>
            <w:gridSpan w:val="7"/>
          </w:tcPr>
          <w:p>
            <w:pPr>
              <w:spacing w:after="0"/>
              <w:rPr>
                <w:sz w:val="20"/>
                <w:szCs w:val="20"/>
                <w:color w:val="auto"/>
              </w:rPr>
            </w:pPr>
            <w:r>
              <w:rPr>
                <w:rFonts w:ascii="Arial" w:cs="Arial" w:eastAsia="Arial" w:hAnsi="Arial"/>
                <w:sz w:val="18"/>
                <w:szCs w:val="18"/>
                <w:b w:val="1"/>
                <w:bCs w:val="1"/>
                <w:i w:val="1"/>
                <w:iCs w:val="1"/>
                <w:color w:val="0000FF"/>
              </w:rPr>
              <w:t>Notes to Consolidated Financial Statements</w:t>
            </w:r>
          </w:p>
        </w:tc>
        <w:tc>
          <w:tcPr>
            <w:tcW w:w="1520" w:type="dxa"/>
            <w:vAlign w:val="bottom"/>
          </w:tcPr>
          <w:p>
            <w:pPr>
              <w:jc w:val="center"/>
              <w:spacing w:after="0"/>
              <w:rPr>
                <w:sz w:val="20"/>
                <w:szCs w:val="20"/>
                <w:color w:val="auto"/>
              </w:rPr>
            </w:pPr>
            <w:r>
              <w:rPr>
                <w:rFonts w:ascii="Arial" w:cs="Arial" w:eastAsia="Arial" w:hAnsi="Arial"/>
                <w:sz w:val="18"/>
                <w:szCs w:val="18"/>
                <w:color w:val="0000FF"/>
                <w:w w:val="89"/>
              </w:rPr>
              <w:t>59</w:t>
            </w:r>
          </w:p>
        </w:tc>
      </w:tr>
      <w:tr>
        <w:trPr>
          <w:trHeight w:val="20"/>
        </w:trPr>
        <w:tc>
          <w:tcPr>
            <w:tcW w:w="4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LendingTree,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We have audited the accompanying consolidated balance sheets of LendingTree, Inc. and its subsidiaries (the “Company”) as of December 31, 2022 and 2021, and the related consolidated statements of operations and comprehensive income (loss), of shareholders’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202124"/>
        </w:rPr>
        <w:t>Change in Accounting Principle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202124"/>
        </w:rPr>
        <w:t>As discussed in Note 2 to the consolidated financial statements, the Company changed the manner in which it accounts for convertible debt in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Goodwill Impairment Assessment – Insurance Reporting Unit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described in Notes 2 and 7 to the consolidated financial statements, the Company’s consolidated goodwill balance was $420.1 million as of December 31, 2022, and total goodwill associated with the Insurance reporting unit was $194.7 million. Goodwill is tested annually for impairment as of October 1, or more frequently upon the occurrence of certain events or substantive changes in circumstances. Management may elect to assess qualitative factors as a basis for determining whether it is necessary to perform the traditional quantitative impairment testing. At June 30, 2022, management determined that the effects of the challenging interest rate environment, consumer price inflation, and the decline in the Company's market capitalization required an interim quantitative impairment test be performed. The quantitative impairment test for goodwill involves a comparison of the fair value of a reporting unit with its carrying amount, including goodwill. The quantitative interim goodwill impairment test found that the fair value of the Insurance reporting unit exceeded its carrying amount, indicating no goodwill impairment. Management determines the fair value of the Company’s reporting units by using a market approach and a discounted cash flow analysis. Determining the fair value using a discounted cash flow analysis and market analysis requires the exercise of significant judgments, including judgments about appropriate discount rates, perpetual growth rates, including revenue, the amount and timing of expected future cash flows, and market multiples.</w:t>
      </w:r>
    </w:p>
    <w:p>
      <w:pPr>
        <w:spacing w:after="0" w:line="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principal considerations for our determination that performing procedures relating to the interim goodwill impairment assessment of the Insurance reporting unit is a critical audit matter are (i) the significant judgment by management when developing the fair value estimate of the Insurance reporting unit; (ii) a high degree of auditor judgment, subjectivity, and effort in performing procedures and evaluating management’s significant assumptions related to revenue growth rates, discount rate, and market multiples; and (iii) the audit effort involved the use of professionals with specialized skill and knowledge.</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Insurance reporting unit. These procedures also included, among others (i) testing management’s process for developing the fair value estimate of the Insurance reporting unit; (ii) evaluating the appropriateness of the discounted cash flow model and market approach; (iii) testing the completeness and accuracy of the underlying data used in the discounted cash flow model and market approach; and (iv) evaluating the reasonableness of significant assumptions used by management related to revenue growth rates, discount rate, and market multiples. Evaluating management’s assumptions related to revenue growth rates involved evaluating whether the assumptions used by management were reasonable considering (i) the current and past performance of the Insurance reporting unit; (ii) the consistency with external market and industry data; and (iii) whether these assumptions were consistent with evidence obtained in other areas of the audit. Professionals with specialized skill and knowledge were used to assist in evaluating (i) the appropriateness of the Company’s discounted cash flow model and market approach and (ii) the reasonableness of the significant assumptions related to the discount rate and market multiples.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center"/>
              <w:ind w:left="432"/>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Borders>
              <w:bottom w:val="single" w:sz="8" w:color="auto"/>
            </w:tcBorders>
          </w:tcPr>
          <w:p>
            <w:pPr>
              <w:spacing w:after="0"/>
              <w:rPr>
                <w:sz w:val="18"/>
                <w:szCs w:val="18"/>
                <w:color w:val="auto"/>
              </w:rPr>
            </w:pPr>
          </w:p>
        </w:tc>
      </w:tr>
      <w:tr>
        <w:trPr>
          <w:trHeight w:val="209"/>
        </w:trPr>
        <w:tc>
          <w:tcPr>
            <w:tcW w:w="7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31"/>
              <w:spacing w:after="0"/>
              <w:rPr>
                <w:sz w:val="20"/>
                <w:szCs w:val="20"/>
                <w:color w:val="auto"/>
              </w:rPr>
            </w:pPr>
            <w:r>
              <w:rPr>
                <w:rFonts w:ascii="Arial" w:cs="Arial" w:eastAsia="Arial" w:hAnsi="Arial"/>
                <w:sz w:val="16"/>
                <w:szCs w:val="16"/>
                <w:b w:val="1"/>
                <w:bCs w:val="1"/>
                <w:color w:val="auto"/>
                <w:w w:val="89"/>
              </w:rPr>
              <w:t>2021</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89"/>
              </w:rPr>
              <w:t>2020</w:t>
            </w:r>
          </w:p>
        </w:tc>
      </w:tr>
      <w:tr>
        <w:trPr>
          <w:trHeight w:val="177"/>
        </w:trPr>
        <w:tc>
          <w:tcPr>
            <w:tcW w:w="7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4"/>
          </w:tcPr>
          <w:p>
            <w:pPr>
              <w:jc w:val="center"/>
              <w:ind w:left="432"/>
              <w:spacing w:after="0"/>
              <w:rPr>
                <w:sz w:val="20"/>
                <w:szCs w:val="20"/>
                <w:color w:val="auto"/>
              </w:rPr>
            </w:pPr>
            <w:r>
              <w:rPr>
                <w:rFonts w:ascii="Arial" w:cs="Arial" w:eastAsia="Arial" w:hAnsi="Arial"/>
                <w:sz w:val="13"/>
                <w:szCs w:val="13"/>
                <w:b w:val="1"/>
                <w:bCs w:val="1"/>
                <w:i w:val="1"/>
                <w:iCs w:val="1"/>
                <w:color w:val="auto"/>
                <w:w w:val="88"/>
              </w:rPr>
              <w:t>(in thousands, except per share amounts)</w:t>
            </w:r>
          </w:p>
        </w:tc>
        <w:tc>
          <w:tcPr>
            <w:tcW w:w="800" w:type="dxa"/>
            <w:vAlign w:val="bottom"/>
          </w:tcPr>
          <w:p>
            <w:pPr>
              <w:spacing w:after="0"/>
              <w:rPr>
                <w:sz w:val="15"/>
                <w:szCs w:val="15"/>
                <w:color w:val="auto"/>
              </w:rPr>
            </w:pPr>
          </w:p>
        </w:tc>
      </w:tr>
      <w:tr>
        <w:trPr>
          <w:trHeight w:val="235"/>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984,992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1,098,499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909,990</w:t>
            </w:r>
          </w:p>
        </w:tc>
      </w:tr>
      <w:tr>
        <w:trPr>
          <w:trHeight w:val="228"/>
        </w:trPr>
        <w:tc>
          <w:tcPr>
            <w:tcW w:w="7260" w:type="dxa"/>
            <w:vAlign w:val="bottom"/>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57,769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57,297</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w:t>
            </w:r>
          </w:p>
        </w:tc>
      </w:tr>
      <w:tr>
        <w:trPr>
          <w:trHeight w:val="228"/>
        </w:trPr>
        <w:tc>
          <w:tcPr>
            <w:tcW w:w="7260" w:type="dxa"/>
            <w:vAlign w:val="bottom"/>
          </w:tcPr>
          <w:p>
            <w:pPr>
              <w:ind w:left="12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702,238</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773,990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617,404</w:t>
            </w:r>
          </w:p>
        </w:tc>
      </w:tr>
      <w:tr>
        <w:trPr>
          <w:trHeight w:val="228"/>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152,377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153,472</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129,101</w:t>
            </w:r>
          </w:p>
        </w:tc>
      </w:tr>
      <w:tr>
        <w:trPr>
          <w:trHeight w:val="228"/>
        </w:trPr>
        <w:tc>
          <w:tcPr>
            <w:tcW w:w="7260" w:type="dxa"/>
            <w:vAlign w:val="bottom"/>
          </w:tcPr>
          <w:p>
            <w:pPr>
              <w:ind w:left="12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55,553</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52,865</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43,636</w:t>
            </w:r>
          </w:p>
        </w:tc>
      </w:tr>
      <w:tr>
        <w:trPr>
          <w:trHeight w:val="228"/>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20,095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17,910</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w:t>
            </w:r>
          </w:p>
        </w:tc>
      </w:tr>
      <w:tr>
        <w:trPr>
          <w:trHeight w:val="228"/>
        </w:trPr>
        <w:tc>
          <w:tcPr>
            <w:tcW w:w="726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25,306</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42,738</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53,078</w:t>
            </w:r>
          </w:p>
        </w:tc>
      </w:tr>
      <w:tr>
        <w:trPr>
          <w:trHeight w:val="228"/>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r>
      <w:tr>
        <w:trPr>
          <w:trHeight w:val="228"/>
        </w:trPr>
        <w:tc>
          <w:tcPr>
            <w:tcW w:w="7260" w:type="dxa"/>
            <w:vAlign w:val="bottom"/>
          </w:tcPr>
          <w:p>
            <w:pPr>
              <w:ind w:left="120"/>
              <w:spacing w:after="0"/>
              <w:rPr>
                <w:sz w:val="20"/>
                <w:szCs w:val="20"/>
                <w:color w:val="auto"/>
              </w:rPr>
            </w:pPr>
            <w:r>
              <w:rPr>
                <w:rFonts w:ascii="Arial" w:cs="Arial" w:eastAsia="Arial" w:hAnsi="Arial"/>
                <w:sz w:val="18"/>
                <w:szCs w:val="18"/>
                <w:color w:val="auto"/>
              </w:rPr>
              <w:t>Restructuring and severance</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4,428</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8"/>
        </w:trPr>
        <w:tc>
          <w:tcPr>
            <w:tcW w:w="72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22"/>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1,017,748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1,090,468</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916,593</w:t>
            </w:r>
          </w:p>
        </w:tc>
      </w:tr>
      <w:tr>
        <w:trPr>
          <w:trHeight w:val="222"/>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(32,756)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8,031</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(6,603)</w:t>
            </w:r>
          </w:p>
        </w:tc>
      </w:tr>
      <w:tr>
        <w:trPr>
          <w:trHeight w:val="228"/>
        </w:trPr>
        <w:tc>
          <w:tcPr>
            <w:tcW w:w="72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(46,867)</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r>
      <w:tr>
        <w:trPr>
          <w:trHeight w:val="228"/>
        </w:trPr>
        <w:tc>
          <w:tcPr>
            <w:tcW w:w="7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3,843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123,272</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r>
      <w:tr>
        <w:trPr>
          <w:trHeight w:val="222"/>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(54,927)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84,436</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(42,527)</w:t>
            </w:r>
          </w:p>
        </w:tc>
      </w:tr>
      <w:tr>
        <w:trPr>
          <w:trHeight w:val="228"/>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(133,019)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(11,298)</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19,961</w:t>
            </w:r>
          </w:p>
        </w:tc>
      </w:tr>
      <w:tr>
        <w:trPr>
          <w:trHeight w:val="222"/>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from continuing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(187,946)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73,138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(22,566)</w:t>
            </w:r>
          </w:p>
        </w:tc>
      </w:tr>
      <w:tr>
        <w:trPr>
          <w:trHeight w:val="228"/>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(4,023)</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(25,689)</w:t>
            </w:r>
          </w:p>
        </w:tc>
      </w:tr>
      <w:tr>
        <w:trPr>
          <w:trHeight w:val="229"/>
        </w:trPr>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and comprehensive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(187,952)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69,115</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(48,255)</w:t>
            </w:r>
          </w:p>
        </w:tc>
      </w:tr>
      <w:tr>
        <w:trPr>
          <w:trHeight w:val="255"/>
        </w:trPr>
        <w:tc>
          <w:tcPr>
            <w:tcW w:w="7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8"/>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726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12,793</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13,199</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13,007</w:t>
            </w:r>
          </w:p>
        </w:tc>
      </w:tr>
      <w:tr>
        <w:trPr>
          <w:trHeight w:val="228"/>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12,793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13,695</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r>
      <w:tr>
        <w:trPr>
          <w:trHeight w:val="228"/>
        </w:trPr>
        <w:tc>
          <w:tcPr>
            <w:tcW w:w="7260" w:type="dxa"/>
            <w:vAlign w:val="bottom"/>
          </w:tcPr>
          <w:p>
            <w:pPr>
              <w:spacing w:after="0"/>
              <w:rPr>
                <w:sz w:val="20"/>
                <w:szCs w:val="20"/>
                <w:color w:val="auto"/>
              </w:rPr>
            </w:pPr>
            <w:r>
              <w:rPr>
                <w:rFonts w:ascii="Arial" w:cs="Arial" w:eastAsia="Arial" w:hAnsi="Arial"/>
                <w:sz w:val="18"/>
                <w:szCs w:val="18"/>
                <w:b w:val="1"/>
                <w:bCs w:val="1"/>
                <w:color w:val="auto"/>
              </w:rPr>
              <w:t>(Loss) income per share from continuing operations: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5.54</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8"/>
        </w:trPr>
        <w:tc>
          <w:tcPr>
            <w:tcW w:w="72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8"/>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7260" w:type="dxa"/>
            <w:vAlign w:val="bottom"/>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8"/>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8"/>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 income per share: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8"/>
        </w:trPr>
        <w:tc>
          <w:tcPr>
            <w:tcW w:w="7260" w:type="dxa"/>
            <w:vAlign w:val="bottom"/>
            <w:tcBorders>
              <w:bottom w:val="single" w:sz="8" w:color="999999"/>
            </w:tcBorders>
          </w:tcPr>
          <w:p>
            <w:pPr>
              <w:ind w:left="1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999999"/>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(14.69)</w:t>
            </w:r>
          </w:p>
        </w:tc>
        <w:tc>
          <w:tcPr>
            <w:tcW w:w="340" w:type="dxa"/>
            <w:vAlign w:val="bottom"/>
            <w:tcBorders>
              <w:bottom w:val="single" w:sz="8" w:color="999999"/>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999999"/>
            </w:tcBorders>
          </w:tcPr>
          <w:p>
            <w:pPr>
              <w:jc w:val="right"/>
              <w:ind w:right="31"/>
              <w:spacing w:after="0"/>
              <w:rPr>
                <w:sz w:val="20"/>
                <w:szCs w:val="20"/>
                <w:color w:val="auto"/>
              </w:rPr>
            </w:pPr>
            <w:r>
              <w:rPr>
                <w:rFonts w:ascii="Arial" w:cs="Arial" w:eastAsia="Arial" w:hAnsi="Arial"/>
                <w:sz w:val="18"/>
                <w:szCs w:val="18"/>
                <w:color w:val="auto"/>
              </w:rPr>
              <w:t>5.05</w:t>
            </w:r>
          </w:p>
        </w:tc>
        <w:tc>
          <w:tcPr>
            <w:tcW w:w="500" w:type="dxa"/>
            <w:vAlign w:val="bottom"/>
            <w:tcBorders>
              <w:bottom w:val="single" w:sz="8" w:color="999999"/>
            </w:tcBorders>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(3.71)</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36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6"/>
              </w:rPr>
              <w:t>December 31, 2022</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 2021</w:t>
            </w:r>
          </w:p>
        </w:tc>
      </w:tr>
      <w:tr>
        <w:trPr>
          <w:trHeight w:val="25"/>
        </w:trPr>
        <w:tc>
          <w:tcPr>
            <w:tcW w:w="8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r>
      <w:tr>
        <w:trPr>
          <w:trHeight w:val="136"/>
        </w:trPr>
        <w:tc>
          <w:tcPr>
            <w:tcW w:w="8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jc w:val="right"/>
              <w:ind w:right="330"/>
              <w:spacing w:after="0" w:line="136" w:lineRule="exact"/>
              <w:rPr>
                <w:sz w:val="20"/>
                <w:szCs w:val="20"/>
                <w:color w:val="auto"/>
              </w:rPr>
            </w:pPr>
            <w:r>
              <w:rPr>
                <w:rFonts w:ascii="Arial" w:cs="Arial" w:eastAsia="Arial" w:hAnsi="Arial"/>
                <w:sz w:val="14"/>
                <w:szCs w:val="14"/>
                <w:b w:val="1"/>
                <w:bCs w:val="1"/>
                <w:i w:val="1"/>
                <w:iCs w:val="1"/>
                <w:color w:val="auto"/>
                <w:w w:val="94"/>
              </w:rPr>
              <w:t>(in thousands, except par value</w:t>
            </w:r>
          </w:p>
        </w:tc>
      </w:tr>
      <w:tr>
        <w:trPr>
          <w:trHeight w:val="187"/>
        </w:trPr>
        <w:tc>
          <w:tcPr>
            <w:tcW w:w="8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3"/>
          </w:tcPr>
          <w:p>
            <w:pPr>
              <w:jc w:val="right"/>
              <w:ind w:right="650"/>
              <w:spacing w:after="0"/>
              <w:rPr>
                <w:sz w:val="20"/>
                <w:szCs w:val="20"/>
                <w:color w:val="auto"/>
              </w:rPr>
            </w:pPr>
            <w:r>
              <w:rPr>
                <w:rFonts w:ascii="Arial" w:cs="Arial" w:eastAsia="Arial" w:hAnsi="Arial"/>
                <w:sz w:val="14"/>
                <w:szCs w:val="14"/>
                <w:b w:val="1"/>
                <w:bCs w:val="1"/>
                <w:i w:val="1"/>
                <w:iCs w:val="1"/>
                <w:color w:val="auto"/>
              </w:rPr>
              <w:t>and share amounts)</w:t>
            </w:r>
          </w:p>
        </w:tc>
      </w:tr>
      <w:tr>
        <w:trPr>
          <w:trHeight w:val="234"/>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8"/>
        </w:trPr>
        <w:tc>
          <w:tcPr>
            <w:tcW w:w="85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298,845</w:t>
            </w:r>
          </w:p>
        </w:tc>
        <w:tc>
          <w:tcPr>
            <w:tcW w:w="3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251,231</w:t>
            </w:r>
          </w:p>
        </w:tc>
      </w:tr>
      <w:tr>
        <w:trPr>
          <w:trHeight w:val="228"/>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8"/>
        </w:trPr>
        <w:tc>
          <w:tcPr>
            <w:tcW w:w="856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$2,317 and $1,456, respectively)</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83,060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97,658</w:t>
            </w:r>
          </w:p>
        </w:tc>
      </w:tr>
      <w:tr>
        <w:trPr>
          <w:trHeight w:val="228"/>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26,250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25,379</w:t>
            </w:r>
          </w:p>
        </w:tc>
      </w:tr>
      <w:tr>
        <w:trPr>
          <w:trHeight w:val="228"/>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Assets held for sale (Note 9)</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5,689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413,968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374,379</w:t>
            </w:r>
          </w:p>
        </w:tc>
      </w:tr>
      <w:tr>
        <w:trPr>
          <w:trHeight w:val="228"/>
        </w:trPr>
        <w:tc>
          <w:tcPr>
            <w:tcW w:w="856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$33,851 and $28,315, respectively)</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59,160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72,477</w:t>
            </w:r>
          </w:p>
        </w:tc>
      </w:tr>
      <w:tr>
        <w:trPr>
          <w:trHeight w:val="22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67,050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77,346</w:t>
            </w:r>
          </w:p>
        </w:tc>
      </w:tr>
      <w:tr>
        <w:trPr>
          <w:trHeight w:val="228"/>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420,139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420,139</w:t>
            </w:r>
          </w:p>
        </w:tc>
      </w:tr>
      <w:tr>
        <w:trPr>
          <w:trHeight w:val="22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58,315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85,763</w:t>
            </w:r>
          </w:p>
        </w:tc>
      </w:tr>
      <w:tr>
        <w:trPr>
          <w:trHeight w:val="228"/>
        </w:trPr>
        <w:tc>
          <w:tcPr>
            <w:tcW w:w="856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87,581</w:t>
            </w:r>
          </w:p>
        </w:tc>
      </w:tr>
      <w:tr>
        <w:trPr>
          <w:trHeight w:val="22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(Note 8)</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174,580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158,140</w:t>
            </w:r>
          </w:p>
        </w:tc>
      </w:tr>
      <w:tr>
        <w:trPr>
          <w:trHeight w:val="228"/>
        </w:trPr>
        <w:tc>
          <w:tcPr>
            <w:tcW w:w="85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6,101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6,942</w:t>
            </w:r>
          </w:p>
        </w:tc>
      </w:tr>
      <w:tr>
        <w:trPr>
          <w:trHeight w:val="228"/>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16,589</w:t>
            </w:r>
          </w:p>
        </w:tc>
      </w:tr>
      <w:tr>
        <w:trPr>
          <w:trHeight w:val="229"/>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1,199,313</w:t>
            </w:r>
          </w:p>
        </w:tc>
        <w:tc>
          <w:tcPr>
            <w:tcW w:w="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1,299,356</w:t>
            </w:r>
          </w:p>
        </w:tc>
      </w:tr>
      <w:tr>
        <w:trPr>
          <w:trHeight w:val="255"/>
        </w:trPr>
        <w:tc>
          <w:tcPr>
            <w:tcW w:w="8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8"/>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166,008</w:t>
            </w:r>
          </w:p>
        </w:tc>
      </w:tr>
      <w:tr>
        <w:trPr>
          <w:trHeight w:val="228"/>
        </w:trPr>
        <w:tc>
          <w:tcPr>
            <w:tcW w:w="8560" w:type="dxa"/>
            <w:vAlign w:val="bottom"/>
          </w:tcPr>
          <w:p>
            <w:pPr>
              <w:ind w:left="140"/>
              <w:spacing w:after="0"/>
              <w:rPr>
                <w:sz w:val="20"/>
                <w:szCs w:val="20"/>
                <w:color w:val="auto"/>
              </w:rPr>
            </w:pPr>
            <w:r>
              <w:rPr>
                <w:rFonts w:ascii="Arial" w:cs="Arial" w:eastAsia="Arial" w:hAnsi="Arial"/>
                <w:sz w:val="18"/>
                <w:szCs w:val="18"/>
                <w:color w:val="auto"/>
              </w:rPr>
              <w:t>Accounts payable, trade</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2,030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1,692</w:t>
            </w:r>
          </w:p>
        </w:tc>
      </w:tr>
      <w:tr>
        <w:trPr>
          <w:trHeight w:val="228"/>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75,095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106,731</w:t>
            </w:r>
          </w:p>
        </w:tc>
      </w:tr>
      <w:tr>
        <w:trPr>
          <w:trHeight w:val="228"/>
        </w:trPr>
        <w:tc>
          <w:tcPr>
            <w:tcW w:w="856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Liabilities held for sale (Note 9)</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2,909</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b w:val="1"/>
                <w:bCs w:val="1"/>
                <w:color w:val="auto"/>
              </w:rPr>
              <w:t>82,534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274,432</w:t>
            </w:r>
          </w:p>
        </w:tc>
      </w:tr>
      <w:tr>
        <w:trPr>
          <w:trHeight w:val="22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813,516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478,151</w:t>
            </w:r>
          </w:p>
        </w:tc>
      </w:tr>
      <w:tr>
        <w:trPr>
          <w:trHeight w:val="228"/>
        </w:trPr>
        <w:tc>
          <w:tcPr>
            <w:tcW w:w="85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88,232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96,165</w:t>
            </w:r>
          </w:p>
        </w:tc>
      </w:tr>
      <w:tr>
        <w:trPr>
          <w:trHeight w:val="22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6,783</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28"/>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308</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22"/>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991,373</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851,364</w:t>
            </w:r>
          </w:p>
        </w:tc>
      </w:tr>
      <w:tr>
        <w:trPr>
          <w:trHeight w:val="222"/>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 (Notes 17 and 18)</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8560" w:type="dxa"/>
            <w:vAlign w:val="bottom"/>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56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89"/>
              </w:rPr>
              <w:t>Common stock $.01 par value; 50,000,000 shares authorized; 16,167,184 and 16,070,720 shares issued, respectively,</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2"/>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12,811,718 and 13,095,149 shares outstanding, respectively</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8"/>
        </w:trPr>
        <w:tc>
          <w:tcPr>
            <w:tcW w:w="85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1,189,255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1,242,794</w:t>
            </w:r>
          </w:p>
        </w:tc>
      </w:tr>
      <w:tr>
        <w:trPr>
          <w:trHeight w:val="228"/>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(715,299)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(571,794)</w:t>
            </w:r>
          </w:p>
        </w:tc>
      </w:tr>
      <w:tr>
        <w:trPr>
          <w:trHeight w:val="228"/>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Treasury stock; 3,355,466 and 2,975,571 shares, respectively</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(266,178)</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(223,169)</w:t>
            </w:r>
          </w:p>
        </w:tc>
      </w:tr>
      <w:tr>
        <w:trPr>
          <w:trHeight w:val="222"/>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207,940</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447,992</w:t>
            </w:r>
          </w:p>
        </w:tc>
      </w:tr>
      <w:tr>
        <w:trPr>
          <w:trHeight w:val="229"/>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1,199,313</w:t>
            </w:r>
          </w:p>
        </w:tc>
        <w:tc>
          <w:tcPr>
            <w:tcW w:w="3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1,299,356</w:t>
            </w:r>
          </w:p>
        </w:tc>
      </w:tr>
    </w:tbl>
    <w:p>
      <w:pPr>
        <w:spacing w:after="0" w:line="200" w:lineRule="exact"/>
        <w:rPr>
          <w:sz w:val="20"/>
          <w:szCs w:val="20"/>
          <w:color w:val="auto"/>
        </w:rPr>
      </w:pPr>
    </w:p>
    <w:p>
      <w:pPr>
        <w:spacing w:after="0" w:line="29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6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5"/>
              </w:rPr>
              <w:t>Accumulated</w:t>
            </w:r>
          </w:p>
        </w:tc>
        <w:tc>
          <w:tcPr>
            <w:tcW w:w="11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120" w:type="dxa"/>
            <w:vAlign w:val="bottom"/>
            <w:vMerge w:val="continue"/>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88"/>
              <w:spacing w:after="0" w:line="144"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of Shares</w:t>
            </w: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Deficit</w:t>
            </w: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i w:val="1"/>
                <w:iCs w:val="1"/>
                <w:color w:val="auto"/>
                <w:w w:val="91"/>
              </w:rPr>
              <w:t>(in thousands)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402,326</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15,677</w:t>
            </w:r>
          </w:p>
        </w:tc>
        <w:tc>
          <w:tcPr>
            <w:tcW w:w="86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157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1,177,984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(592,654)</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2,641</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(183,161)</w:t>
            </w:r>
          </w:p>
        </w:tc>
        <w:tc>
          <w:tcPr>
            <w:tcW w:w="0" w:type="dxa"/>
            <w:vAlign w:val="bottom"/>
          </w:tcPr>
          <w:p>
            <w:pPr>
              <w:spacing w:after="0"/>
              <w:rPr>
                <w:sz w:val="1"/>
                <w:szCs w:val="1"/>
                <w:color w:val="auto"/>
              </w:rPr>
            </w:pPr>
          </w:p>
        </w:tc>
      </w:tr>
      <w:tr>
        <w:trPr>
          <w:trHeight w:val="192"/>
        </w:trPr>
        <w:tc>
          <w:tcPr>
            <w:tcW w:w="2920" w:type="dxa"/>
            <w:vAlign w:val="bottom"/>
          </w:tcPr>
          <w:p>
            <w:pPr>
              <w:ind w:left="140"/>
              <w:spacing w:after="0"/>
              <w:rPr>
                <w:sz w:val="20"/>
                <w:szCs w:val="20"/>
                <w:color w:val="auto"/>
              </w:rPr>
            </w:pPr>
            <w:r>
              <w:rPr>
                <w:rFonts w:ascii="Arial" w:cs="Arial" w:eastAsia="Arial" w:hAnsi="Arial"/>
                <w:sz w:val="14"/>
                <w:szCs w:val="14"/>
                <w:color w:val="auto"/>
              </w:rPr>
              <w:t>Net loss and comprehensive loss</w:t>
            </w:r>
          </w:p>
        </w:tc>
        <w:tc>
          <w:tcPr>
            <w:tcW w:w="24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(48,255)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(48,255)</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compensation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53,733</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53,733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92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for stock options,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140"/>
              <w:spacing w:after="0" w:line="140" w:lineRule="exact"/>
              <w:rPr>
                <w:sz w:val="20"/>
                <w:szCs w:val="20"/>
                <w:color w:val="auto"/>
              </w:rPr>
            </w:pPr>
            <w:r>
              <w:rPr>
                <w:rFonts w:ascii="Arial" w:cs="Arial" w:eastAsia="Arial" w:hAnsi="Arial"/>
                <w:sz w:val="14"/>
                <w:szCs w:val="14"/>
                <w:color w:val="auto"/>
              </w:rPr>
              <w:t>restricted stock awards and restricted stock</w:t>
            </w:r>
          </w:p>
        </w:tc>
        <w:tc>
          <w:tcPr>
            <w:tcW w:w="24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(3,910)</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89</w:t>
            </w:r>
          </w:p>
        </w:tc>
        <w:tc>
          <w:tcPr>
            <w:tcW w:w="86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(3,911)</w:t>
            </w:r>
          </w:p>
        </w:tc>
        <w:tc>
          <w:tcPr>
            <w:tcW w:w="220" w:type="dxa"/>
            <w:vAlign w:val="bottom"/>
          </w:tcPr>
          <w:p>
            <w:pPr>
              <w:spacing w:after="0"/>
              <w:rPr>
                <w:sz w:val="12"/>
                <w:szCs w:val="12"/>
                <w:color w:val="auto"/>
              </w:rPr>
            </w:pP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20" w:type="dxa"/>
            <w:vAlign w:val="bottom"/>
          </w:tcPr>
          <w:p>
            <w:pPr>
              <w:ind w:left="140"/>
              <w:spacing w:after="0"/>
              <w:rPr>
                <w:sz w:val="20"/>
                <w:szCs w:val="20"/>
                <w:color w:val="auto"/>
              </w:rPr>
            </w:pPr>
            <w:r>
              <w:rPr>
                <w:rFonts w:ascii="Arial" w:cs="Arial" w:eastAsia="Arial" w:hAnsi="Arial"/>
                <w:sz w:val="14"/>
                <w:szCs w:val="14"/>
                <w:color w:val="auto"/>
              </w:rPr>
              <w:t>units, net of withholding taxes</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w w:val="99"/>
              </w:rPr>
              <w:t>Issuance of 0.50% Convertible Senior Notes,</w:t>
            </w: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116,300</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116,300</w:t>
            </w:r>
          </w:p>
        </w:tc>
        <w:tc>
          <w:tcPr>
            <w:tcW w:w="2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2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20" w:type="dxa"/>
            <w:vAlign w:val="bottom"/>
          </w:tcPr>
          <w:p>
            <w:pPr>
              <w:ind w:left="140"/>
              <w:spacing w:after="0" w:line="143" w:lineRule="exact"/>
              <w:rPr>
                <w:sz w:val="20"/>
                <w:szCs w:val="20"/>
                <w:color w:val="auto"/>
              </w:rPr>
            </w:pPr>
            <w:r>
              <w:rPr>
                <w:rFonts w:ascii="Arial" w:cs="Arial" w:eastAsia="Arial" w:hAnsi="Arial"/>
                <w:sz w:val="14"/>
                <w:szCs w:val="14"/>
                <w:color w:val="auto"/>
              </w:rPr>
              <w:t>Repurchase of 0.625% Convertible Senior</w:t>
            </w:r>
          </w:p>
        </w:tc>
        <w:tc>
          <w:tcPr>
            <w:tcW w:w="24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(107,882)</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(107,882)</w:t>
            </w:r>
          </w:p>
        </w:tc>
        <w:tc>
          <w:tcPr>
            <w:tcW w:w="220" w:type="dxa"/>
            <w:vAlign w:val="bottom"/>
          </w:tcPr>
          <w:p>
            <w:pPr>
              <w:spacing w:after="0"/>
              <w:rPr>
                <w:sz w:val="12"/>
                <w:szCs w:val="12"/>
                <w:color w:val="auto"/>
              </w:rPr>
            </w:pP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920" w:type="dxa"/>
            <w:vAlign w:val="bottom"/>
          </w:tcPr>
          <w:p>
            <w:pPr>
              <w:ind w:left="140"/>
              <w:spacing w:after="0"/>
              <w:rPr>
                <w:sz w:val="20"/>
                <w:szCs w:val="20"/>
                <w:color w:val="auto"/>
              </w:rPr>
            </w:pPr>
            <w:r>
              <w:rPr>
                <w:rFonts w:ascii="Arial" w:cs="Arial" w:eastAsia="Arial" w:hAnsi="Arial"/>
                <w:sz w:val="14"/>
                <w:szCs w:val="14"/>
                <w:color w:val="auto"/>
              </w:rPr>
              <w:t>Notes, net</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 note hedge transactions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(14,379)</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20" w:type="dxa"/>
            <w:vAlign w:val="bottom"/>
          </w:tcPr>
          <w:p>
            <w:pPr>
              <w:ind w:left="140"/>
              <w:spacing w:after="0"/>
              <w:rPr>
                <w:sz w:val="20"/>
                <w:szCs w:val="20"/>
                <w:color w:val="auto"/>
              </w:rPr>
            </w:pPr>
            <w:r>
              <w:rPr>
                <w:rFonts w:ascii="Arial" w:cs="Arial" w:eastAsia="Arial" w:hAnsi="Arial"/>
                <w:sz w:val="14"/>
                <w:szCs w:val="14"/>
                <w:color w:val="auto"/>
              </w:rPr>
              <w:t>Warrant transactions</w:t>
            </w:r>
          </w:p>
        </w:tc>
        <w:tc>
          <w:tcPr>
            <w:tcW w:w="24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(33,171)</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(33,171)</w:t>
            </w:r>
          </w:p>
        </w:tc>
        <w:tc>
          <w:tcPr>
            <w:tcW w:w="22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364,761</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15,766</w:t>
            </w:r>
          </w:p>
        </w:tc>
        <w:tc>
          <w:tcPr>
            <w:tcW w:w="8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158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1,188,673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(640,909)</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2,641</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(183,161)</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and comprehensive income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69,115</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69,115</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20" w:type="dxa"/>
            <w:vAlign w:val="bottom"/>
          </w:tcPr>
          <w:p>
            <w:pPr>
              <w:ind w:left="140"/>
              <w:spacing w:after="0"/>
              <w:rPr>
                <w:sz w:val="20"/>
                <w:szCs w:val="20"/>
                <w:color w:val="auto"/>
              </w:rPr>
            </w:pPr>
            <w:r>
              <w:rPr>
                <w:rFonts w:ascii="Arial" w:cs="Arial" w:eastAsia="Arial" w:hAnsi="Arial"/>
                <w:sz w:val="14"/>
                <w:szCs w:val="14"/>
                <w:color w:val="auto"/>
              </w:rPr>
              <w:t>Non-cash compensation</w:t>
            </w:r>
          </w:p>
        </w:tc>
        <w:tc>
          <w:tcPr>
            <w:tcW w:w="2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68,555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68,555</w:t>
            </w:r>
          </w:p>
        </w:tc>
        <w:tc>
          <w:tcPr>
            <w:tcW w:w="22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treasury stock</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(40,008)</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(40,008)</w:t>
            </w:r>
          </w:p>
        </w:tc>
        <w:tc>
          <w:tcPr>
            <w:tcW w:w="0" w:type="dxa"/>
            <w:vAlign w:val="bottom"/>
          </w:tcPr>
          <w:p>
            <w:pPr>
              <w:spacing w:after="0"/>
              <w:rPr>
                <w:sz w:val="1"/>
                <w:szCs w:val="1"/>
                <w:color w:val="auto"/>
              </w:rPr>
            </w:pPr>
          </w:p>
        </w:tc>
      </w:tr>
      <w:tr>
        <w:trPr>
          <w:trHeight w:val="143"/>
        </w:trPr>
        <w:tc>
          <w:tcPr>
            <w:tcW w:w="292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for stock options,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140"/>
              <w:spacing w:after="0" w:line="140" w:lineRule="exact"/>
              <w:rPr>
                <w:sz w:val="20"/>
                <w:szCs w:val="20"/>
                <w:color w:val="auto"/>
              </w:rPr>
            </w:pPr>
            <w:r>
              <w:rPr>
                <w:rFonts w:ascii="Arial" w:cs="Arial" w:eastAsia="Arial" w:hAnsi="Arial"/>
                <w:sz w:val="14"/>
                <w:szCs w:val="14"/>
                <w:color w:val="auto"/>
              </w:rPr>
              <w:t>restricted stock awards and restricted stock</w:t>
            </w:r>
          </w:p>
        </w:tc>
        <w:tc>
          <w:tcPr>
            <w:tcW w:w="24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(14,423)</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305</w:t>
            </w:r>
          </w:p>
        </w:tc>
        <w:tc>
          <w:tcPr>
            <w:tcW w:w="86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(14,426)</w:t>
            </w:r>
          </w:p>
        </w:tc>
        <w:tc>
          <w:tcPr>
            <w:tcW w:w="220" w:type="dxa"/>
            <w:vAlign w:val="bottom"/>
          </w:tcPr>
          <w:p>
            <w:pPr>
              <w:spacing w:after="0"/>
              <w:rPr>
                <w:sz w:val="12"/>
                <w:szCs w:val="12"/>
                <w:color w:val="auto"/>
              </w:rPr>
            </w:pP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20" w:type="dxa"/>
            <w:vAlign w:val="bottom"/>
          </w:tcPr>
          <w:p>
            <w:pPr>
              <w:ind w:left="140"/>
              <w:spacing w:after="0"/>
              <w:rPr>
                <w:sz w:val="20"/>
                <w:szCs w:val="20"/>
                <w:color w:val="auto"/>
              </w:rPr>
            </w:pPr>
            <w:r>
              <w:rPr>
                <w:rFonts w:ascii="Arial" w:cs="Arial" w:eastAsia="Arial" w:hAnsi="Arial"/>
                <w:sz w:val="14"/>
                <w:szCs w:val="14"/>
                <w:color w:val="auto"/>
              </w:rPr>
              <w:t>units, net of withholding taxes</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447,992</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16,071</w:t>
            </w:r>
          </w:p>
        </w:tc>
        <w:tc>
          <w:tcPr>
            <w:tcW w:w="8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161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1,242,794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(571,794)</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2,976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(223,169)</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and comprehensive loss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(187,952)</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(187,952)</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920" w:type="dxa"/>
            <w:vAlign w:val="bottom"/>
          </w:tcPr>
          <w:p>
            <w:pPr>
              <w:ind w:left="140"/>
              <w:spacing w:after="0"/>
              <w:rPr>
                <w:sz w:val="20"/>
                <w:szCs w:val="20"/>
                <w:color w:val="auto"/>
              </w:rPr>
            </w:pPr>
            <w:r>
              <w:rPr>
                <w:rFonts w:ascii="Arial" w:cs="Arial" w:eastAsia="Arial" w:hAnsi="Arial"/>
                <w:sz w:val="14"/>
                <w:szCs w:val="14"/>
                <w:color w:val="auto"/>
              </w:rPr>
              <w:t>Non-cash compensation</w:t>
            </w:r>
          </w:p>
        </w:tc>
        <w:tc>
          <w:tcPr>
            <w:tcW w:w="2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59,624</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59,624</w:t>
            </w:r>
          </w:p>
        </w:tc>
        <w:tc>
          <w:tcPr>
            <w:tcW w:w="22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treasury stock</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(43,009)</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(43,009)</w:t>
            </w:r>
          </w:p>
        </w:tc>
        <w:tc>
          <w:tcPr>
            <w:tcW w:w="0" w:type="dxa"/>
            <w:vAlign w:val="bottom"/>
          </w:tcPr>
          <w:p>
            <w:pPr>
              <w:spacing w:after="0"/>
              <w:rPr>
                <w:sz w:val="1"/>
                <w:szCs w:val="1"/>
                <w:color w:val="auto"/>
              </w:rPr>
            </w:pPr>
          </w:p>
        </w:tc>
      </w:tr>
      <w:tr>
        <w:trPr>
          <w:trHeight w:val="143"/>
        </w:trPr>
        <w:tc>
          <w:tcPr>
            <w:tcW w:w="2920" w:type="dxa"/>
            <w:vAlign w:val="bottom"/>
          </w:tcPr>
          <w:p>
            <w:pPr>
              <w:ind w:left="140"/>
              <w:spacing w:after="0" w:line="143" w:lineRule="exact"/>
              <w:rPr>
                <w:sz w:val="20"/>
                <w:szCs w:val="20"/>
                <w:color w:val="auto"/>
              </w:rPr>
            </w:pPr>
            <w:r>
              <w:rPr>
                <w:rFonts w:ascii="Arial" w:cs="Arial" w:eastAsia="Arial" w:hAnsi="Arial"/>
                <w:sz w:val="14"/>
                <w:szCs w:val="14"/>
                <w:color w:val="auto"/>
              </w:rPr>
              <w:t>Issuance of common stock for stock options,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140"/>
              <w:spacing w:after="0" w:line="140" w:lineRule="exact"/>
              <w:rPr>
                <w:sz w:val="20"/>
                <w:szCs w:val="20"/>
                <w:color w:val="auto"/>
              </w:rPr>
            </w:pPr>
            <w:r>
              <w:rPr>
                <w:rFonts w:ascii="Arial" w:cs="Arial" w:eastAsia="Arial" w:hAnsi="Arial"/>
                <w:sz w:val="14"/>
                <w:szCs w:val="14"/>
                <w:color w:val="auto"/>
                <w:w w:val="94"/>
              </w:rPr>
              <w:t>employee stock purchase plan, restricted stock</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20" w:type="dxa"/>
            <w:vAlign w:val="bottom"/>
          </w:tcPr>
          <w:p>
            <w:pPr>
              <w:ind w:left="140"/>
              <w:spacing w:after="0" w:line="143" w:lineRule="exact"/>
              <w:rPr>
                <w:sz w:val="20"/>
                <w:szCs w:val="20"/>
                <w:color w:val="auto"/>
              </w:rPr>
            </w:pPr>
            <w:r>
              <w:rPr>
                <w:rFonts w:ascii="Arial" w:cs="Arial" w:eastAsia="Arial" w:hAnsi="Arial"/>
                <w:sz w:val="14"/>
                <w:szCs w:val="14"/>
                <w:color w:val="auto"/>
              </w:rPr>
              <w:t>awards and restricted stock units, net of</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20" w:type="dxa"/>
            <w:vAlign w:val="bottom"/>
          </w:tcPr>
          <w:p>
            <w:pPr>
              <w:ind w:left="140"/>
              <w:spacing w:after="0"/>
              <w:rPr>
                <w:sz w:val="20"/>
                <w:szCs w:val="20"/>
                <w:color w:val="auto"/>
              </w:rPr>
            </w:pPr>
            <w:r>
              <w:rPr>
                <w:rFonts w:ascii="Arial" w:cs="Arial" w:eastAsia="Arial" w:hAnsi="Arial"/>
                <w:sz w:val="14"/>
                <w:szCs w:val="14"/>
                <w:color w:val="auto"/>
              </w:rPr>
              <w:t>withholding taxes</w:t>
            </w:r>
          </w:p>
        </w:tc>
        <w:tc>
          <w:tcPr>
            <w:tcW w:w="24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(3,412)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(3,413)</w:t>
            </w:r>
          </w:p>
        </w:tc>
        <w:tc>
          <w:tcPr>
            <w:tcW w:w="2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9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Cumulative effect adjustment due to ASU</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(65,303)</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(109,750)</w:t>
            </w: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44,447</w:t>
            </w: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2020-06</w:t>
            </w: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207,940</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16,167</w:t>
            </w:r>
          </w:p>
        </w:tc>
        <w:tc>
          <w:tcPr>
            <w:tcW w:w="8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162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1,189,255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(715,299)</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3,355</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(266,178)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center"/>
              <w:ind w:left="488"/>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Pr>
          <w:p>
            <w:pPr>
              <w:spacing w:after="0"/>
              <w:rPr>
                <w:sz w:val="16"/>
                <w:szCs w:val="16"/>
                <w:color w:val="auto"/>
              </w:rPr>
            </w:pPr>
          </w:p>
        </w:tc>
      </w:tr>
      <w:tr>
        <w:trPr>
          <w:trHeight w:val="25"/>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192"/>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 attributable to continuing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4"/>
        </w:trPr>
        <w:tc>
          <w:tcPr>
            <w:tcW w:w="7820" w:type="dxa"/>
            <w:vAlign w:val="bottom"/>
          </w:tcPr>
          <w:p>
            <w:pPr>
              <w:ind w:left="140"/>
              <w:spacing w:after="0"/>
              <w:rPr>
                <w:sz w:val="20"/>
                <w:szCs w:val="20"/>
                <w:color w:val="auto"/>
              </w:rPr>
            </w:pPr>
            <w:r>
              <w:rPr>
                <w:rFonts w:ascii="Arial" w:cs="Arial" w:eastAsia="Arial" w:hAnsi="Arial"/>
                <w:sz w:val="14"/>
                <w:szCs w:val="14"/>
                <w:b w:val="1"/>
                <w:bCs w:val="1"/>
                <w:color w:val="auto"/>
              </w:rPr>
              <w:t>Net (loss) income and comprehensive (loss) income</w:t>
            </w:r>
          </w:p>
        </w:tc>
        <w:tc>
          <w:tcPr>
            <w:tcW w:w="260" w:type="dxa"/>
            <w:vAlign w:val="bottom"/>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(187,952)</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69,115</w:t>
            </w:r>
          </w:p>
        </w:tc>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(48,255)</w:t>
            </w:r>
          </w:p>
        </w:tc>
      </w:tr>
      <w:tr>
        <w:trPr>
          <w:trHeight w:val="203"/>
        </w:trPr>
        <w:tc>
          <w:tcPr>
            <w:tcW w:w="7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Less: Loss from discontinued operations, net of tax</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4,023</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25,689</w:t>
            </w: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(Loss) income from continuing operations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(187,946)</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73,138</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(22,566)</w:t>
            </w:r>
          </w:p>
        </w:tc>
      </w:tr>
      <w:tr>
        <w:trPr>
          <w:trHeight w:val="153"/>
        </w:trPr>
        <w:tc>
          <w:tcPr>
            <w:tcW w:w="782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w w:val="96"/>
              </w:rPr>
              <w:t>Adjustments to reconcile income from continuing operations to net cash provided by operating activities attributable to continuing</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93"/>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Loss on impairments and disposal of assets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6,590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3,465</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1,160</w:t>
            </w:r>
          </w:p>
        </w:tc>
      </w:tr>
      <w:tr>
        <w:trPr>
          <w:trHeight w:val="21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42,738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53,078</w:t>
            </w: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20,095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17,910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14,201</w:t>
            </w:r>
          </w:p>
        </w:tc>
      </w:tr>
      <w:tr>
        <w:trPr>
          <w:trHeight w:val="21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compensation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68,555</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53,733</w:t>
            </w: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132,666</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10,908</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(9,628)</w:t>
            </w:r>
          </w:p>
        </w:tc>
      </w:tr>
      <w:tr>
        <w:trPr>
          <w:trHeight w:val="21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(8,249)</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5,327</w:t>
            </w: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Gain on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(123,272)</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Bad debt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w:t>
            </w: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6,432</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5,992</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3,474</w:t>
            </w:r>
          </w:p>
        </w:tc>
      </w:tr>
      <w:tr>
        <w:trPr>
          <w:trHeight w:val="21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Write-off of previously-capitalized debt issuance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Amortization of debt discount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30,695</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19,570</w:t>
            </w:r>
          </w:p>
        </w:tc>
      </w:tr>
      <w:tr>
        <w:trPr>
          <w:trHeight w:val="21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extinguishment of debt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7,768</w:t>
            </w: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Reduction in carrying amount of ROU asset, offset by change in operating lease liabilities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12,807</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8,888</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current assets and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9,143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(10,289)</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21,861</w:t>
            </w:r>
          </w:p>
        </w:tc>
      </w:tr>
      <w:tr>
        <w:trPr>
          <w:trHeight w:val="21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and other current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current liabilities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(28,417)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(1,537)</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(8,013)</w:t>
            </w:r>
          </w:p>
        </w:tc>
      </w:tr>
      <w:tr>
        <w:trPr>
          <w:trHeight w:val="21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contingent consideration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(25,787)</w:t>
            </w:r>
          </w:p>
        </w:tc>
      </w:tr>
      <w:tr>
        <w:trPr>
          <w:trHeight w:val="192"/>
        </w:trPr>
        <w:tc>
          <w:tcPr>
            <w:tcW w:w="7820" w:type="dxa"/>
            <w:vAlign w:val="bottom"/>
          </w:tcPr>
          <w:p>
            <w:pPr>
              <w:ind w:left="220"/>
              <w:spacing w:after="0"/>
              <w:rPr>
                <w:sz w:val="20"/>
                <w:szCs w:val="20"/>
                <w:color w:val="auto"/>
              </w:rPr>
            </w:pPr>
            <w:r>
              <w:rPr>
                <w:rFonts w:ascii="Arial" w:cs="Arial" w:eastAsia="Arial" w:hAnsi="Arial"/>
                <w:sz w:val="14"/>
                <w:szCs w:val="14"/>
                <w:color w:val="auto"/>
              </w:rPr>
              <w:t>Income taxes receivable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10,680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(10,598)</w:t>
            </w:r>
          </w:p>
        </w:tc>
      </w:tr>
      <w:tr>
        <w:trPr>
          <w:trHeight w:val="205"/>
        </w:trPr>
        <w:tc>
          <w:tcPr>
            <w:tcW w:w="7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r>
      <w:tr>
        <w:trPr>
          <w:trHeight w:val="195"/>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 attributable to continuing operations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42,974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131,256</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111,299</w:t>
            </w: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 attributable to continuing operations: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(11,443)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(35,065)</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(42,149)</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equity investment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Proceeds from the sale of equity investment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46,312</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5"/>
        </w:trPr>
        <w:tc>
          <w:tcPr>
            <w:tcW w:w="7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 attributable to continuing operations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(27,876)</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10,067</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(122,149)</w:t>
            </w: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 attributable to continuing operations: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Payments related to net-share settlement of stock-based compensation, net of proceeds from exercise of stock options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(3,411)</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(14,423)</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(3,910)</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treasury stock</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Proceeds from term loan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term loan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Proceeds from the issuance of 0.50% Convertible Senior Notes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575,000</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0.625% Convertible Senior Notes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(169,659)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(233,862)</w:t>
            </w: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Payment of convertible note hedge on the 0.50% Convertible Senior Notes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(124,200)</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Termination of convertible note hedge on the 0.625% Convertible Senior Notes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109,881</w:t>
            </w: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Proceeds from the sale of warrants related to the 0.50% Convertible Senior Notes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61,180</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Termination of warrants related to the 0.625% Convertible Senior Notes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(94,292)</w:t>
            </w: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Net repayment of revolving credit facility</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(75,000)</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debt issuance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(6,385)</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(16,568)</w:t>
            </w: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Payment of original issue discount on term loan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Contingent consideration payments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w:t>
            </w:r>
          </w:p>
        </w:tc>
      </w:tr>
      <w:tr>
        <w:trPr>
          <w:trHeight w:val="195"/>
        </w:trPr>
        <w:tc>
          <w:tcPr>
            <w:tcW w:w="7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195"/>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 attributable to continuing operations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32,536</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(63,347)</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193,290</w:t>
            </w:r>
          </w:p>
        </w:tc>
      </w:tr>
      <w:tr>
        <w:trPr>
          <w:trHeight w:val="195"/>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cash provided by continuing operations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47,634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77,976</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182,440</w:t>
            </w: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5"/>
        </w:trPr>
        <w:tc>
          <w:tcPr>
            <w:tcW w:w="7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cash (used in) provided by operating activities attributable to discontinued operations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3,317</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(72,730)</w:t>
            </w:r>
          </w:p>
        </w:tc>
      </w:tr>
      <w:tr>
        <w:trPr>
          <w:trHeight w:val="195"/>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cash (used in) provided by discontinued operations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3,317</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(72,730)</w:t>
            </w:r>
          </w:p>
        </w:tc>
      </w:tr>
      <w:tr>
        <w:trPr>
          <w:trHeight w:val="195"/>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increase in cash, cash equivalents, restricted cash and restricted cash equivalents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47,627</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81,293</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109,710</w:t>
            </w:r>
          </w:p>
        </w:tc>
      </w:tr>
      <w:tr>
        <w:trPr>
          <w:trHeight w:val="195"/>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at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251,342</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170,049</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60,339</w:t>
            </w:r>
          </w:p>
        </w:tc>
      </w:tr>
      <w:tr>
        <w:trPr>
          <w:trHeight w:val="208"/>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cash equivalents, restricted cash, and restricted cash equivalents at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298,969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251,342</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170,049</w:t>
            </w:r>
          </w:p>
        </w:tc>
      </w:tr>
      <w:tr>
        <w:trPr>
          <w:trHeight w:val="202"/>
        </w:trPr>
        <w:tc>
          <w:tcPr>
            <w:tcW w:w="7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4"/>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(Decrease) increase in capital expenditures included in accounts payable and accrued expenses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4,196</w:t>
            </w:r>
          </w:p>
        </w:tc>
      </w:tr>
      <w:tr>
        <w:trPr>
          <w:trHeight w:val="194"/>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paid</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8,912</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4,741</w:t>
            </w:r>
          </w:p>
        </w:tc>
      </w:tr>
      <w:tr>
        <w:trPr>
          <w:trHeight w:val="192"/>
        </w:trPr>
        <w:tc>
          <w:tcPr>
            <w:tcW w:w="7820" w:type="dxa"/>
            <w:vAlign w:val="bottom"/>
          </w:tcPr>
          <w:p>
            <w:pPr>
              <w:ind w:left="140"/>
              <w:spacing w:after="0"/>
              <w:rPr>
                <w:sz w:val="20"/>
                <w:szCs w:val="20"/>
                <w:color w:val="auto"/>
              </w:rPr>
            </w:pPr>
            <w:r>
              <w:rPr>
                <w:rFonts w:ascii="Arial" w:cs="Arial" w:eastAsia="Arial" w:hAnsi="Arial"/>
                <w:sz w:val="14"/>
                <w:szCs w:val="14"/>
                <w:color w:val="auto"/>
              </w:rPr>
              <w:t>Income tax payments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186</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561</w:t>
            </w:r>
          </w:p>
        </w:tc>
      </w:tr>
      <w:tr>
        <w:trPr>
          <w:trHeight w:val="212"/>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refunds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929"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929" w:orient="portrait"/>
          <w:cols w:equalWidth="0" w:num="1">
            <w:col w:w="11240"/>
          </w:cols>
          <w:pgMar w:left="320" w:top="118" w:right="339" w:bottom="0" w:gutter="0" w:footer="0" w:header="0"/>
          <w:type w:val="continuous"/>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187325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63"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73"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 xml:space="preserve">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 The HLC bankruptcy case was closed on July 14, 2021. The HLC entity was legally dissolved in the first quarter of 2022.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22—Discontinued Operations for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1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(loss)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22 </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9"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considers customer expectations of performance, materiality and the core principles of Accounting Standards Codification (“ASC”) Topic 606, Revenue from Contracts with Customers. The Company's services are generally transferred to the customer at a point in time.</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Variable consideration is included in revenue if it is probable that a significant future reversal of cumulative revenue under the contract will not occur.</w:t>
      </w:r>
    </w:p>
    <w:p>
      <w:pPr>
        <w:spacing w:after="0" w:line="138"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83"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6"/>
          <w:szCs w:val="16"/>
          <w:color w:val="auto"/>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time between satisfaction of the Company's performance obligation and when the Company's right to consideration becomes unconditional varies across products but is generally less than 90 days for auto loans, personal loans, student loans and credit card approvals. The time between satisfaction of the Company's performance obligation and when the Company's right to consideration becomes unconditional for small business loans is generally less than 5 years.</w:t>
      </w:r>
    </w:p>
    <w:p>
      <w:pPr>
        <w:spacing w:after="0" w:line="61"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payment terms vary by customer and services offered. The term between invoicing and when payment is due is generally 30 days or less.</w:t>
      </w:r>
    </w:p>
    <w:p>
      <w:pPr>
        <w:spacing w:after="0" w:line="127"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Sales commissions are incremental costs of obtaining contracts with customers. The Company expenses sales commissions when incurred as the duration of contracts with customers is less than one year, based on the right of either party to terminate the contract with less than one year's notice without compensation to either party. These costs are recorded within selling and marketing expense on the consolidated statements of operations and comprehensive income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and cash equivalents include cash and short-term, highly liquid money market investments with original maturities of three months or less.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escrowed or contractually restricted for a specific purpose is designated as restricted cash.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4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228"/>
        </w:trPr>
        <w:tc>
          <w:tcPr>
            <w:tcW w:w="692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4,101</w:t>
            </w:r>
          </w:p>
        </w:tc>
        <w:tc>
          <w:tcPr>
            <w:tcW w:w="44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2,472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28"/>
        </w:trPr>
        <w:tc>
          <w:tcPr>
            <w:tcW w:w="6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(2,424)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28"/>
        </w:trPr>
        <w:tc>
          <w:tcPr>
            <w:tcW w:w="6920" w:type="dxa"/>
            <w:vAlign w:val="bottom"/>
          </w:tcPr>
          <w:p>
            <w:pPr>
              <w:ind w:left="140"/>
              <w:spacing w:after="0"/>
              <w:rPr>
                <w:sz w:val="20"/>
                <w:szCs w:val="20"/>
                <w:color w:val="auto"/>
              </w:rPr>
            </w:pPr>
            <w:r>
              <w:rPr>
                <w:rFonts w:ascii="Arial" w:cs="Arial" w:eastAsia="Arial" w:hAnsi="Arial"/>
                <w:sz w:val="18"/>
                <w:szCs w:val="18"/>
                <w:color w:val="auto"/>
              </w:rPr>
              <w:t>Recoveries collected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6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 held for sale (Note 9)</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2,317</w:t>
            </w:r>
          </w:p>
        </w:tc>
        <w:tc>
          <w:tcPr>
            <w:tcW w:w="4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1,456</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1,402</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The Company has three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or CODM, for the purpose of assessing performance and allocating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and equipment, including internally-developed software and significant improvements, are recorded at cost less accumulated depreciation.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to the rapid advancements in technology and evolution of company products, all internally-developed software is written off at the end of its useful life.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Repairs and maintenance and any gains or losses on dispositions are recognized as incurred in current operations.</w:t>
      </w:r>
    </w:p>
    <w:p>
      <w:pPr>
        <w:spacing w:after="0" w:line="101"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Category</w:t>
            </w:r>
          </w:p>
        </w:tc>
        <w:tc>
          <w:tcPr>
            <w:tcW w:w="5520" w:type="dxa"/>
            <w:vAlign w:val="bottom"/>
            <w:tcBorders>
              <w:bottom w:val="single" w:sz="8" w:color="auto"/>
            </w:tcBorders>
          </w:tcPr>
          <w:p>
            <w:pPr>
              <w:jc w:val="center"/>
              <w:ind w:left="1572"/>
              <w:spacing w:after="0"/>
              <w:rPr>
                <w:sz w:val="20"/>
                <w:szCs w:val="20"/>
                <w:color w:val="auto"/>
              </w:rPr>
            </w:pPr>
            <w:r>
              <w:rPr>
                <w:rFonts w:ascii="Arial" w:cs="Arial" w:eastAsia="Arial" w:hAnsi="Arial"/>
                <w:sz w:val="16"/>
                <w:szCs w:val="16"/>
                <w:b w:val="1"/>
                <w:bCs w:val="1"/>
                <w:color w:val="auto"/>
                <w:w w:val="90"/>
              </w:rPr>
              <w:t>Estimated Useful Lives</w:t>
            </w: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capitalized software</w:t>
            </w:r>
          </w:p>
        </w:tc>
        <w:tc>
          <w:tcPr>
            <w:tcW w:w="5520" w:type="dxa"/>
            <w:vAlign w:val="bottom"/>
            <w:shd w:val="clear" w:color="auto" w:fill="CCEEFF"/>
          </w:tcPr>
          <w:p>
            <w:pPr>
              <w:jc w:val="center"/>
              <w:ind w:left="1572"/>
              <w:spacing w:after="0"/>
              <w:rPr>
                <w:sz w:val="20"/>
                <w:szCs w:val="20"/>
                <w:color w:val="auto"/>
              </w:rPr>
            </w:pPr>
            <w:r>
              <w:rPr>
                <w:rFonts w:ascii="Arial" w:cs="Arial" w:eastAsia="Arial" w:hAnsi="Arial"/>
                <w:sz w:val="18"/>
                <w:szCs w:val="18"/>
                <w:color w:val="auto"/>
                <w:w w:val="87"/>
              </w:rPr>
              <w:t>1 to 5 years</w:t>
            </w:r>
          </w:p>
        </w:tc>
      </w:tr>
      <w:tr>
        <w:trPr>
          <w:trHeight w:val="228"/>
        </w:trPr>
        <w:tc>
          <w:tcPr>
            <w:tcW w:w="57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520" w:type="dxa"/>
            <w:vAlign w:val="bottom"/>
          </w:tcPr>
          <w:p>
            <w:pPr>
              <w:jc w:val="center"/>
              <w:ind w:left="1572"/>
              <w:spacing w:after="0"/>
              <w:rPr>
                <w:sz w:val="20"/>
                <w:szCs w:val="20"/>
                <w:color w:val="auto"/>
              </w:rPr>
            </w:pPr>
            <w:r>
              <w:rPr>
                <w:rFonts w:ascii="Arial" w:cs="Arial" w:eastAsia="Arial" w:hAnsi="Arial"/>
                <w:sz w:val="18"/>
                <w:szCs w:val="18"/>
                <w:color w:val="auto"/>
                <w:w w:val="90"/>
              </w:rPr>
              <w:t>Lesser of asset life or life of lease</w:t>
            </w:r>
          </w:p>
        </w:tc>
      </w:tr>
      <w:tr>
        <w:trPr>
          <w:trHeight w:val="228"/>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5520" w:type="dxa"/>
            <w:vAlign w:val="bottom"/>
            <w:shd w:val="clear" w:color="auto" w:fill="CCEEFF"/>
          </w:tcPr>
          <w:p>
            <w:pPr>
              <w:jc w:val="center"/>
              <w:ind w:left="1552"/>
              <w:spacing w:after="0"/>
              <w:rPr>
                <w:sz w:val="20"/>
                <w:szCs w:val="20"/>
                <w:color w:val="auto"/>
              </w:rPr>
            </w:pPr>
            <w:r>
              <w:rPr>
                <w:rFonts w:ascii="Arial" w:cs="Arial" w:eastAsia="Arial" w:hAnsi="Arial"/>
                <w:sz w:val="18"/>
                <w:szCs w:val="18"/>
                <w:color w:val="auto"/>
                <w:w w:val="88"/>
              </w:rPr>
              <w:t>7 years</w:t>
            </w:r>
          </w:p>
        </w:tc>
      </w:tr>
      <w:tr>
        <w:trPr>
          <w:trHeight w:val="22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Aircraft and automobile</w:t>
            </w:r>
          </w:p>
        </w:tc>
        <w:tc>
          <w:tcPr>
            <w:tcW w:w="5520" w:type="dxa"/>
            <w:vAlign w:val="bottom"/>
            <w:tcBorders>
              <w:bottom w:val="single" w:sz="8" w:color="auto"/>
            </w:tcBorders>
          </w:tcPr>
          <w:p>
            <w:pPr>
              <w:jc w:val="center"/>
              <w:ind w:left="1552"/>
              <w:spacing w:after="0"/>
              <w:rPr>
                <w:sz w:val="20"/>
                <w:szCs w:val="20"/>
                <w:color w:val="auto"/>
              </w:rPr>
            </w:pPr>
            <w:r>
              <w:rPr>
                <w:rFonts w:ascii="Arial" w:cs="Arial" w:eastAsia="Arial" w:hAnsi="Arial"/>
                <w:sz w:val="18"/>
                <w:szCs w:val="18"/>
                <w:color w:val="auto"/>
                <w:w w:val="88"/>
              </w:rPr>
              <w:t>5 to 10 years</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Hosting Arrangement that is a Service Contract</w:t>
      </w:r>
    </w:p>
    <w:p>
      <w:pPr>
        <w:spacing w:after="0" w:line="119"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Subsequent to the adoption of ASU 2018-15 in the first quarter of 2020, as described below, qualifying implementation costs incurred in a hosting arrangement that is a service contract are capitalized and deferred on a straight-line basis over the term of the hosting arrangement, which is typically one to five years. These costs are capitalized to prepaid and other current assets and other non-current assets on the balance sheet, and the associated amortization expense is included within general and administrative expense on the statement of operations and comprehensive income (loss). The majority of such capitalized implementation costs arise from internal and external labor associated with software development,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19"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Software development costs primarily include internal and external labor expenses incurred to develop the software that powers the Company's websites. Certain costs incurred during the application development stage are capitalized, either as property and equipment or as a hosting arrangement that is a service contract, based on specific activities tracked, while costs incurred during the preliminary project stage and post-implementation/operation stage are expensed as incurred. Capitalized software development costs are amortized over an estimated useful life of one to five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Goodwill acquired in business combinations is assigned to the reporting units that are expected to benefit from the combination as of the acquisition date. Goodwill and indefinite-lived intangible assets, consisting of certain trade names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trademarks, are not amortized. Rather, these assets are tested annually for impairment as of October 1, or more frequently upon the occurrence of certain events or substantive changes in circumstances.</w:t>
      </w:r>
    </w:p>
    <w:p>
      <w:pPr>
        <w:spacing w:after="0" w:line="6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83"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The quantitative impairment test for goodwill involves a comparison of the fair value of a reporting unit with its carrying amount, including goodwill. The Company determines the fair value of its reporting units by using a market approach and a discounted cash flow (“DCF”) analysis. Determining fair value using a DCF analysis and market analysis requires the exercise of significant judgments, including judgments about appropriate discount rates, perpetual growth rates, including revenue, the amount and timing of expected future cash flows, and market multiples. If the fair value of a reporting unit exceeds its carrying amount, goodwill of the reporting unit is not impaired. If the carrying amount of a reporting unit exceeds its fair value, an impairment loss is recognized in an amount equal to that excess.</w:t>
      </w:r>
    </w:p>
    <w:p>
      <w:pPr>
        <w:spacing w:after="0" w:line="83"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53" w:lineRule="exact"/>
        <w:rPr>
          <w:sz w:val="20"/>
          <w:szCs w:val="20"/>
          <w:color w:val="auto"/>
        </w:rPr>
      </w:pPr>
    </w:p>
    <w:p>
      <w:pPr>
        <w:jc w:val="both"/>
        <w:ind w:firstLine="323"/>
        <w:spacing w:after="0" w:line="242" w:lineRule="auto"/>
        <w:rPr>
          <w:sz w:val="20"/>
          <w:szCs w:val="20"/>
          <w:color w:val="auto"/>
        </w:rPr>
      </w:pPr>
      <w:r>
        <w:rPr>
          <w:rFonts w:ascii="Arial" w:cs="Arial" w:eastAsia="Arial" w:hAnsi="Arial"/>
          <w:sz w:val="18"/>
          <w:szCs w:val="18"/>
          <w:color w:val="auto"/>
        </w:rPr>
        <w:t>At June 30, 2022, the Company assessed the qualitative factors in its impairment testing of goodwill and determined that the effects of the challenging interest rate environment, consumer price inflation, and the decline in the Company's market capitalization required a quantitative impairment test be performed. The quantitative goodwill impairment test found that the fair value of each reporting unit exceeded its carrying amount, indicating no goodwill impairment.</w:t>
      </w:r>
    </w:p>
    <w:p>
      <w:pPr>
        <w:spacing w:after="0" w:line="92"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Results of the October 1, 2022, 2021 and 2020 qualitative annual impairment tests indicated that it is not more likely than not that the fair value of the goodwill and the indefinite-lived intangible assets were each less than their respective carrying values. Accordingly, no further testing was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Long-lived assets include property and equipment, definite-lived intangible assets and operating lease right-of-use assets. Amortization of definite-lived intangible assets is recorded on a straight-line basis over their estimated lives.</w:t>
      </w:r>
    </w:p>
    <w:p>
      <w:pPr>
        <w:spacing w:after="0" w:line="63"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Capitalized implementation costs incurred in a hosting arrangement that is a service contract are also allocated to and included within long-lived asset groups tested for recoverability.</w:t>
      </w:r>
    </w:p>
    <w:p>
      <w:pPr>
        <w:spacing w:after="0" w:line="6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Long-lived asset groups are tested for recoverability whenever events or changes in circumstances indicate that their carrying amounts may not be recoverable. The carrying amount of a long-lived asset group is not recoverable if it exceeds the sum of the undiscounted cash flows expected to result from the use and eventual disposition of the asset group. If the carrying amount is deemed to not be recoverable, an impairment loss is recorded as the amount by which the carrying amount of the long-lived asset group exceeds its fair value.</w:t>
      </w:r>
    </w:p>
    <w:p>
      <w:pPr>
        <w:spacing w:after="0" w:line="77"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At December 31, 2022 and 2021, the Company performed its review of impairment triggering events for long-lived asset groups and determined that a triggering event had not occurred.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Held for Sale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classifies assets or disposal groups to be sold as held for sale in the period in which all of the following criteria are met:</w:t>
      </w:r>
    </w:p>
    <w:p>
      <w:pPr>
        <w:spacing w:after="0" w:line="115" w:lineRule="exact"/>
        <w:rPr>
          <w:sz w:val="20"/>
          <w:szCs w:val="20"/>
          <w:color w:val="auto"/>
        </w:rPr>
      </w:pPr>
    </w:p>
    <w:p>
      <w:pPr>
        <w:ind w:left="640" w:hanging="310"/>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having the authority to approve the action, commits to a plan to sell the asset or disposal group;</w:t>
      </w:r>
    </w:p>
    <w:p>
      <w:pPr>
        <w:spacing w:after="0" w:line="115" w:lineRule="exact"/>
        <w:rPr>
          <w:rFonts w:ascii="Arial" w:cs="Arial" w:eastAsia="Arial" w:hAnsi="Arial"/>
          <w:sz w:val="18"/>
          <w:szCs w:val="18"/>
          <w:color w:val="auto"/>
        </w:rPr>
      </w:pPr>
    </w:p>
    <w:p>
      <w:pPr>
        <w:ind w:left="660" w:right="240" w:hanging="330"/>
        <w:spacing w:after="0" w:line="27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asset or disposal group is available for immediate sale in its present condition subject only to terms that are usual and customary for sales of such assets or disposal groups;</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active program to locate a buyer and other actions required to complete the plan to sell the asset or disposal group have been initiated;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20" w:hanging="330"/>
        <w:spacing w:after="0" w:line="26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w:t>
      </w:r>
    </w:p>
    <w:p>
      <w:pPr>
        <w:spacing w:after="0" w:line="74" w:lineRule="exact"/>
        <w:rPr>
          <w:rFonts w:ascii="Arial" w:cs="Arial" w:eastAsia="Arial" w:hAnsi="Arial"/>
          <w:sz w:val="18"/>
          <w:szCs w:val="18"/>
          <w:color w:val="auto"/>
        </w:rPr>
      </w:pPr>
    </w:p>
    <w:p>
      <w:pPr>
        <w:ind w:left="640" w:hanging="310"/>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asset or disposal group is being actively marketed for sale at a price that is reasonable in relation to its current fair value; and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Actions required to complete the plan indicate that it is unlikely that significant changes to the plan will be made or that the plan will be withdrawn.</w:t>
      </w:r>
    </w:p>
    <w:p>
      <w:pPr>
        <w:spacing w:after="0" w:line="13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 long-lived asset or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or disposal group until the date of sale. The fair value of a long-lived asset or disposal group, less any costs to sell, is assessed each reporting period it remains classified as held for sale and any subsequent changes are reported as an adjustment to the carrying value of the asset or disposal group, as long as the new carrying value does not exceed the carrying value of the asset at the time it was initially classified as held for sale.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The equity securities do not have a readily determinable fair value and, upon acquisition, the Company elected the measurement alternative to value its securities. Accordingly, the equity securities will be carried at cost less impairment, if any, and subsequently measured to fair value upon observable price changes in an orderly transaction for the identical or similar investments with any gains or losses recorded to the consolidated statement of operations and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19"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59" w:lineRule="exact"/>
        <w:rPr>
          <w:sz w:val="20"/>
          <w:szCs w:val="20"/>
          <w:color w:val="auto"/>
        </w:rPr>
      </w:pPr>
    </w:p>
    <w:p>
      <w:pPr>
        <w:ind w:left="640" w:hanging="310"/>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1</w:t>
      </w:r>
      <w:r>
        <w:rPr>
          <w:rFonts w:ascii="Arial" w:cs="Arial" w:eastAsia="Arial" w:hAnsi="Arial"/>
          <w:sz w:val="17"/>
          <w:szCs w:val="17"/>
          <w:color w:val="auto"/>
        </w:rPr>
        <w:t>: Observable inputs, such as quoted prices for identical assets and liabilities in active markets obtained from independent sources.</w:t>
      </w:r>
    </w:p>
    <w:p>
      <w:pPr>
        <w:spacing w:after="0" w:line="127" w:lineRule="exact"/>
        <w:rPr>
          <w:rFonts w:ascii="Arial" w:cs="Arial" w:eastAsia="Arial" w:hAnsi="Arial"/>
          <w:sz w:val="17"/>
          <w:szCs w:val="17"/>
          <w:color w:val="auto"/>
        </w:rPr>
      </w:pPr>
    </w:p>
    <w:p>
      <w:pPr>
        <w:jc w:val="both"/>
        <w:ind w:left="660" w:hanging="330"/>
        <w:spacing w:after="0" w:line="264"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Level 2</w:t>
      </w:r>
      <w:r>
        <w:rPr>
          <w:rFonts w:ascii="Arial" w:cs="Arial" w:eastAsia="Arial" w:hAnsi="Arial"/>
          <w:sz w:val="18"/>
          <w:szCs w:val="18"/>
          <w:color w:val="auto"/>
        </w:rPr>
        <w:t>: Other inputs that are observable directly or indirectly, such as quoted prices for similar assets or liabilities in active markets,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identical or similar assets or liabilities in markets that are not active and inputs that are derived principally from or corroborated by observable market data.</w:t>
      </w:r>
    </w:p>
    <w:p>
      <w:pPr>
        <w:spacing w:after="0" w:line="69" w:lineRule="exact"/>
        <w:rPr>
          <w:rFonts w:ascii="Arial" w:cs="Arial" w:eastAsia="Arial" w:hAnsi="Arial"/>
          <w:sz w:val="18"/>
          <w:szCs w:val="18"/>
          <w:color w:val="auto"/>
        </w:rPr>
      </w:pPr>
    </w:p>
    <w:p>
      <w:pPr>
        <w:ind w:left="660" w:right="20" w:hanging="330"/>
        <w:spacing w:after="0" w:line="345"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Level 3</w:t>
      </w:r>
      <w:r>
        <w:rPr>
          <w:rFonts w:ascii="Arial" w:cs="Arial" w:eastAsia="Arial" w:hAnsi="Arial"/>
          <w:sz w:val="16"/>
          <w:szCs w:val="16"/>
          <w:color w:val="auto"/>
        </w:rPr>
        <w:t>: Unobservable inputs for which there is little or no market data and which require the Company to develop its own assumptions,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best information available under the circumstances, about the assumptions market participants would use in pricing the asset or liability.</w:t>
      </w:r>
    </w:p>
    <w:p>
      <w:pPr>
        <w:spacing w:after="0" w:line="1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recorded at fair value upon acquisition. These assets are remeasured at fair value when there is an indicator of impairment and recorded at fair value only when an impairment charge is recognized. Such fair value measurements are based predominantly on Level 3 inputs.</w:t>
      </w:r>
    </w:p>
    <w:p>
      <w:pPr>
        <w:spacing w:after="0" w:line="75"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Contingent consideration payments related to acquisitions are measured at fair value each reporting period using Level 3 unobservable inputs. The Company's estimates of fair value are based upon assumptions believed to be reasonable but which are uncertain and involve significant judgments by management. Any changes in the fair value of these contingent consideration payments are included in operating income in the consolidated statements of operations and comprehensive income (loss). At December 31, 2022, the Company had no outstanding contingent consideration arrangements.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Cost of revenue consists primarily of expenses associated with compensation and other employee-related costs (including stock-based compensation) related to internally-operated customer call centers, third-party customer call center fees, credit scoring fees, credit card fees, website network hosting and server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19"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Promotional Expense</w:t>
      </w:r>
    </w:p>
    <w:p>
      <w:pPr>
        <w:spacing w:after="0" w:line="11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Advertising and promotional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and promotional expense was $647.3 million, $716.6 million and $567.7 million for the years ended December 31, 2022, 2021 and 2020, respectively, and is included in selling and marketing expense on the consolidated statements of operations and comprehensive income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9"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Income taxes are accounted for under the liability method, and deferred tax assets and liabilities are recognized for the future tax consequences attributable to differences between the consolidated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For the years ended December 31, 2022, 2021 and 2020, the Company followed the incremental or “with” and “without” approach to intraperiod tax allocation for determination of the amount of tax benefit to allocate to continuing operations as prescribed in ASC 740-20-45-7.</w:t>
      </w:r>
    </w:p>
    <w:p>
      <w:pPr>
        <w:spacing w:after="0" w:line="75"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19"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The forms of stock-based awards granted to LendingTree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the Company's Chairman and Chief Executive Officer.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awards also include performance-based vesting, where certain performance targets set at the time of grant must be achieved before an award vests.</w:t>
      </w:r>
    </w:p>
    <w:p>
      <w:pPr>
        <w:spacing w:after="0" w:line="62"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LendingTree recognizes as expense non-cash compensation for all stock-based awards for which vesting is considered probable. Forfeitures are recognized when they occur.</w:t>
      </w:r>
    </w:p>
    <w:p>
      <w:pPr>
        <w:spacing w:after="0" w:line="63"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For service-based awards, non-cash compensation is measured at fair value on the grant date and expensed ratably over the vesting term. The fair value of stock option awards without a market condition and Employee Stock Purchase Rights are typically estimated using the Black-Scholes option pricing model, while the fair value of an RSU or RSA is measured as the closing common stock price at the time of grant. For performance-based grants, the fair value is measured on the grant date and recognized as non-cash compensation expense, considering the probability of the targets being achieved. Performance-based grants with a market condition are typically valued using a Monte Carlo simulation model. Non-cash compensation expense for single cliff-vesting grants with a market condition are recognized on a straight-line basis, while graded-vesting grants with a market condition use graded vesting expense attribution.</w:t>
      </w:r>
    </w:p>
    <w:p>
      <w:pPr>
        <w:spacing w:after="0" w:line="85"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Excess tax benefits and deficiencies that arise due to the difference in the measure of stock compensation and the amount deductible for tax purposes are recorded in income tax expense within the consolidated statement of operations and comprehensive income (loss), and are classified as a component of operating cash flows within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115"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contract assets; various other allowances, reserves and accruals; assumptions related to the determination of stock-based compensation; and the determination of right-of-use assets and lease liabilities.</w:t>
      </w:r>
    </w:p>
    <w:p>
      <w:pPr>
        <w:spacing w:after="0" w:line="83"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The Company considered the impact of the COVID-19 pandemic on the assumptions and estimates used when preparing its consolidated financial statements including, but not limited to, the allowance for doubtful accounts, valuation allowances, contract asset and contingent consideration. These assumptions and estimates may change as new events occur and additional information is obtained. If economic conditions caused by the COVID-19 pandemic worsen, such future changes may have an adverse impact on the Company's results of operations, financial position and liquidity.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3"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Financial instruments, which potentially subject the Company to concentration of credit risk at December 31, 2022,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38"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For the years ended December 31, 2022 and December 31, 2021, there were no network partners accounting for more than 10% of total revenue. For the year ended December 31, 2020, one network partner accounted for 15% of total consolidated revenue, all of which was recorded within the Insurance segment.</w:t>
      </w:r>
    </w:p>
    <w:p>
      <w:pPr>
        <w:spacing w:after="0" w:line="75"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68"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3"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In August 2020, the FASB issued Accounting Standards Update (“ASU”) 2020-06, which simplifies the accounting for convertible instruments, amends the derivatives scope exception guidance for contracts in an entity’s own equity, and amends the related earnings-per-share guidance. Under the new guidance,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As a result, a convertible debt instrument will be accounted for as a single liability measured at its amortized cost, as long as no other features require bifurcation and recognition as derivatives. Additionally, the new guidance requires the if-converted method to be applied for all convertible instruments when calculating diluted earnings per share. This ASU is effective for annual and interim reporting periods beginning after December 15, 2021, with early adoption permitted for periods beginning after December 15, 2020. An entity may adopt the amendments through either a modified retrospective method of transition or a fully retrospective method of transition.</w:t>
      </w:r>
    </w:p>
    <w:p>
      <w:pPr>
        <w:spacing w:after="0" w:line="124"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 xml:space="preserve">The Company adopted ASU 2020-06 on January 1, 2022 using the modified retrospective transition approach and recognized the cumulative effect of initially applying ASU 2020-06 as a $44.4 million adjustment to the opening balance of accumulated deficit, comprised of $60.8 million for the interest adjustment, net of $16.4 million for the related tax impacts. The recombination of the equity conversion component of our convertible debt remaining outstanding caused a reduction in additional paid-in capital and an increase in deferred income tax assets. The removal of the remaining debt discounts recorded for this previous separation had the effect of increasing our net debt balance. ASU 2020-06 also requires the dilutive impact of convertible debt instruments to utilize the if-converted method when calculating diluted earnings per share and the result is more dilutive. The prior period consolidated financial statements have not been retrospectively adjusted and continue to be reported under the accounting standards in effect for those periods.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16—Debt for further information.</w:t>
      </w:r>
    </w:p>
    <w:p>
      <w:pPr>
        <w:spacing w:after="0" w:line="136"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 xml:space="preserve">The cumulative effect of the changes made to the consolidated January 1, 2022 balance sheet for the adoption of ASU 2020-06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w w:val="95"/>
              </w:rPr>
              <w:t>December 31, 2021</w:t>
            </w:r>
          </w:p>
        </w:tc>
        <w:tc>
          <w:tcPr>
            <w:tcW w:w="180" w:type="dxa"/>
            <w:vAlign w:val="bottom"/>
          </w:tcPr>
          <w:p>
            <w:pPr>
              <w:spacing w:after="0"/>
              <w:rPr>
                <w:sz w:val="16"/>
                <w:szCs w:val="16"/>
                <w:color w:val="auto"/>
              </w:rPr>
            </w:pPr>
          </w:p>
        </w:tc>
        <w:tc>
          <w:tcPr>
            <w:tcW w:w="16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Adjustments due to</w:t>
            </w:r>
          </w:p>
        </w:tc>
        <w:tc>
          <w:tcPr>
            <w:tcW w:w="240" w:type="dxa"/>
            <w:vAlign w:val="bottom"/>
          </w:tcPr>
          <w:p>
            <w:pPr>
              <w:spacing w:after="0"/>
              <w:rPr>
                <w:sz w:val="16"/>
                <w:szCs w:val="16"/>
                <w:color w:val="auto"/>
              </w:rPr>
            </w:pPr>
          </w:p>
        </w:tc>
        <w:tc>
          <w:tcPr>
            <w:tcW w:w="16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January 1, 2022</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393"/>
              <w:spacing w:after="0"/>
              <w:rPr>
                <w:sz w:val="20"/>
                <w:szCs w:val="20"/>
                <w:color w:val="auto"/>
              </w:rPr>
            </w:pPr>
            <w:r>
              <w:rPr>
                <w:rFonts w:ascii="Arial" w:cs="Arial" w:eastAsia="Arial" w:hAnsi="Arial"/>
                <w:sz w:val="16"/>
                <w:szCs w:val="16"/>
                <w:b w:val="1"/>
                <w:bCs w:val="1"/>
                <w:color w:val="auto"/>
              </w:rPr>
              <w:t>ASU 2020-06</w:t>
            </w: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140"/>
              <w:spacing w:after="0"/>
              <w:rPr>
                <w:sz w:val="20"/>
                <w:szCs w:val="20"/>
                <w:color w:val="auto"/>
              </w:rPr>
            </w:pPr>
            <w:r>
              <w:rPr>
                <w:rFonts w:ascii="Arial" w:cs="Arial" w:eastAsia="Arial" w:hAnsi="Arial"/>
                <w:sz w:val="18"/>
                <w:szCs w:val="18"/>
                <w:color w:val="auto"/>
              </w:rPr>
              <w:t>Deferred income tax assets</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87,581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23,979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111,560</w:t>
            </w:r>
          </w:p>
        </w:tc>
        <w:tc>
          <w:tcPr>
            <w:tcW w:w="0" w:type="dxa"/>
            <w:vAlign w:val="bottom"/>
          </w:tcPr>
          <w:p>
            <w:pPr>
              <w:spacing w:after="0"/>
              <w:rPr>
                <w:sz w:val="1"/>
                <w:szCs w:val="1"/>
                <w:color w:val="auto"/>
              </w:rPr>
            </w:pPr>
          </w:p>
        </w:tc>
      </w:tr>
      <w:tr>
        <w:trPr>
          <w:trHeight w:val="255"/>
        </w:trPr>
        <w:tc>
          <w:tcPr>
            <w:tcW w:w="41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169,221</w:t>
            </w:r>
          </w:p>
        </w:tc>
        <w:tc>
          <w:tcPr>
            <w:tcW w:w="0" w:type="dxa"/>
            <w:vAlign w:val="bottom"/>
          </w:tcPr>
          <w:p>
            <w:pPr>
              <w:spacing w:after="0"/>
              <w:rPr>
                <w:sz w:val="1"/>
                <w:szCs w:val="1"/>
                <w:color w:val="auto"/>
              </w:rPr>
            </w:pPr>
          </w:p>
        </w:tc>
      </w:tr>
      <w:tr>
        <w:trPr>
          <w:trHeight w:val="228"/>
        </w:trPr>
        <w:tc>
          <w:tcPr>
            <w:tcW w:w="41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478,151</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86,069</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564,220</w:t>
            </w:r>
          </w:p>
        </w:tc>
        <w:tc>
          <w:tcPr>
            <w:tcW w:w="0" w:type="dxa"/>
            <w:vAlign w:val="bottom"/>
          </w:tcPr>
          <w:p>
            <w:pPr>
              <w:spacing w:after="0"/>
              <w:rPr>
                <w:sz w:val="1"/>
                <w:szCs w:val="1"/>
                <w:color w:val="auto"/>
              </w:rPr>
            </w:pPr>
          </w:p>
        </w:tc>
      </w:tr>
      <w:tr>
        <w:trPr>
          <w:trHeight w:val="255"/>
        </w:trPr>
        <w:tc>
          <w:tcPr>
            <w:tcW w:w="41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1,133,044</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7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(571,794)</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44,447</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(527,347)</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ASU 2020-06 did not impact our cash flows or compliance with debt covenants.</w:t>
      </w:r>
    </w:p>
    <w:p>
      <w:pPr>
        <w:spacing w:after="0" w:line="169"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In May 2021, the FASB issued ASU 2021-04 to clarify and reduce diversity in accounting for modifications or exchanges of freestanding equity-classified written call options that remain equity classified after modification or exchange. The amendments clarify that a modification of the terms or conditions or an exchange of a freestanding equity-classified written call option that remains equity classified after modification or exchange should be accounted for as an exchange of the original instrument for a new instrument. This ASU is effective for annual and interim reporting periods beginning after December 15, 2021. Early adoption is permitted, including adoption in interim periods. An entity should adopt the guidance as of the beginning of its annual fiscal year. The amendments should be applied prospectively to modifications or exchanges occurring on or after the date of adoption. The Company adopted ASU 2021-04 in the second quarter of 2021.</w:t>
      </w:r>
    </w:p>
    <w:p>
      <w:pPr>
        <w:spacing w:after="0" w:line="13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In December 2019, the FASB issued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is permitted, including adoption in interim periods. Entities electing early adoption must adopt all amendments in the same period. Most amendments must be applied prospectively while others are to be applied on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84455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retrospective basis for all periods presented or a modified retrospective basis through a cumulative-effect adjustment to retained earnings as of the beginning of the fiscal year of adoption. The Company adopted ASU 2019-12 in the first quarter of 2021. The amendments applicable to the Company required prospective application, and do not have material impacts to its consolidated financial statements.</w:t>
      </w:r>
    </w:p>
    <w:p>
      <w:pPr>
        <w:spacing w:after="0" w:line="75"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 xml:space="preserve">In August 2018, the FASB issued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The amendments should be applied either retrospectively or prospectively to all implementation costs incurred after the date of adoption. The Company adopted ASU 2018-15 in the first quarter of 2020 using the prospective approach. Subsequent to the adoption of this ASU, capitalizable implementation costs incurred in a hosting arrangement that is a service contract are recorded within prepaid and other current assets and other non-current assets on the consolidated balance sheet. The amortization expense associated with these capitalized implementation costs is included within general and administrative expense on the consolidated statement of operations and comprehensive income (loss). The adoption of ASU 2018-15 did not have a material impact on the consolidated financial statements as of and for the year ended December 31, 2020.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6—Hosting Arrangements.</w:t>
      </w:r>
    </w:p>
    <w:p>
      <w:pPr>
        <w:spacing w:after="0" w:line="62"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 xml:space="preserve">In August 2018, the FASB issued ASU 2018-13, which removes, modifies and adds certain disclosure requirements in ASC Topic 820, Fair Value Measurement. This ASU is effective for annual and interim reporting periods beginning after December 15, 2019. Certain amendments must be applied prospectively while others are to be applied on a retrospective basis to all periods presented. The Company adopted ASU 2018-13 in the first quarter of 2020.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19—Fair Value Measurements.</w:t>
      </w:r>
    </w:p>
    <w:p>
      <w:pPr>
        <w:spacing w:after="0" w:line="77"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The Company adopted ASU 2017-04 in the first quarter of 2020.</w:t>
      </w:r>
    </w:p>
    <w:p>
      <w:pPr>
        <w:spacing w:after="0" w:line="77"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In June 2016, the FASB issued ASU 2016-13, which requires entities to measure expected credit losses for financial assets held at the reporting date based on historical experience, current conditions, and reasonable and supportable forecasts. This ASU introduces ASC Topic 326, Financial Instruments— Credit Losses, which replaces the existing incurred loss model and is applicable to financial assets measured at amortized cost, including trade receivables and certain other financial assets that have the contractual right to receive cash. ASC Topic 326 is effective for annual and interim reporting periods beginning after December 15, 2019. The guidance must be adopted using a modified retrospective transition. The Company adopted ASC Topic 326 as of January 1, 2020, which did not result in any cumulative effect adjustment to the opening balance of accumulated deficit in the period of adoption.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9" w:lineRule="exact"/>
        <w:rPr>
          <w:sz w:val="20"/>
          <w:szCs w:val="20"/>
          <w:color w:val="auto"/>
        </w:rPr>
      </w:pPr>
    </w:p>
    <w:p>
      <w:pPr>
        <w:jc w:val="both"/>
        <w:ind w:firstLine="323"/>
        <w:spacing w:after="0" w:line="305" w:lineRule="auto"/>
        <w:rPr>
          <w:sz w:val="20"/>
          <w:szCs w:val="20"/>
          <w:color w:val="auto"/>
        </w:rPr>
      </w:pPr>
      <w:r>
        <w:rPr>
          <w:rFonts w:ascii="Arial" w:cs="Arial" w:eastAsia="Arial" w:hAnsi="Arial"/>
          <w:sz w:val="17"/>
          <w:szCs w:val="17"/>
          <w:color w:val="auto"/>
        </w:rPr>
        <w:t>The Company has considered the applicability of recently issued accounting pronouncements by the Financial Accounting Standards Board and have determined that they are not applicable or are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9"/>
              </w:rPr>
              <w:t>Year Ended December 31,</w:t>
            </w: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15"/>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289,383</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441,738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320,992</w:t>
            </w:r>
          </w:p>
        </w:tc>
      </w:tr>
      <w:tr>
        <w:trPr>
          <w:trHeight w:val="228"/>
        </w:trPr>
        <w:tc>
          <w:tcPr>
            <w:tcW w:w="5740" w:type="dxa"/>
            <w:vAlign w:val="bottom"/>
          </w:tcPr>
          <w:p>
            <w:pPr>
              <w:ind w:left="140"/>
              <w:spacing w:after="0"/>
              <w:rPr>
                <w:sz w:val="20"/>
                <w:szCs w:val="20"/>
                <w:color w:val="auto"/>
              </w:rPr>
            </w:pPr>
            <w:r>
              <w:rPr>
                <w:rFonts w:ascii="Arial" w:cs="Arial" w:eastAsia="Arial" w:hAnsi="Arial"/>
                <w:sz w:val="18"/>
                <w:szCs w:val="18"/>
                <w:color w:val="auto"/>
              </w:rPr>
              <w:t>Credit cards</w:t>
            </w:r>
          </w:p>
        </w:tc>
        <w:tc>
          <w:tcPr>
            <w:tcW w:w="10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100,229</w:t>
            </w:r>
          </w:p>
        </w:tc>
        <w:tc>
          <w:tcPr>
            <w:tcW w:w="50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93,420</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77,361</w:t>
            </w:r>
          </w:p>
        </w:tc>
      </w:tr>
      <w:tr>
        <w:trPr>
          <w:trHeight w:val="228"/>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loans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144,148</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110,099</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66,513</w:t>
            </w:r>
          </w:p>
        </w:tc>
      </w:tr>
      <w:tr>
        <w:trPr>
          <w:trHeight w:val="228"/>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151,732</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126,426</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109,324</w:t>
            </w:r>
          </w:p>
        </w:tc>
      </w:tr>
      <w:tr>
        <w:trPr>
          <w:trHeight w:val="222"/>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396,109</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329,945</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253,198</w:t>
            </w:r>
          </w:p>
        </w:tc>
      </w:tr>
      <w:tr>
        <w:trPr>
          <w:trHeight w:val="228"/>
        </w:trPr>
        <w:tc>
          <w:tcPr>
            <w:tcW w:w="57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0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299,073</w:t>
            </w:r>
          </w:p>
        </w:tc>
        <w:tc>
          <w:tcPr>
            <w:tcW w:w="50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326,153</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333,765</w:t>
            </w:r>
          </w:p>
        </w:tc>
      </w:tr>
      <w:tr>
        <w:trPr>
          <w:trHeight w:val="228"/>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663</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r>
      <w:tr>
        <w:trPr>
          <w:trHeight w:val="229"/>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revenue</w:t>
            </w: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984,992</w:t>
            </w:r>
          </w:p>
        </w:tc>
        <w:tc>
          <w:tcPr>
            <w:tcW w:w="50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1,098,499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909,990</w:t>
            </w:r>
          </w:p>
        </w:tc>
      </w:tr>
    </w:tbl>
    <w:p>
      <w:pPr>
        <w:spacing w:after="0" w:line="18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$12.2 million and $9.1 million on December 31, 2022 and 2021, respectively.</w:t>
      </w:r>
    </w:p>
    <w:p>
      <w:pPr>
        <w:spacing w:after="0" w:line="63"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The contract liability recorded within accrued expenses and other current liabilities on the consolidated balance sheets related to upfront fees paid by consumers in the Company's Consumer business was $0.9 million and $0.8 million at December 31, 2022 and 2021, respectively. During 2022, the Company recognized revenue of $0.8 million that was included in the contract liability balance at December 31, 2021. During 2021, the Company recognized revenue of $0.7 million that was included in the contract liability balance at December 31, 2020.</w:t>
      </w:r>
    </w:p>
    <w:p>
      <w:pPr>
        <w:spacing w:after="0" w:line="65"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$0.5 million, $0.7 million and $0.3 million in 2022, 2021 and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December 31, 2022</w:t>
            </w:r>
          </w:p>
        </w:tc>
        <w:tc>
          <w:tcPr>
            <w:tcW w:w="20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December 31, 2021</w:t>
            </w:r>
          </w:p>
        </w:tc>
      </w:tr>
      <w:tr>
        <w:trPr>
          <w:trHeight w:val="25"/>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298,845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251,231</w:t>
            </w:r>
          </w:p>
        </w:tc>
      </w:tr>
      <w:tr>
        <w:trPr>
          <w:trHeight w:val="228"/>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298,969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251,342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5—PROPERTY AND EQUIPMENT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December 31, 2021</w:t>
            </w:r>
          </w:p>
        </w:tc>
      </w:tr>
      <w:tr>
        <w:trPr>
          <w:trHeight w:val="25"/>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capitalized software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42,710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46,341</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33,776</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34,485</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other equipment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9,635</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Aircraft and automobile</w:t>
            </w:r>
          </w:p>
        </w:tc>
        <w:tc>
          <w:tcPr>
            <w:tcW w:w="12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2,598</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2,621</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Projects in progress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4,292</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r>
      <w:tr>
        <w:trPr>
          <w:trHeight w:val="222"/>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gross property and equipment</w:t>
            </w:r>
          </w:p>
        </w:tc>
        <w:tc>
          <w:tcPr>
            <w:tcW w:w="12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b w:val="1"/>
                <w:bCs w:val="1"/>
                <w:color w:val="auto"/>
              </w:rPr>
              <w:t>93,011</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100,792</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(33,851)</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w:t>
            </w:r>
          </w:p>
        </w:tc>
      </w:tr>
      <w:tr>
        <w:trPr>
          <w:trHeight w:val="229"/>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59,160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72,477</w:t>
            </w:r>
          </w:p>
        </w:tc>
      </w:tr>
    </w:tbl>
    <w:p>
      <w:pPr>
        <w:spacing w:after="0" w:line="187" w:lineRule="exact"/>
        <w:rPr>
          <w:sz w:val="20"/>
          <w:szCs w:val="20"/>
          <w:color w:val="auto"/>
        </w:rPr>
      </w:pPr>
    </w:p>
    <w:p>
      <w:pPr>
        <w:jc w:val="both"/>
        <w:ind w:right="20" w:firstLine="323"/>
        <w:spacing w:after="0" w:line="262" w:lineRule="auto"/>
        <w:rPr>
          <w:sz w:val="20"/>
          <w:szCs w:val="20"/>
          <w:color w:val="auto"/>
        </w:rPr>
      </w:pPr>
      <w:r>
        <w:rPr>
          <w:rFonts w:ascii="Arial" w:cs="Arial" w:eastAsia="Arial" w:hAnsi="Arial"/>
          <w:sz w:val="18"/>
          <w:szCs w:val="18"/>
          <w:color w:val="auto"/>
        </w:rPr>
        <w:t>Unamortized capitalized software development costs recorded in property and equipment, whether in service or under development, are $19.0 million and $26.4 million at December 31, 2022 and 2021, respectively. Capitalized software development depreciation expense was $14.1 million, $13.3 million and $11.1 million for the years ended December 31, 2022, 2021 and 2020, respectively.</w:t>
      </w:r>
    </w:p>
    <w:p>
      <w:pPr>
        <w:spacing w:after="0" w:line="75"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Long-lived assets located outside the United States, the Company's country of domicile, were immaterial at December 31, 2022 and $0.1 million at December 31, 2021.</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9—Assets and Liabilities Held for Sale for property and equipment classified as held for sale during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6—HOSTING ARRANGEMENTS</w:t>
      </w:r>
    </w:p>
    <w:p>
      <w:pPr>
        <w:spacing w:after="0" w:line="281"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 xml:space="preserve">The balance of capitalized implementation costs incurred in a hosting arrangement that is a service contract, which are recorded within prepaid and other current assets and other non-current assets,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ind w:left="78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2820" w:type="dxa"/>
            <w:vAlign w:val="bottom"/>
            <w:gridSpan w:val="3"/>
          </w:tcPr>
          <w:p>
            <w:pPr>
              <w:jc w:val="right"/>
              <w:ind w:right="81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114"/>
              <w:spacing w:after="0"/>
              <w:rPr>
                <w:sz w:val="20"/>
                <w:szCs w:val="20"/>
                <w:color w:val="auto"/>
              </w:rPr>
            </w:pPr>
            <w:r>
              <w:rPr>
                <w:rFonts w:ascii="Arial" w:cs="Arial" w:eastAsia="Arial" w:hAnsi="Arial"/>
                <w:sz w:val="16"/>
                <w:szCs w:val="16"/>
                <w:b w:val="1"/>
                <w:bCs w:val="1"/>
                <w:color w:val="auto"/>
                <w:w w:val="95"/>
              </w:rPr>
              <w:t>Current portion</w:t>
            </w:r>
          </w:p>
        </w:tc>
        <w:tc>
          <w:tcPr>
            <w:tcW w:w="260" w:type="dxa"/>
            <w:vAlign w:val="bottom"/>
          </w:tcPr>
          <w:p>
            <w:pPr>
              <w:spacing w:after="0"/>
              <w:rPr>
                <w:sz w:val="13"/>
                <w:szCs w:val="13"/>
                <w:color w:val="auto"/>
              </w:rPr>
            </w:pPr>
          </w:p>
        </w:tc>
        <w:tc>
          <w:tcPr>
            <w:tcW w:w="1240" w:type="dxa"/>
            <w:vAlign w:val="bottom"/>
          </w:tcPr>
          <w:p>
            <w:pPr>
              <w:jc w:val="center"/>
              <w:ind w:right="133"/>
              <w:spacing w:after="0" w:line="155" w:lineRule="exact"/>
              <w:rPr>
                <w:sz w:val="20"/>
                <w:szCs w:val="20"/>
                <w:color w:val="auto"/>
              </w:rPr>
            </w:pPr>
            <w:r>
              <w:rPr>
                <w:rFonts w:ascii="Arial" w:cs="Arial" w:eastAsia="Arial" w:hAnsi="Arial"/>
                <w:sz w:val="16"/>
                <w:szCs w:val="16"/>
                <w:b w:val="1"/>
                <w:bCs w:val="1"/>
                <w:color w:val="auto"/>
                <w:w w:val="93"/>
              </w:rPr>
              <w:t>Non-current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right"/>
              <w:ind w:right="114"/>
              <w:spacing w:after="0"/>
              <w:rPr>
                <w:sz w:val="20"/>
                <w:szCs w:val="20"/>
                <w:color w:val="auto"/>
              </w:rPr>
            </w:pPr>
            <w:r>
              <w:rPr>
                <w:rFonts w:ascii="Arial" w:cs="Arial" w:eastAsia="Arial" w:hAnsi="Arial"/>
                <w:sz w:val="16"/>
                <w:szCs w:val="16"/>
                <w:b w:val="1"/>
                <w:bCs w:val="1"/>
                <w:color w:val="auto"/>
                <w:w w:val="95"/>
              </w:rPr>
              <w:t>Current portion</w:t>
            </w:r>
          </w:p>
        </w:tc>
        <w:tc>
          <w:tcPr>
            <w:tcW w:w="260" w:type="dxa"/>
            <w:vAlign w:val="bottom"/>
          </w:tcPr>
          <w:p>
            <w:pPr>
              <w:spacing w:after="0"/>
              <w:rPr>
                <w:sz w:val="13"/>
                <w:szCs w:val="13"/>
                <w:color w:val="auto"/>
              </w:rPr>
            </w:pPr>
          </w:p>
        </w:tc>
        <w:tc>
          <w:tcPr>
            <w:tcW w:w="1220" w:type="dxa"/>
            <w:vAlign w:val="bottom"/>
          </w:tcPr>
          <w:p>
            <w:pPr>
              <w:jc w:val="right"/>
              <w:ind w:right="193"/>
              <w:spacing w:after="0" w:line="155" w:lineRule="exact"/>
              <w:rPr>
                <w:sz w:val="20"/>
                <w:szCs w:val="20"/>
                <w:color w:val="auto"/>
              </w:rPr>
            </w:pPr>
            <w:r>
              <w:rPr>
                <w:rFonts w:ascii="Arial" w:cs="Arial" w:eastAsia="Arial" w:hAnsi="Arial"/>
                <w:sz w:val="16"/>
                <w:szCs w:val="16"/>
                <w:b w:val="1"/>
                <w:bCs w:val="1"/>
                <w:color w:val="auto"/>
              </w:rPr>
              <w:t>Non-current</w:t>
            </w:r>
          </w:p>
        </w:tc>
        <w:tc>
          <w:tcPr>
            <w:tcW w:w="0" w:type="dxa"/>
            <w:vAlign w:val="bottom"/>
          </w:tcPr>
          <w:p>
            <w:pPr>
              <w:spacing w:after="0"/>
              <w:rPr>
                <w:sz w:val="1"/>
                <w:szCs w:val="1"/>
                <w:color w:val="auto"/>
              </w:rPr>
            </w:pPr>
          </w:p>
        </w:tc>
      </w:tr>
      <w:tr>
        <w:trPr>
          <w:trHeight w:val="212"/>
        </w:trPr>
        <w:tc>
          <w:tcPr>
            <w:tcW w:w="5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portion</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implementation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Projects in progress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247</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367</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2,805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2,138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3,770</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2,229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2,803</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2,047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2,714</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Amortization expense included within general and administrative expense on the consolidated statement of operations and comprehensive income (loss) associated with these capitalized implementation costs was $2.5 million and $1.1 million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7—GOODWILL AND INTANGIBLE ASSETS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Goodwill</w:t>
            </w:r>
          </w:p>
        </w:tc>
        <w:tc>
          <w:tcPr>
            <w:tcW w:w="120" w:type="dxa"/>
            <w:vAlign w:val="bottom"/>
          </w:tcPr>
          <w:p>
            <w:pPr>
              <w:spacing w:after="0"/>
              <w:rPr>
                <w:sz w:val="14"/>
                <w:szCs w:val="14"/>
                <w:color w:val="auto"/>
              </w:rPr>
            </w:pPr>
          </w:p>
        </w:tc>
        <w:tc>
          <w:tcPr>
            <w:tcW w:w="138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3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Net Goodwill</w:t>
            </w:r>
          </w:p>
        </w:tc>
        <w:tc>
          <w:tcPr>
            <w:tcW w:w="0" w:type="dxa"/>
            <w:vAlign w:val="bottom"/>
          </w:tcPr>
          <w:p>
            <w:pPr>
              <w:spacing w:after="0"/>
              <w:rPr>
                <w:sz w:val="1"/>
                <w:szCs w:val="1"/>
                <w:color w:val="auto"/>
              </w:rPr>
            </w:pPr>
          </w:p>
        </w:tc>
      </w:tr>
      <w:tr>
        <w:trPr>
          <w:trHeight w:val="191"/>
        </w:trPr>
        <w:tc>
          <w:tcPr>
            <w:tcW w:w="6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Impairment Loss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903,227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Changes in goodwill</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903,227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Changes in goodwill</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903,227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471"/>
        </w:trPr>
        <w:tc>
          <w:tcPr>
            <w:tcW w:w="6720" w:type="dxa"/>
            <w:vAlign w:val="bottom"/>
          </w:tcPr>
          <w:p>
            <w:pPr>
              <w:ind w:left="340"/>
              <w:spacing w:after="0"/>
              <w:rPr>
                <w:sz w:val="20"/>
                <w:szCs w:val="20"/>
                <w:color w:val="auto"/>
              </w:rPr>
            </w:pPr>
            <w:r>
              <w:rPr>
                <w:rFonts w:ascii="Arial" w:cs="Arial" w:eastAsia="Arial" w:hAnsi="Arial"/>
                <w:sz w:val="18"/>
                <w:szCs w:val="18"/>
                <w:color w:val="auto"/>
              </w:rPr>
              <w:t xml:space="preserve">The balance of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10,142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48,173</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75,621</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58,315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85,763</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The Company's goodwill at each of December 31, 2022 and 2021 consists of $59.3 million associated with the Home reporting unit, $166.1 million associated with the Consumer reporting unit, and $194.7 million associated with the Insurance reporting unit. Results of the annual impairment test as of October 1, 2022 indicated that no impairment had occurred.</w:t>
      </w:r>
    </w:p>
    <w:p>
      <w:pPr>
        <w:spacing w:after="0" w:line="75"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At June 30, 2022, the Company assessed the qualitative factors in its impairment testing of goodwill and determined that the effects of the challenging interest rate environment, consumer price inflation, and the decline in our market capitalization required a quantitative impairment test be performed. The quantitative goodwill impairment test found that the fair value of each reporting unit exceeded its carrying amount, indicating no goodwill impairment. The Company will monitor the recovery of the Insurance reporting unit and the Mortgage reporting unit. The property and casualty auto insurance is experiencing challenges caused by inflation, supply chain challenges, and the rising severity and frequency of claims. Additionally, the significant increase in mortgage interest rates have had a negative impact on the Mortgage reporting unit. Changes in the timing of the recovery compared to current expectations could cause an impairment to the Insurance or Mortgage reporting units.</w:t>
      </w:r>
    </w:p>
    <w:p>
      <w:pPr>
        <w:spacing w:after="0" w:line="7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Intangible assets with indefinite lives relate to the Company's trademarks. Results of the annual impairment test as of October 1, 2022 indicated that no impairment had occurred.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60" w:type="dxa"/>
            <w:vAlign w:val="bottom"/>
          </w:tcPr>
          <w:p>
            <w:pPr>
              <w:spacing w:after="0"/>
              <w:rPr>
                <w:sz w:val="14"/>
                <w:szCs w:val="14"/>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1280" w:type="dxa"/>
            <w:vAlign w:val="bottom"/>
          </w:tcPr>
          <w:p>
            <w:pPr>
              <w:jc w:val="right"/>
              <w:ind w:right="276"/>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0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1"/>
        </w:trPr>
        <w:tc>
          <w:tcPr>
            <w:tcW w:w="51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lists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13.2 years</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77,300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0" w:type="dxa"/>
            <w:vAlign w:val="bottom"/>
          </w:tcPr>
          <w:p>
            <w:pPr>
              <w:spacing w:after="0"/>
              <w:rPr>
                <w:sz w:val="1"/>
                <w:szCs w:val="1"/>
                <w:color w:val="auto"/>
              </w:rPr>
            </w:pPr>
          </w:p>
        </w:tc>
      </w:tr>
      <w:tr>
        <w:trPr>
          <w:trHeight w:val="22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Trademarks and tradenames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6"/>
              </w:rPr>
              <w:t>5.0 years</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10,100</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87,400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(39,227)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48,173</w:t>
            </w:r>
          </w:p>
        </w:tc>
        <w:tc>
          <w:tcPr>
            <w:tcW w:w="0" w:type="dxa"/>
            <w:vAlign w:val="bottom"/>
          </w:tcPr>
          <w:p>
            <w:pPr>
              <w:spacing w:after="0"/>
              <w:rPr>
                <w:sz w:val="1"/>
                <w:szCs w:val="1"/>
                <w:color w:val="auto"/>
              </w:rPr>
            </w:pPr>
          </w:p>
        </w:tc>
      </w:tr>
      <w:tr>
        <w:trPr>
          <w:trHeight w:val="363"/>
        </w:trPr>
        <w:tc>
          <w:tcPr>
            <w:tcW w:w="5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460" w:type="dxa"/>
            <w:vAlign w:val="bottom"/>
          </w:tcPr>
          <w:p>
            <w:pPr>
              <w:spacing w:after="0"/>
              <w:rPr>
                <w:sz w:val="24"/>
                <w:szCs w:val="24"/>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24"/>
                <w:szCs w:val="24"/>
                <w:color w:val="auto"/>
              </w:rPr>
            </w:pPr>
          </w:p>
        </w:tc>
        <w:tc>
          <w:tcPr>
            <w:tcW w:w="1280" w:type="dxa"/>
            <w:vAlign w:val="bottom"/>
          </w:tcPr>
          <w:p>
            <w:pPr>
              <w:jc w:val="right"/>
              <w:ind w:right="276"/>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24"/>
                <w:szCs w:val="24"/>
                <w:color w:val="auto"/>
              </w:rPr>
            </w:pPr>
          </w:p>
        </w:tc>
        <w:tc>
          <w:tcPr>
            <w:tcW w:w="10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6"/>
              </w:rPr>
              <w:t>4.3 years</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87,700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28"/>
        </w:trPr>
        <w:tc>
          <w:tcPr>
            <w:tcW w:w="518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1420" w:type="dxa"/>
            <w:vAlign w:val="bottom"/>
          </w:tcPr>
          <w:p>
            <w:pPr>
              <w:jc w:val="center"/>
              <w:spacing w:after="0"/>
              <w:rPr>
                <w:sz w:val="20"/>
                <w:szCs w:val="20"/>
                <w:color w:val="auto"/>
              </w:rPr>
            </w:pPr>
            <w:r>
              <w:rPr>
                <w:rFonts w:ascii="Arial" w:cs="Arial" w:eastAsia="Arial" w:hAnsi="Arial"/>
                <w:sz w:val="18"/>
                <w:szCs w:val="18"/>
                <w:i w:val="1"/>
                <w:iCs w:val="1"/>
                <w:color w:val="auto"/>
                <w:w w:val="90"/>
              </w:rPr>
              <w:t>13.2 years</w:t>
            </w:r>
          </w:p>
        </w:tc>
        <w:tc>
          <w:tcPr>
            <w:tcW w:w="4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77,300</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(24,668)</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52,632</w:t>
            </w: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6"/>
              </w:rPr>
              <w:t>4.9 years</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11,700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2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6"/>
              </w:rPr>
              <w:t>3.0 years</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26,100</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(25,375)</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202,800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(127,179)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75,621</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decrease in cost and accumulated amortization in 2022 compared to 2021 is primarily due to certain technology and website content intangible assets becoming fully amortized and written off in 2022.</w:t>
      </w:r>
    </w:p>
    <w:p>
      <w:pPr>
        <w:spacing w:after="0" w:line="11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December 31, 2022,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Amortization Expense</w:t>
            </w:r>
          </w:p>
        </w:tc>
      </w:tr>
      <w:tr>
        <w:trPr>
          <w:trHeight w:val="25"/>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2023</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w:t>
            </w:r>
          </w:p>
        </w:tc>
      </w:tr>
      <w:tr>
        <w:trPr>
          <w:trHeight w:val="228"/>
        </w:trPr>
        <w:tc>
          <w:tcPr>
            <w:tcW w:w="9780" w:type="dxa"/>
            <w:vAlign w:val="bottom"/>
          </w:tcPr>
          <w:p>
            <w:pPr>
              <w:ind w:left="20"/>
              <w:spacing w:after="0"/>
              <w:rPr>
                <w:sz w:val="20"/>
                <w:szCs w:val="20"/>
                <w:color w:val="auto"/>
              </w:rPr>
            </w:pPr>
            <w:r>
              <w:rPr>
                <w:rFonts w:ascii="Arial" w:cs="Arial" w:eastAsia="Arial" w:hAnsi="Arial"/>
                <w:sz w:val="18"/>
                <w:szCs w:val="18"/>
                <w:color w:val="auto"/>
              </w:rPr>
              <w:t>Year ending December 31, 2024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5,889</w:t>
            </w:r>
          </w:p>
        </w:tc>
      </w:tr>
      <w:tr>
        <w:trPr>
          <w:trHeight w:val="228"/>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28"/>
        </w:trPr>
        <w:tc>
          <w:tcPr>
            <w:tcW w:w="9780" w:type="dxa"/>
            <w:vAlign w:val="bottom"/>
          </w:tcPr>
          <w:p>
            <w:pPr>
              <w:ind w:left="20"/>
              <w:spacing w:after="0"/>
              <w:rPr>
                <w:sz w:val="20"/>
                <w:szCs w:val="20"/>
                <w:color w:val="auto"/>
              </w:rPr>
            </w:pPr>
            <w:r>
              <w:rPr>
                <w:rFonts w:ascii="Arial" w:cs="Arial" w:eastAsia="Arial" w:hAnsi="Arial"/>
                <w:sz w:val="18"/>
                <w:szCs w:val="18"/>
                <w:color w:val="auto"/>
              </w:rPr>
              <w:t>Year ending December 31, 2026</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5,504</w:t>
            </w:r>
          </w:p>
        </w:tc>
      </w:tr>
      <w:tr>
        <w:trPr>
          <w:trHeight w:val="228"/>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2027</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r>
      <w:tr>
        <w:trPr>
          <w:trHeight w:val="228"/>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18,058</w:t>
            </w:r>
          </w:p>
        </w:tc>
      </w:tr>
      <w:tr>
        <w:trPr>
          <w:trHeight w:val="229"/>
        </w:trPr>
        <w:tc>
          <w:tcPr>
            <w:tcW w:w="9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48,173</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9—Assets and Liabilities Held for Sale for intangible assets with definite lives classified as held for sale during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8—EQUITY INVESTMENT</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In January 2022, the Company acquired an equity interest in EarnUp Inc. (“EarnUp”) for $15.0 million. The company is a consumer-first mortgage payment platform that intelligently automates loan payment scheduling and helps consumers better manage their money and improve their financial well-being.</w:t>
      </w:r>
    </w:p>
    <w:p>
      <w:pPr>
        <w:spacing w:after="0" w:line="75"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On February 28, 2020, the Company acquired an equity interest in Stash Financial, Inc. (“Stash”) for $80.0 million. On January 6, 2021, the Company acquired an additional equity interest for $1.2 million. On October 18, 2021, the Company entered into a stock transfer agreement with third parties to sell a portion of its Stash equity securities for $46.3 million. The Company sold $35.3 million in October and closed on an additional $11.0 million in November 2021. The Company recorded a realized gain of $27.9 million based on the sale of Stash equity securities under the stock transfer agreement, which is included within other income on the consolidated statement of operations and comprehensive income.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The equity securities do not have a readily determinable fair value and, upon acquisition, the Company elected the measurement alternative to value its securities. The equity securities will be carried at cost less impairment, if any, and subsequently measured to fair value upon observable price changes in an orderly transaction for the identical or similar investments with any gains or losses recorded to the consolidated statement of operations and comprehensive income. In 2021, the Company recorded a net unrealized gain on the investment in Stash of $95.4 million as a result of an adjustment to the fair value of the Stash equity securities based on observable market events, which is included within other income on the consolidated statement of operations and comprehensive income. As of December 31, 2022, there have been no impairments to the acquisition cost of the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9—ASSETS AND LIABILITIES HELD FOR SALE</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In the fourth quarter of 2022, the Company approved a plan to sell an asset group associated with the Company's Consumer segment. The asset group is expected to be sold in 2023 to an unrelated third party and is classified, at its carrying value, as current assets held for sale and current liabilities held for sale in the consolidated balance sheet as of December 31, 2022.</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information related to the major classes of assets and liabilities that were classified as held for sale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2022</w:t>
            </w:r>
          </w:p>
        </w:tc>
      </w:tr>
      <w:tr>
        <w:trPr>
          <w:trHeight w:val="222"/>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28"/>
        </w:trPr>
        <w:tc>
          <w:tcPr>
            <w:tcW w:w="9340" w:type="dxa"/>
            <w:vAlign w:val="bottom"/>
          </w:tcPr>
          <w:p>
            <w:pPr>
              <w:ind w:left="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8"/>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$1,102</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28"/>
        </w:trPr>
        <w:tc>
          <w:tcPr>
            <w:tcW w:w="93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8"/>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 of accumulated amortization of $3,857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r>
      <w:tr>
        <w:trPr>
          <w:trHeight w:val="228"/>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9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5,689</w:t>
            </w:r>
          </w:p>
        </w:tc>
      </w:tr>
      <w:tr>
        <w:trPr>
          <w:trHeight w:val="249"/>
        </w:trPr>
        <w:tc>
          <w:tcPr>
            <w:tcW w:w="9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28"/>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trade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8"/>
        </w:trPr>
        <w:tc>
          <w:tcPr>
            <w:tcW w:w="93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28"/>
        </w:trPr>
        <w:tc>
          <w:tcPr>
            <w:tcW w:w="9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held for sale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2,909</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10—BUSINESS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15"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In 2018, the Company acquired all of the outstanding equity interests of QuoteWizard.com, LLC, which does business under the name QuoteWizard (“QuoteWizard”). The Company made no earnout payments related to the QuoteWizard acquisition during 2022 or 2021, and this earnout period ended October 31, 2021. In 2020, the Company paid $20.2 million related to the earnout payment for the period of November 1, 2019 through October 31, 2020, which is included within cash flows from operating activities on the consolidated statement of cash flows.</w:t>
      </w:r>
    </w:p>
    <w:p>
      <w:pPr>
        <w:spacing w:after="0" w:line="6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In 2018, the Company acquired all of the outstanding equity interests of Ovation Credit Services, Inc., which does business under the name Ovation (“Ovation”). The Company made no earnout payments related to the Ovation acquisition during 2022 or 2021, as this earnout was completed in 2020. In 2020, the Company paid $4.4 million related to the earnout payment for the period of July 1, 2019 through June 30, 2020, of which $1.4 million is included within cash flows from financing activities and $3.0 million is included within cash flows from operating activities on the consolidated statement of cash flows.</w:t>
      </w:r>
    </w:p>
    <w:p>
      <w:pPr>
        <w:spacing w:after="0" w:line="217"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In 2017, the Company acquired certain assets of Snap Capital LLC, which does business under the name SnapCap (“SnapCap”). During 2020, the Company made the final earnout payments related to the achievement of certain defined earnings targets for SnapCap. Of the total earnout payments of $6.0 million in 2020, $3.3 million is included within cash flows from financing activities and $2.7 million is included within cash flows from operating activities on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fair value of contingent consideration is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center"/>
              <w:ind w:right="211"/>
              <w:spacing w:after="0"/>
              <w:rPr>
                <w:sz w:val="20"/>
                <w:szCs w:val="20"/>
                <w:color w:val="auto"/>
              </w:rPr>
            </w:pPr>
            <w:r>
              <w:rPr>
                <w:rFonts w:ascii="Arial" w:cs="Arial" w:eastAsia="Arial" w:hAnsi="Arial"/>
                <w:sz w:val="16"/>
                <w:szCs w:val="16"/>
                <w:b w:val="1"/>
                <w:bCs w:val="1"/>
                <w:color w:val="auto"/>
                <w:w w:val="90"/>
              </w:rPr>
              <w:t>Year Ended December 31,</w:t>
            </w:r>
          </w:p>
        </w:tc>
      </w:tr>
      <w:tr>
        <w:trPr>
          <w:trHeight w:val="209"/>
        </w:trPr>
        <w:tc>
          <w:tcPr>
            <w:tcW w:w="8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QuoteWizard</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Ovation</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SnapCap</w:t>
            </w:r>
          </w:p>
        </w:tc>
        <w:tc>
          <w:tcPr>
            <w:tcW w:w="2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changes in fair value of contingent consideration</w:t>
            </w:r>
          </w:p>
        </w:tc>
        <w:tc>
          <w:tcPr>
            <w:tcW w:w="5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(8,249)</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5,327</w:t>
            </w:r>
          </w:p>
        </w:tc>
      </w:tr>
      <w:tr>
        <w:trPr>
          <w:trHeight w:val="524"/>
        </w:trPr>
        <w:tc>
          <w:tcPr>
            <w:tcW w:w="8260" w:type="dxa"/>
            <w:vAlign w:val="bottom"/>
          </w:tcPr>
          <w:p>
            <w:pPr>
              <w:spacing w:after="0"/>
              <w:rPr>
                <w:sz w:val="20"/>
                <w:szCs w:val="20"/>
                <w:color w:val="auto"/>
              </w:rPr>
            </w:pPr>
            <w:r>
              <w:rPr>
                <w:rFonts w:ascii="Arial" w:cs="Arial" w:eastAsia="Arial" w:hAnsi="Arial"/>
                <w:sz w:val="18"/>
                <w:szCs w:val="18"/>
                <w:b w:val="1"/>
                <w:bCs w:val="1"/>
                <w:color w:val="auto"/>
              </w:rPr>
              <w:t>NOTE 11—ACCRUED EXPENSES AND OTHER CURRENT LIABILITIES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2"/>
        </w:trPr>
        <w:tc>
          <w:tcPr>
            <w:tcW w:w="8260" w:type="dxa"/>
            <w:vAlign w:val="bottom"/>
          </w:tcPr>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0"/>
        </w:trPr>
        <w:tc>
          <w:tcPr>
            <w:tcW w:w="8260" w:type="dxa"/>
            <w:vAlign w:val="bottom"/>
          </w:tcPr>
          <w:p>
            <w:pPr>
              <w:spacing w:after="0"/>
              <w:rPr>
                <w:sz w:val="24"/>
                <w:szCs w:val="24"/>
                <w:color w:val="auto"/>
              </w:rPr>
            </w:pPr>
          </w:p>
        </w:tc>
        <w:tc>
          <w:tcPr>
            <w:tcW w:w="15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37,703</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59,150</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11,444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16,330</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7,273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7,546</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8,513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8,595</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8,269</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w:t>
            </w:r>
          </w:p>
        </w:tc>
      </w:tr>
      <w:tr>
        <w:trPr>
          <w:trHeight w:val="229"/>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75,095</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106,731</w:t>
            </w:r>
          </w:p>
        </w:tc>
      </w:tr>
    </w:tbl>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9—Assets and Liabilities Held for Sale for accrued expenses and other current liabilities classified as held for sale during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12—LEASES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77"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As of December 31, 2022, right-of-use assets totaled $67.1 million and lease liabilities, the current portion of which is included in accrued expenses and other current liabilities in the accompanying balance sheet, totaled $96.7 million. At December 31, 2021, right-of-use assets totaled $77.3 million and lease liabilities totaled $104.8 million.</w:t>
      </w:r>
    </w:p>
    <w:p>
      <w:pPr>
        <w:spacing w:after="0" w:line="75"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 xml:space="preserve">Lease expense, which is included in general and administrative expense on the accompanying consolidated statements of operations and comprehensive income (loss),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Year Ended December 31,</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09"/>
        </w:trPr>
        <w:tc>
          <w:tcPr>
            <w:tcW w:w="5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2020</w:t>
            </w: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11,862</w:t>
            </w:r>
          </w:p>
        </w:tc>
        <w:tc>
          <w:tcPr>
            <w:tcW w:w="5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13,160</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r>
      <w:tr>
        <w:trPr>
          <w:trHeight w:val="228"/>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lease cost</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5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lease cost</w:t>
            </w: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11,907</w:t>
            </w:r>
          </w:p>
        </w:tc>
        <w:tc>
          <w:tcPr>
            <w:tcW w:w="5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13,199</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11,285</w:t>
            </w:r>
          </w:p>
        </w:tc>
      </w:tr>
    </w:tbl>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 average remaining lease term and discount rate for operating leases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December 31, 2022</w:t>
            </w:r>
          </w:p>
        </w:tc>
        <w:tc>
          <w:tcPr>
            <w:tcW w:w="21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December 31, 2021</w:t>
            </w:r>
          </w:p>
        </w:tc>
        <w:tc>
          <w:tcPr>
            <w:tcW w:w="19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December 31, 2020</w:t>
            </w:r>
          </w:p>
        </w:tc>
      </w:tr>
      <w:tr>
        <w:trPr>
          <w:trHeight w:val="22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2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12.1 years</w:t>
            </w:r>
          </w:p>
        </w:tc>
        <w:tc>
          <w:tcPr>
            <w:tcW w:w="21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12.3 years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years</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280" w:type="dxa"/>
            <w:vAlign w:val="bottom"/>
          </w:tcPr>
          <w:p>
            <w:pPr>
              <w:jc w:val="right"/>
              <w:ind w:right="153"/>
              <w:spacing w:after="0"/>
              <w:rPr>
                <w:sz w:val="20"/>
                <w:szCs w:val="20"/>
                <w:color w:val="auto"/>
              </w:rPr>
            </w:pPr>
            <w:r>
              <w:rPr>
                <w:rFonts w:ascii="Arial" w:cs="Arial" w:eastAsia="Arial" w:hAnsi="Arial"/>
                <w:sz w:val="18"/>
                <w:szCs w:val="18"/>
                <w:color w:val="auto"/>
              </w:rPr>
              <w:t>5.0 %</w:t>
            </w:r>
          </w:p>
        </w:tc>
        <w:tc>
          <w:tcPr>
            <w:tcW w:w="2120" w:type="dxa"/>
            <w:vAlign w:val="bottom"/>
          </w:tcPr>
          <w:p>
            <w:pPr>
              <w:jc w:val="right"/>
              <w:ind w:right="153"/>
              <w:spacing w:after="0"/>
              <w:rPr>
                <w:sz w:val="20"/>
                <w:szCs w:val="20"/>
                <w:color w:val="auto"/>
              </w:rPr>
            </w:pPr>
            <w:r>
              <w:rPr>
                <w:rFonts w:ascii="Arial" w:cs="Arial" w:eastAsia="Arial" w:hAnsi="Arial"/>
                <w:sz w:val="18"/>
                <w:szCs w:val="18"/>
                <w:color w:val="auto"/>
              </w:rPr>
              <w:t>5.0 %</w:t>
            </w:r>
          </w:p>
        </w:tc>
        <w:tc>
          <w:tcPr>
            <w:tcW w:w="1920" w:type="dxa"/>
            <w:vAlign w:val="bottom"/>
          </w:tcPr>
          <w:p>
            <w:pPr>
              <w:jc w:val="right"/>
              <w:spacing w:after="0"/>
              <w:rPr>
                <w:sz w:val="20"/>
                <w:szCs w:val="20"/>
                <w:color w:val="auto"/>
              </w:rPr>
            </w:pPr>
            <w:r>
              <w:rPr>
                <w:rFonts w:ascii="Arial" w:cs="Arial" w:eastAsia="Arial" w:hAnsi="Arial"/>
                <w:sz w:val="18"/>
                <w:szCs w:val="18"/>
                <w:color w:val="auto"/>
              </w:rPr>
              <w:t>5.0 %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Supplemental cash flow information related to leases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209"/>
        </w:trPr>
        <w:tc>
          <w:tcPr>
            <w:tcW w:w="57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r>
      <w:tr>
        <w:trPr>
          <w:trHeight w:val="211"/>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cash paid for amounts included in the measurement of lease liabilities: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8"/>
        </w:trPr>
        <w:tc>
          <w:tcPr>
            <w:tcW w:w="578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120" w:type="dxa"/>
            <w:vAlign w:val="bottom"/>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13,357</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329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2,359</w:t>
            </w:r>
          </w:p>
        </w:tc>
        <w:tc>
          <w:tcPr>
            <w:tcW w:w="40" w:type="dxa"/>
            <w:vAlign w:val="bottom"/>
          </w:tcPr>
          <w:p>
            <w:pPr>
              <w:spacing w:after="0"/>
              <w:rPr>
                <w:sz w:val="19"/>
                <w:szCs w:val="19"/>
                <w:color w:val="auto"/>
              </w:rPr>
            </w:pPr>
          </w:p>
        </w:tc>
      </w:tr>
      <w:tr>
        <w:trPr>
          <w:trHeight w:val="228"/>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Right-of-use assets obtained in exchange for new operating lease liabilities</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5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66,881</w:t>
            </w:r>
          </w:p>
        </w:tc>
        <w:tc>
          <w:tcPr>
            <w:tcW w:w="40" w:type="dxa"/>
            <w:vAlign w:val="bottom"/>
            <w:shd w:val="clear" w:color="auto" w:fill="CCEEFF"/>
          </w:tcPr>
          <w:p>
            <w:pPr>
              <w:spacing w:after="0"/>
              <w:rPr>
                <w:sz w:val="19"/>
                <w:szCs w:val="19"/>
                <w:color w:val="auto"/>
              </w:rPr>
            </w:pPr>
          </w:p>
        </w:tc>
      </w:tr>
      <w:tr>
        <w:trPr>
          <w:trHeight w:val="659"/>
        </w:trPr>
        <w:tc>
          <w:tcPr>
            <w:tcW w:w="6900" w:type="dxa"/>
            <w:vAlign w:val="bottom"/>
            <w:gridSpan w:val="2"/>
          </w:tcPr>
          <w:p>
            <w:pPr>
              <w:ind w:left="340"/>
              <w:spacing w:after="0"/>
              <w:rPr>
                <w:sz w:val="20"/>
                <w:szCs w:val="20"/>
                <w:color w:val="auto"/>
              </w:rPr>
            </w:pPr>
            <w:r>
              <w:rPr>
                <w:rFonts w:ascii="Arial" w:cs="Arial" w:eastAsia="Arial" w:hAnsi="Arial"/>
                <w:sz w:val="18"/>
                <w:szCs w:val="18"/>
                <w:color w:val="auto"/>
                <w:w w:val="98"/>
              </w:rPr>
              <w:t xml:space="preserve">Maturities of lease liabilities as of December 31, 2022 are as follows </w:t>
            </w:r>
            <w:r>
              <w:rPr>
                <w:rFonts w:ascii="Arial" w:cs="Arial" w:eastAsia="Arial" w:hAnsi="Arial"/>
                <w:sz w:val="18"/>
                <w:szCs w:val="18"/>
                <w:i w:val="1"/>
                <w:iCs w:val="1"/>
                <w:color w:val="auto"/>
                <w:w w:val="98"/>
              </w:rPr>
              <w:t>(in thousands)</w:t>
            </w:r>
            <w:r>
              <w:rPr>
                <w:rFonts w:ascii="Arial" w:cs="Arial" w:eastAsia="Arial" w:hAnsi="Arial"/>
                <w:sz w:val="18"/>
                <w:szCs w:val="18"/>
                <w:color w:val="auto"/>
                <w:w w:val="98"/>
              </w:rPr>
              <w:t>:</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5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r>
      <w:tr>
        <w:trPr>
          <w:trHeight w:val="25"/>
        </w:trPr>
        <w:tc>
          <w:tcPr>
            <w:tcW w:w="57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2023</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40" w:type="dxa"/>
            <w:vAlign w:val="bottom"/>
          </w:tcPr>
          <w:p>
            <w:pPr>
              <w:spacing w:after="0"/>
              <w:rPr>
                <w:sz w:val="19"/>
                <w:szCs w:val="19"/>
                <w:color w:val="auto"/>
              </w:rPr>
            </w:pPr>
          </w:p>
        </w:tc>
      </w:tr>
      <w:tr>
        <w:trPr>
          <w:trHeight w:val="228"/>
        </w:trPr>
        <w:tc>
          <w:tcPr>
            <w:tcW w:w="5780" w:type="dxa"/>
            <w:vAlign w:val="bottom"/>
          </w:tcPr>
          <w:p>
            <w:pPr>
              <w:ind w:left="20"/>
              <w:spacing w:after="0"/>
              <w:rPr>
                <w:sz w:val="20"/>
                <w:szCs w:val="20"/>
                <w:color w:val="auto"/>
              </w:rPr>
            </w:pPr>
            <w:r>
              <w:rPr>
                <w:rFonts w:ascii="Arial" w:cs="Arial" w:eastAsia="Arial" w:hAnsi="Arial"/>
                <w:sz w:val="18"/>
                <w:szCs w:val="18"/>
                <w:color w:val="auto"/>
              </w:rPr>
              <w:t>Year ending December 31, 2024</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11,686</w:t>
            </w:r>
          </w:p>
        </w:tc>
        <w:tc>
          <w:tcPr>
            <w:tcW w:w="40" w:type="dxa"/>
            <w:vAlign w:val="bottom"/>
          </w:tcPr>
          <w:p>
            <w:pPr>
              <w:spacing w:after="0"/>
              <w:rPr>
                <w:sz w:val="19"/>
                <w:szCs w:val="19"/>
                <w:color w:val="auto"/>
              </w:rPr>
            </w:pPr>
          </w:p>
        </w:tc>
      </w:tr>
      <w:tr>
        <w:trPr>
          <w:trHeight w:val="228"/>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2025</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40" w:type="dxa"/>
            <w:vAlign w:val="bottom"/>
          </w:tcPr>
          <w:p>
            <w:pPr>
              <w:spacing w:after="0"/>
              <w:rPr>
                <w:sz w:val="19"/>
                <w:szCs w:val="19"/>
                <w:color w:val="auto"/>
              </w:rPr>
            </w:pPr>
          </w:p>
        </w:tc>
      </w:tr>
      <w:tr>
        <w:trPr>
          <w:trHeight w:val="228"/>
        </w:trPr>
        <w:tc>
          <w:tcPr>
            <w:tcW w:w="5780" w:type="dxa"/>
            <w:vAlign w:val="bottom"/>
          </w:tcPr>
          <w:p>
            <w:pPr>
              <w:ind w:left="20"/>
              <w:spacing w:after="0"/>
              <w:rPr>
                <w:sz w:val="20"/>
                <w:szCs w:val="20"/>
                <w:color w:val="auto"/>
              </w:rPr>
            </w:pPr>
            <w:r>
              <w:rPr>
                <w:rFonts w:ascii="Arial" w:cs="Arial" w:eastAsia="Arial" w:hAnsi="Arial"/>
                <w:sz w:val="18"/>
                <w:szCs w:val="18"/>
                <w:color w:val="auto"/>
              </w:rPr>
              <w:t>Year ending December 31, 2026</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9,945</w:t>
            </w:r>
          </w:p>
        </w:tc>
        <w:tc>
          <w:tcPr>
            <w:tcW w:w="40" w:type="dxa"/>
            <w:vAlign w:val="bottom"/>
          </w:tcPr>
          <w:p>
            <w:pPr>
              <w:spacing w:after="0"/>
              <w:rPr>
                <w:sz w:val="19"/>
                <w:szCs w:val="19"/>
                <w:color w:val="auto"/>
              </w:rPr>
            </w:pPr>
          </w:p>
        </w:tc>
      </w:tr>
      <w:tr>
        <w:trPr>
          <w:trHeight w:val="228"/>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2027</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40" w:type="dxa"/>
            <w:vAlign w:val="bottom"/>
          </w:tcPr>
          <w:p>
            <w:pPr>
              <w:spacing w:after="0"/>
              <w:rPr>
                <w:sz w:val="19"/>
                <w:szCs w:val="19"/>
                <w:color w:val="auto"/>
              </w:rPr>
            </w:pPr>
          </w:p>
        </w:tc>
      </w:tr>
      <w:tr>
        <w:trPr>
          <w:trHeight w:val="228"/>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79,498</w:t>
            </w:r>
          </w:p>
        </w:tc>
        <w:tc>
          <w:tcPr>
            <w:tcW w:w="40" w:type="dxa"/>
            <w:vAlign w:val="bottom"/>
          </w:tcPr>
          <w:p>
            <w:pPr>
              <w:spacing w:after="0"/>
              <w:rPr>
                <w:sz w:val="19"/>
                <w:szCs w:val="19"/>
                <w:color w:val="auto"/>
              </w:rPr>
            </w:pPr>
          </w:p>
        </w:tc>
      </w:tr>
      <w:tr>
        <w:trPr>
          <w:trHeight w:val="22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payments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132,556</w:t>
            </w:r>
          </w:p>
        </w:tc>
        <w:tc>
          <w:tcPr>
            <w:tcW w:w="40" w:type="dxa"/>
            <w:vAlign w:val="bottom"/>
          </w:tcPr>
          <w:p>
            <w:pPr>
              <w:spacing w:after="0"/>
              <w:rPr>
                <w:sz w:val="19"/>
                <w:szCs w:val="19"/>
                <w:color w:val="auto"/>
              </w:rPr>
            </w:pPr>
          </w:p>
        </w:tc>
      </w:tr>
      <w:tr>
        <w:trPr>
          <w:trHeight w:val="228"/>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35,811</w:t>
            </w:r>
          </w:p>
        </w:tc>
        <w:tc>
          <w:tcPr>
            <w:tcW w:w="40" w:type="dxa"/>
            <w:vAlign w:val="bottom"/>
          </w:tcPr>
          <w:p>
            <w:pPr>
              <w:spacing w:after="0"/>
              <w:rPr>
                <w:sz w:val="19"/>
                <w:szCs w:val="19"/>
                <w:color w:val="auto"/>
              </w:rPr>
            </w:pPr>
          </w:p>
        </w:tc>
      </w:tr>
      <w:tr>
        <w:trPr>
          <w:trHeight w:val="229"/>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Present value of lease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96,745</w:t>
            </w:r>
          </w:p>
        </w:tc>
        <w:tc>
          <w:tcPr>
            <w:tcW w:w="40" w:type="dxa"/>
            <w:vAlign w:val="bottom"/>
          </w:tcPr>
          <w:p>
            <w:pPr>
              <w:spacing w:after="0"/>
              <w:rPr>
                <w:sz w:val="19"/>
                <w:szCs w:val="19"/>
                <w:color w:val="auto"/>
              </w:rPr>
            </w:pPr>
          </w:p>
        </w:tc>
      </w:tr>
    </w:tbl>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9—Assets and Liabilities Held for Sale for leases classified as held for sale during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13—SHAREHOLDERS' EQUITY</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(loss)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00" w:type="dxa"/>
            <w:vAlign w:val="bottom"/>
          </w:tcPr>
          <w:p>
            <w:pPr>
              <w:jc w:val="right"/>
              <w:ind w:right="176"/>
              <w:spacing w:after="0"/>
              <w:rPr>
                <w:sz w:val="20"/>
                <w:szCs w:val="20"/>
                <w:color w:val="auto"/>
              </w:rPr>
            </w:pPr>
            <w:r>
              <w:rPr>
                <w:rFonts w:ascii="Arial" w:cs="Arial" w:eastAsia="Arial" w:hAnsi="Arial"/>
                <w:sz w:val="14"/>
                <w:szCs w:val="14"/>
                <w:b w:val="1"/>
                <w:bCs w:val="1"/>
                <w:color w:val="auto"/>
                <w:w w:val="94"/>
              </w:rPr>
              <w:t>Year Ended December 31,</w:t>
            </w:r>
          </w:p>
        </w:tc>
        <w:tc>
          <w:tcPr>
            <w:tcW w:w="110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9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12,793</w:t>
            </w:r>
          </w:p>
        </w:tc>
        <w:tc>
          <w:tcPr>
            <w:tcW w:w="19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13,199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56"/>
              <w:spacing w:after="0"/>
              <w:rPr>
                <w:sz w:val="20"/>
                <w:szCs w:val="20"/>
                <w:color w:val="auto"/>
              </w:rPr>
            </w:pPr>
            <w:r>
              <w:rPr>
                <w:rFonts w:ascii="Arial" w:cs="Arial" w:eastAsia="Arial" w:hAnsi="Arial"/>
                <w:sz w:val="18"/>
                <w:szCs w:val="18"/>
                <w:color w:val="auto"/>
              </w:rPr>
              <w:t>407</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89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12,793</w:t>
            </w:r>
          </w:p>
        </w:tc>
        <w:tc>
          <w:tcPr>
            <w:tcW w:w="190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13,695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13,007</w:t>
            </w:r>
          </w:p>
        </w:tc>
      </w:tr>
    </w:tbl>
    <w:p>
      <w:pPr>
        <w:spacing w:after="0" w:line="187"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For the year ended December 31, 2022, the Company had a loss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year ended December 31, 2022 because their inclusion would have been anti-dilutive. For the year ended December 31, 2022 the weighted average shares that were anti-dilutive included options to purchase 1.0 million shares of common stock and 0.4 million restricted stock units.</w:t>
      </w:r>
    </w:p>
    <w:p>
      <w:pPr>
        <w:spacing w:after="0" w:line="8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For the year ended December 31, 2021, the weighted average shares that were anti-dilutive, and therefore excluded from the calculation of diluted income per share, included options to purchase 0.9 million shares of common stock and 0.1 million restricted stock units.</w:t>
      </w:r>
    </w:p>
    <w:p>
      <w:pPr>
        <w:spacing w:after="0" w:line="63"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For the year ended December 31, 2020, the Company had a loss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1.1 million shares related to potentially dilutive securities were excluded from the calculation of diluted loss per share for the year ended December 31, 2020 because their inclusion would have been anti-dilutive. For the year ended December 31, 2020 the weighted average shares that were anti-dilutive included options to purchase 0.2 million shares of common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 xml:space="preserve">The convertible notes and the warrants issued by the Company could be converted into the Company’s common stock, subject to certain contingencies. </w:t>
      </w:r>
      <w:r>
        <w:rPr>
          <w:rFonts w:ascii="Arial" w:cs="Arial" w:eastAsia="Arial" w:hAnsi="Arial"/>
          <w:sz w:val="18"/>
          <w:szCs w:val="18"/>
          <w:i w:val="1"/>
          <w:iCs w:val="1"/>
          <w:color w:val="auto"/>
        </w:rPr>
        <w:t xml:space="preserve">See </w:t>
      </w:r>
      <w:r>
        <w:rPr>
          <w:rFonts w:ascii="Arial" w:cs="Arial" w:eastAsia="Arial" w:hAnsi="Arial"/>
          <w:sz w:val="18"/>
          <w:szCs w:val="18"/>
          <w:color w:val="auto"/>
        </w:rPr>
        <w:t>Note 16—Debt for additional information. On January 1, 2022, the Company adopted ASU 2020-06 using the modified retrospective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Following the adoption, the if-converted method is used for diluted net income per share calculation of our convertible notes. Prior to the adoption of ASU 2020-06 the dilutive impact of the convertible notes was calculated using the treasury stock method.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w:t>
      </w:r>
    </w:p>
    <w:p>
      <w:pPr>
        <w:spacing w:after="0" w:line="83"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Approximately 2.1 million shares related to the potentially dilutive shares of the Company's common stock associated with the 0.50% Convertible Senior Notes due July 15, 2025 and the 0.625% Convertible Senior Notes due June 1, 2022 were excluded from the calculation of diluted loss per share for the years ended December 31, 2022 and 2020 because their inclusion would have been anti-dilutive and were excluded from diluted income per share for the year ended December 31, 2021 since the conversion price of the Notes was greater than the average market price of the Company's common stock during the period. Shares of the Company's stock associated with warrants issued by the Company in 2017 and 2020 were excluded from the calculation of diluted (loss) income per share for the years ended December 31, 2022 and 2020 because their inclusion would have been anti-dilutive and were excluded for the year ended December 31, 2021 since the strike price of the warrants was greater than the average market price of the Company's common stock during the relevant periods.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2021, the Company implemented an employee stock purchase plan, which did not have a material impact to the calculation of diluted shares.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14—Stock-Based Compensation for a full description of outstanding equity awards.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1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In each of February 2018 and February 2019, the board of directors authorized and the Company announced the repurchase of up to $100.0 million and $150.0 million, respectively, of LendingTree's common stock. During the years ended December 31, 2022 and 2021, the Company purchased 379,895 and 334,253 shares, respectively, of its common stock for aggregate consideration of $43.0 million and $40.0 million, respectively. The Company did not purchase shares of its common stock during the year ended December 31, 2020. At December 31, 2022, $96.7 million remains authorized for share repurchase.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w:t>
      </w:r>
    </w:p>
    <w:p>
      <w:pPr>
        <w:spacing w:after="0" w:line="119"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7"/>
          <w:szCs w:val="17"/>
          <w:color w:val="auto"/>
        </w:rPr>
        <w:t>The Company currently has one active plan, the Seventh Amended and Restated LendingTree 2008 Stock Plan (the “Equity Award Plan”), under which future awards may be granted, which currently covers outstanding stock options to acquire shares of the Company's common stock, restricted stock, restricted stock with performance conditions, RSUs and RSUs with performance conditions, and provides for the future grants of these and other equity awards. Under the Equity Award Plan, the Company is authorized to grant stock options, restricted stock, RSUs, and other equity-based awards for up to 6.7 million shares of LendingTree common stock to employees, and to non-employee consultants and directors.</w:t>
      </w:r>
    </w:p>
    <w:p>
      <w:pPr>
        <w:spacing w:after="0" w:line="67"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The Equity Award Plan has a stated term of ten years and provides that the exercise price of stock options granted will not be less than the market price of the common stock on the grant date. The Equity Award Plan does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(loss)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4"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228"/>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28"/>
        </w:trPr>
        <w:tc>
          <w:tcPr>
            <w:tcW w:w="7540" w:type="dxa"/>
            <w:vAlign w:val="bottom"/>
          </w:tcPr>
          <w:p>
            <w:pPr>
              <w:ind w:left="2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8,282</w:t>
            </w:r>
          </w:p>
        </w:tc>
        <w:tc>
          <w:tcPr>
            <w:tcW w:w="3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7,480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6,240</w:t>
            </w:r>
          </w:p>
        </w:tc>
      </w:tr>
      <w:tr>
        <w:trPr>
          <w:trHeight w:val="228"/>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40,233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50,989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39,650</w:t>
            </w:r>
          </w:p>
        </w:tc>
      </w:tr>
      <w:tr>
        <w:trPr>
          <w:trHeight w:val="228"/>
        </w:trPr>
        <w:tc>
          <w:tcPr>
            <w:tcW w:w="75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8,418</w:t>
            </w:r>
          </w:p>
        </w:tc>
        <w:tc>
          <w:tcPr>
            <w:tcW w:w="3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8,447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6,524</w:t>
            </w:r>
          </w:p>
        </w:tc>
      </w:tr>
      <w:tr>
        <w:trPr>
          <w:trHeight w:val="228"/>
        </w:trPr>
        <w:tc>
          <w:tcPr>
            <w:tcW w:w="7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1,083</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59,624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68,555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53,733</w:t>
            </w:r>
          </w:p>
        </w:tc>
      </w:tr>
    </w:tbl>
    <w:p>
      <w:pPr>
        <w:spacing w:after="0" w:line="18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 xml:space="preserve">For the years ended December 31, 2022, 2021, and 2020, the Company recognized $12.0 million, $14.1 million, and $11.4 million, respectively, of income tax benefit, including state taxes, related to non-cash compensation. Additionally, for the year ended December 31, 2022, the Company recognized excess tax expense of $5.1 million, and for the years ended December 31, 2021, and 2020, the Company recognized excess tax benefit of $11.7 million, and $2.5 million, respectively, including state taxes, in income tax expense.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 regarding excess tax benefits and deficiencies.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restart"/>
          </w:tcPr>
          <w:p>
            <w:pPr>
              <w:jc w:val="center"/>
              <w:ind w:right="358"/>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2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358"/>
              <w:spacing w:after="0" w:line="148"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ind w:right="44"/>
              <w:spacing w:after="0" w:line="148"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Options</w:t>
            </w:r>
          </w:p>
        </w:tc>
        <w:tc>
          <w:tcPr>
            <w:tcW w:w="300" w:type="dxa"/>
            <w:vAlign w:val="bottom"/>
          </w:tcPr>
          <w:p>
            <w:pPr>
              <w:spacing w:after="0"/>
              <w:rPr>
                <w:sz w:val="12"/>
                <w:szCs w:val="12"/>
                <w:color w:val="auto"/>
              </w:rPr>
            </w:pPr>
          </w:p>
        </w:tc>
        <w:tc>
          <w:tcPr>
            <w:tcW w:w="1380" w:type="dxa"/>
            <w:vAlign w:val="bottom"/>
          </w:tcPr>
          <w:p>
            <w:pPr>
              <w:jc w:val="center"/>
              <w:ind w:right="338"/>
              <w:spacing w:after="0" w:line="148"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ind w:right="64"/>
              <w:spacing w:after="0" w:line="148"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40" w:type="dxa"/>
            <w:vAlign w:val="bottom"/>
          </w:tcPr>
          <w:p>
            <w:pPr>
              <w:jc w:val="center"/>
              <w:ind w:right="122"/>
              <w:spacing w:after="0" w:line="148"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02"/>
        </w:trPr>
        <w:tc>
          <w:tcPr>
            <w:tcW w:w="520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line="201" w:lineRule="exact"/>
              <w:rPr>
                <w:sz w:val="20"/>
                <w:szCs w:val="20"/>
                <w:color w:val="auto"/>
              </w:rPr>
            </w:pPr>
            <w:r>
              <w:rPr>
                <w:rFonts w:ascii="Arial" w:cs="Arial" w:eastAsia="Arial" w:hAnsi="Arial"/>
                <w:sz w:val="14"/>
                <w:szCs w:val="14"/>
                <w:b w:val="1"/>
                <w:bCs w:val="1"/>
                <w:color w:val="auto"/>
                <w:w w:val="84"/>
              </w:rPr>
              <w:t>Value</w:t>
            </w:r>
            <w:r>
              <w:rPr>
                <w:rFonts w:ascii="Arial" w:cs="Arial" w:eastAsia="Arial" w:hAnsi="Arial"/>
                <w:sz w:val="18"/>
                <w:szCs w:val="18"/>
                <w:b w:val="1"/>
                <w:bCs w:val="1"/>
                <w:color w:val="auto"/>
                <w:w w:val="84"/>
                <w:vertAlign w:val="superscript"/>
              </w:rPr>
              <w:t>(a)</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right="358"/>
              <w:spacing w:after="0"/>
              <w:rPr>
                <w:sz w:val="20"/>
                <w:szCs w:val="20"/>
                <w:color w:val="auto"/>
              </w:rPr>
            </w:pPr>
            <w:r>
              <w:rPr>
                <w:rFonts w:ascii="Arial" w:cs="Arial" w:eastAsia="Arial" w:hAnsi="Arial"/>
                <w:sz w:val="14"/>
                <w:szCs w:val="14"/>
                <w:b w:val="1"/>
                <w:bCs w:val="1"/>
                <w:i w:val="1"/>
                <w:iCs w:val="1"/>
                <w:color w:val="auto"/>
                <w:w w:val="89"/>
              </w:rPr>
              <w:t>(per option)</w:t>
            </w:r>
          </w:p>
        </w:tc>
        <w:tc>
          <w:tcPr>
            <w:tcW w:w="140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7"/>
              </w:rPr>
              <w:t>(in thousands)</w:t>
            </w: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676,293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169.71</w:t>
            </w:r>
          </w:p>
        </w:tc>
        <w:tc>
          <w:tcPr>
            <w:tcW w:w="1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157,632</w:t>
            </w:r>
          </w:p>
        </w:tc>
        <w:tc>
          <w:tcPr>
            <w:tcW w:w="300" w:type="dxa"/>
            <w:vAlign w:val="bottom"/>
          </w:tcPr>
          <w:p>
            <w:pPr>
              <w:spacing w:after="0"/>
              <w:rPr>
                <w:sz w:val="19"/>
                <w:szCs w:val="19"/>
                <w:color w:val="auto"/>
              </w:rPr>
            </w:pPr>
          </w:p>
        </w:tc>
        <w:tc>
          <w:tcPr>
            <w:tcW w:w="1380" w:type="dxa"/>
            <w:vAlign w:val="bottom"/>
          </w:tcPr>
          <w:p>
            <w:pPr>
              <w:jc w:val="right"/>
              <w:ind w:right="178"/>
              <w:spacing w:after="0"/>
              <w:rPr>
                <w:sz w:val="20"/>
                <w:szCs w:val="20"/>
                <w:color w:val="auto"/>
              </w:rPr>
            </w:pPr>
            <w:r>
              <w:rPr>
                <w:rFonts w:ascii="Arial" w:cs="Arial" w:eastAsia="Arial" w:hAnsi="Arial"/>
                <w:sz w:val="18"/>
                <w:szCs w:val="18"/>
                <w:color w:val="auto"/>
              </w:rPr>
              <w:t>103.54</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(22,371)</w:t>
            </w:r>
          </w:p>
        </w:tc>
        <w:tc>
          <w:tcPr>
            <w:tcW w:w="300" w:type="dxa"/>
            <w:vAlign w:val="bottom"/>
          </w:tcPr>
          <w:p>
            <w:pPr>
              <w:spacing w:after="0"/>
              <w:rPr>
                <w:sz w:val="19"/>
                <w:szCs w:val="19"/>
                <w:color w:val="auto"/>
              </w:rPr>
            </w:pPr>
          </w:p>
        </w:tc>
        <w:tc>
          <w:tcPr>
            <w:tcW w:w="1380" w:type="dxa"/>
            <w:vAlign w:val="bottom"/>
          </w:tcPr>
          <w:p>
            <w:pPr>
              <w:jc w:val="right"/>
              <w:ind w:right="178"/>
              <w:spacing w:after="0"/>
              <w:rPr>
                <w:sz w:val="20"/>
                <w:szCs w:val="20"/>
                <w:color w:val="auto"/>
              </w:rPr>
            </w:pPr>
            <w:r>
              <w:rPr>
                <w:rFonts w:ascii="Arial" w:cs="Arial" w:eastAsia="Arial" w:hAnsi="Arial"/>
                <w:sz w:val="18"/>
                <w:szCs w:val="18"/>
                <w:color w:val="auto"/>
              </w:rPr>
              <w:t>204.46</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256.11</w:t>
            </w: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805,079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155.10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512,029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133.50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660" w:hanging="330"/>
        <w:spacing w:after="0" w:line="258" w:lineRule="auto"/>
        <w:tabs>
          <w:tab w:leader="none" w:pos="6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$21.33 on the last trading day of 2022 and the exercise price, multiplied by the number of shares covered by in-the-money options) that would have been received by the option holder had the option holder exercised these options on December 31, 2022. The intrinsic value changes based on the market value of the Company's common stock.</w:t>
      </w:r>
    </w:p>
    <w:p>
      <w:pPr>
        <w:spacing w:after="0" w:line="7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As of December 31, 2022, there was approximately $18.1 million of unrecognized compensation cost related to stock options. These costs are expected to be recognized over a weighted-average period of approximately 2.3 years.</w:t>
      </w:r>
    </w:p>
    <w:p>
      <w:pPr>
        <w:spacing w:after="0" w:line="63"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Upon exercise, the intrinsic value represents the pre-tax difference between the Company's closing stock price on the exercise date and the exercise price, multiplied by the number of stock options exercised. During the year ended December 31, 2022, there were no stock options exercised. During the years ended December 31, 2021 and 2020, the total intrinsic value of stock options that were exercised was $51.4 million and $6.8 million, respectively. As there were no options exercised for the year ended December 31, 2022, no cash was received from stock option exercises.</w:t>
      </w:r>
    </w:p>
    <w:p>
      <w:pPr>
        <w:spacing w:after="0" w:line="48"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During the years ended December 31, 2022, 2021, and 2020, the Company granted stock options with a weighted average grant date fair value per share of $53.21, $128.86, and $116.08, respectively, of which the vesting periods include (a) immediately upon grant, (b) earlier of one year from grant date and the Company's annual meeting of stockholders for 2023, (c) 33% over a period of three years from the grant date, (d) 25% over a period of four years from the grant date, and (e) certain grants to executive officers that vest over periods of up to six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except the December 2020 grant to the Chairman and Chief Executive Officer described below, was estimated using the Black-Scholes option pricing model, which requires the use of various key assumptions. The weighted average assumptions used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w w:val="94"/>
              </w:rPr>
              <w:t>Year Ended December 31,</w:t>
            </w:r>
          </w:p>
        </w:tc>
        <w:tc>
          <w:tcPr>
            <w:tcW w:w="1640" w:type="dxa"/>
            <w:vAlign w:val="bottom"/>
            <w:tcBorders>
              <w:bottom w:val="single" w:sz="8" w:color="auto"/>
            </w:tcBorders>
          </w:tcPr>
          <w:p>
            <w:pPr>
              <w:spacing w:after="0"/>
              <w:rPr>
                <w:sz w:val="18"/>
                <w:szCs w:val="18"/>
                <w:color w:val="auto"/>
              </w:rPr>
            </w:pPr>
          </w:p>
        </w:tc>
      </w:tr>
      <w:tr>
        <w:trPr>
          <w:trHeight w:val="209"/>
        </w:trPr>
        <w:tc>
          <w:tcPr>
            <w:tcW w:w="508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832"/>
              <w:spacing w:after="0"/>
              <w:rPr>
                <w:sz w:val="20"/>
                <w:szCs w:val="20"/>
                <w:color w:val="auto"/>
              </w:rPr>
            </w:pPr>
            <w:r>
              <w:rPr>
                <w:rFonts w:ascii="Arial" w:cs="Arial" w:eastAsia="Arial" w:hAnsi="Arial"/>
                <w:sz w:val="16"/>
                <w:szCs w:val="16"/>
                <w:b w:val="1"/>
                <w:bCs w:val="1"/>
                <w:color w:val="auto"/>
              </w:rPr>
              <w:t>2022</w:t>
            </w:r>
          </w:p>
        </w:tc>
        <w:tc>
          <w:tcPr>
            <w:tcW w:w="2420" w:type="dxa"/>
            <w:vAlign w:val="bottom"/>
            <w:tcBorders>
              <w:bottom w:val="single" w:sz="8" w:color="auto"/>
            </w:tcBorders>
          </w:tcPr>
          <w:p>
            <w:pPr>
              <w:jc w:val="right"/>
              <w:ind w:right="1193"/>
              <w:spacing w:after="0"/>
              <w:rPr>
                <w:sz w:val="20"/>
                <w:szCs w:val="20"/>
                <w:color w:val="auto"/>
              </w:rPr>
            </w:pPr>
            <w:r>
              <w:rPr>
                <w:rFonts w:ascii="Arial" w:cs="Arial" w:eastAsia="Arial" w:hAnsi="Arial"/>
                <w:sz w:val="16"/>
                <w:szCs w:val="16"/>
                <w:b w:val="1"/>
                <w:bCs w:val="1"/>
                <w:color w:val="auto"/>
              </w:rPr>
              <w:t>2021</w:t>
            </w:r>
          </w:p>
        </w:tc>
        <w:tc>
          <w:tcPr>
            <w:tcW w:w="164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2020</w:t>
            </w:r>
          </w:p>
        </w:tc>
      </w:tr>
      <w:tr>
        <w:trPr>
          <w:trHeight w:val="225"/>
        </w:trPr>
        <w:tc>
          <w:tcPr>
            <w:tcW w:w="50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5.00-6.00 years</w:t>
            </w:r>
          </w:p>
        </w:tc>
        <w:tc>
          <w:tcPr>
            <w:tcW w:w="24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5.00 - 6.00 years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5.00 - 6.25 years</w:t>
            </w:r>
          </w:p>
        </w:tc>
      </w:tr>
      <w:tr>
        <w:trPr>
          <w:trHeight w:val="228"/>
        </w:trPr>
        <w:tc>
          <w:tcPr>
            <w:tcW w:w="508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2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20" w:type="dxa"/>
            <w:vAlign w:val="bottom"/>
          </w:tcPr>
          <w:p>
            <w:pPr>
              <w:jc w:val="right"/>
              <w:ind w:right="393"/>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08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- 56%</w:t>
            </w:r>
          </w:p>
        </w:tc>
        <w:tc>
          <w:tcPr>
            <w:tcW w:w="24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53%- 59%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- 60%</w:t>
            </w:r>
          </w:p>
        </w:tc>
      </w:tr>
      <w:tr>
        <w:trPr>
          <w:trHeight w:val="228"/>
        </w:trPr>
        <w:tc>
          <w:tcPr>
            <w:tcW w:w="5080" w:type="dxa"/>
            <w:vAlign w:val="bottom"/>
            <w:tcBorders>
              <w:bottom w:val="single" w:sz="8" w:color="999999"/>
            </w:tcBorders>
          </w:tcPr>
          <w:p>
            <w:pPr>
              <w:ind w:left="20"/>
              <w:spacing w:after="0" w:line="229"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21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1.62% - 3.23%</w:t>
            </w:r>
          </w:p>
        </w:tc>
        <w:tc>
          <w:tcPr>
            <w:tcW w:w="2420" w:type="dxa"/>
            <w:vAlign w:val="bottom"/>
            <w:tcBorders>
              <w:bottom w:val="single" w:sz="8" w:color="999999"/>
            </w:tcBorders>
          </w:tcPr>
          <w:p>
            <w:pPr>
              <w:jc w:val="right"/>
              <w:ind w:right="353"/>
              <w:spacing w:after="0"/>
              <w:rPr>
                <w:sz w:val="20"/>
                <w:szCs w:val="20"/>
                <w:color w:val="auto"/>
              </w:rPr>
            </w:pPr>
            <w:r>
              <w:rPr>
                <w:rFonts w:ascii="Arial" w:cs="Arial" w:eastAsia="Arial" w:hAnsi="Arial"/>
                <w:sz w:val="18"/>
                <w:szCs w:val="18"/>
                <w:color w:val="auto"/>
              </w:rPr>
              <w:t>0.59%- 1.15%</w:t>
            </w:r>
          </w:p>
        </w:tc>
        <w:tc>
          <w:tcPr>
            <w:tcW w:w="16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0.33% - 0.96%</w:t>
            </w:r>
          </w:p>
        </w:tc>
      </w:tr>
    </w:tbl>
    <w:p>
      <w:pPr>
        <w:spacing w:after="0" w:line="187" w:lineRule="exact"/>
        <w:rPr>
          <w:sz w:val="20"/>
          <w:szCs w:val="20"/>
          <w:color w:val="auto"/>
        </w:rPr>
      </w:pPr>
    </w:p>
    <w:p>
      <w:pPr>
        <w:jc w:val="both"/>
        <w:ind w:left="660" w:hanging="330"/>
        <w:spacing w:after="0" w:line="262"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74" w:lineRule="exact"/>
        <w:rPr>
          <w:rFonts w:ascii="Arial" w:cs="Arial" w:eastAsia="Arial" w:hAnsi="Arial"/>
          <w:sz w:val="18"/>
          <w:szCs w:val="18"/>
          <w:color w:val="auto"/>
        </w:rPr>
      </w:pPr>
    </w:p>
    <w:p>
      <w:pPr>
        <w:ind w:left="660" w:right="20" w:hanging="330"/>
        <w:spacing w:after="0" w:line="275"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all stock options granted during the years ended December 31, 2022, 2021, and 2020, no dividends are expected to be paid over the contractual term of the stock options, resulting in a zero expected dividend rate.</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15" w:lineRule="exact"/>
        <w:rPr>
          <w:rFonts w:ascii="Arial" w:cs="Arial" w:eastAsia="Arial" w:hAnsi="Arial"/>
          <w:sz w:val="18"/>
          <w:szCs w:val="18"/>
          <w:color w:val="auto"/>
        </w:rPr>
      </w:pPr>
    </w:p>
    <w:p>
      <w:pPr>
        <w:ind w:left="660" w:right="20" w:hanging="330"/>
        <w:spacing w:after="0" w:line="275" w:lineRule="auto"/>
        <w:tabs>
          <w:tab w:leader="none" w:pos="6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6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In December 2020, the Company granted time-based stock options to its Chairman and Chief Executive Officer at a premium exercise price of $300, representing an approximate 25% premium over the closing market price of LendingTree's common stock on the date of grant. The net after-tax shares acquired through exercise of these stock options are subject to a two-year post-exercise holding requirement. For purposes of determining stock-based compensation expense, the grant date fair value per share of these time-based stock options was estimated using the Monte Carlo simulation model. The key assumptions used in the valuation are as follows:</w:t>
      </w:r>
    </w:p>
    <w:p>
      <w:pPr>
        <w:spacing w:after="0" w:line="83" w:lineRule="exact"/>
        <w:rPr>
          <w:sz w:val="20"/>
          <w:szCs w:val="20"/>
          <w:color w:val="auto"/>
        </w:rPr>
      </w:pPr>
    </w:p>
    <w:p>
      <w:pPr>
        <w:ind w:left="660" w:hanging="330"/>
        <w:spacing w:after="0" w:line="275"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average expected term of 6.90 years based on the midpoint between the first day that the stock options are both vested and in-the-money and the end of the contractual term.</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zero expected dividend rate as no dividends are expected to be paid over the contractual term of the stock options.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expected volatility rate of 52% based on the historical volatility of the Company's common stock.</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risk-free interest rate of 0.92% based on U.S. Treasury yields for notes with comparable expected terms as the awards, in effect at the grant date.</w:t>
      </w:r>
    </w:p>
    <w:p>
      <w:pPr>
        <w:spacing w:after="0" w:line="138" w:lineRule="exact"/>
        <w:rPr>
          <w:rFonts w:ascii="Arial" w:cs="Arial" w:eastAsia="Arial" w:hAnsi="Arial"/>
          <w:sz w:val="16"/>
          <w:szCs w:val="16"/>
          <w:color w:val="auto"/>
        </w:rPr>
      </w:pPr>
    </w:p>
    <w:p>
      <w:pPr>
        <w:ind w:left="660" w:hanging="330"/>
        <w:spacing w:after="0" w:line="275"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8.8% discount for the post-exercise holding requirement, calculated using the cost-of-carry method, the Chaffe protective put method, and the Finnerty model.</w:t>
      </w:r>
    </w:p>
    <w:p>
      <w:pPr>
        <w:spacing w:after="0" w:line="63"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During the years ended December 31, 2022, 2021 and 2020, the total grant date fair value of options vested was $9.2 million, $10.8 million and $5.8 million,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0" w:type="dxa"/>
            <w:vAlign w:val="bottom"/>
          </w:tcPr>
          <w:p>
            <w:pPr>
              <w:jc w:val="center"/>
              <w:ind w:right="64"/>
              <w:spacing w:after="0" w:line="144"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with Market</w:t>
            </w:r>
          </w:p>
        </w:tc>
        <w:tc>
          <w:tcPr>
            <w:tcW w:w="280" w:type="dxa"/>
            <w:vAlign w:val="bottom"/>
          </w:tcPr>
          <w:p>
            <w:pPr>
              <w:spacing w:after="0"/>
              <w:rPr>
                <w:sz w:val="12"/>
                <w:szCs w:val="12"/>
                <w:color w:val="auto"/>
              </w:rPr>
            </w:pPr>
          </w:p>
        </w:tc>
        <w:tc>
          <w:tcPr>
            <w:tcW w:w="1360" w:type="dxa"/>
            <w:vAlign w:val="bottom"/>
          </w:tcPr>
          <w:p>
            <w:pPr>
              <w:jc w:val="center"/>
              <w:ind w:right="338"/>
              <w:spacing w:after="0" w:line="148" w:lineRule="exact"/>
              <w:rPr>
                <w:sz w:val="20"/>
                <w:szCs w:val="20"/>
                <w:color w:val="auto"/>
              </w:rPr>
            </w:pPr>
            <w:r>
              <w:rPr>
                <w:rFonts w:ascii="Arial" w:cs="Arial" w:eastAsia="Arial" w:hAnsi="Arial"/>
                <w:sz w:val="14"/>
                <w:szCs w:val="14"/>
                <w:b w:val="1"/>
                <w:bCs w:val="1"/>
                <w:color w:val="auto"/>
                <w:w w:val="86"/>
              </w:rPr>
              <w:t>Exercise</w:t>
            </w:r>
          </w:p>
        </w:tc>
        <w:tc>
          <w:tcPr>
            <w:tcW w:w="1400" w:type="dxa"/>
            <w:vAlign w:val="bottom"/>
          </w:tcPr>
          <w:p>
            <w:pPr>
              <w:jc w:val="center"/>
              <w:ind w:right="64"/>
              <w:spacing w:after="0" w:line="148"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40" w:type="dxa"/>
            <w:vAlign w:val="bottom"/>
          </w:tcPr>
          <w:p>
            <w:pPr>
              <w:jc w:val="center"/>
              <w:ind w:right="122"/>
              <w:spacing w:after="0" w:line="148"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9"/>
                <w:szCs w:val="9"/>
                <w:b w:val="1"/>
                <w:bCs w:val="1"/>
                <w:color w:val="auto"/>
                <w:w w:val="95"/>
              </w:rPr>
              <w:t>(a)</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338"/>
              <w:spacing w:after="0"/>
              <w:rPr>
                <w:sz w:val="20"/>
                <w:szCs w:val="20"/>
                <w:color w:val="auto"/>
              </w:rPr>
            </w:pPr>
            <w:r>
              <w:rPr>
                <w:rFonts w:ascii="Arial" w:cs="Arial" w:eastAsia="Arial" w:hAnsi="Arial"/>
                <w:sz w:val="14"/>
                <w:szCs w:val="14"/>
                <w:b w:val="1"/>
                <w:bCs w:val="1"/>
                <w:i w:val="1"/>
                <w:iCs w:val="1"/>
                <w:color w:val="auto"/>
                <w:w w:val="89"/>
              </w:rPr>
              <w:t>(per option)</w:t>
            </w:r>
          </w:p>
        </w:tc>
        <w:tc>
          <w:tcPr>
            <w:tcW w:w="1400" w:type="dxa"/>
            <w:vAlign w:val="bottom"/>
          </w:tcPr>
          <w:p>
            <w:pPr>
              <w:jc w:val="center"/>
              <w:ind w:right="8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700,209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236.01</w:t>
            </w:r>
          </w:p>
        </w:tc>
        <w:tc>
          <w:tcPr>
            <w:tcW w:w="1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47,639</w:t>
            </w:r>
          </w:p>
        </w:tc>
        <w:tc>
          <w:tcPr>
            <w:tcW w:w="280" w:type="dxa"/>
            <w:vAlign w:val="bottom"/>
          </w:tcPr>
          <w:p>
            <w:pPr>
              <w:spacing w:after="0"/>
              <w:rPr>
                <w:sz w:val="19"/>
                <w:szCs w:val="19"/>
                <w:color w:val="auto"/>
              </w:rPr>
            </w:pPr>
          </w:p>
        </w:tc>
        <w:tc>
          <w:tcPr>
            <w:tcW w:w="1360" w:type="dxa"/>
            <w:vAlign w:val="bottom"/>
          </w:tcPr>
          <w:p>
            <w:pPr>
              <w:jc w:val="right"/>
              <w:ind w:right="178"/>
              <w:spacing w:after="0"/>
              <w:rPr>
                <w:sz w:val="20"/>
                <w:szCs w:val="20"/>
                <w:color w:val="auto"/>
              </w:rPr>
            </w:pPr>
            <w:r>
              <w:rPr>
                <w:rFonts w:ascii="Arial" w:cs="Arial" w:eastAsia="Arial" w:hAnsi="Arial"/>
                <w:sz w:val="18"/>
                <w:szCs w:val="18"/>
                <w:color w:val="auto"/>
              </w:rPr>
              <w:t>195.10</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(13,163)</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378.95</w:t>
            </w: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734,685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230.79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481,669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195.10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60" w:hanging="330"/>
        <w:spacing w:after="0" w:line="258" w:lineRule="auto"/>
        <w:tabs>
          <w:tab w:leader="none" w:pos="6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$21.33 on the last trading day of 2022 and the exercise price, multiplied by the number of shares covered by in-the-money options) that would have been received by the option holder had the option holder exercised these options on December 31, 2022. The intrinsic value changes based on the market value of the Company's common stock.</w:t>
      </w:r>
    </w:p>
    <w:p>
      <w:pPr>
        <w:spacing w:after="0" w:line="7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As of December 31, 2022, there was approximately $18.8 million of unrecognized compensation cost related to stock options with market conditions. These costs are expected to be recognized over a weighted-average period of approximately 2.7 years. For single cliff-vesting stock options with market conditions, the fair value will be recognized on a straight-line basis through each grant’s vest date, whether or not any of the total shareholder return targets are met. For graded-vesting stock options with market conditions, the fair value will be recognized using graded vesting expense attribution, whether or not any of the total shareholder return targets are met.</w:t>
      </w:r>
    </w:p>
    <w:p>
      <w:pPr>
        <w:spacing w:after="0" w:line="8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No stock options with market conditions were granted in 2021. During the year ended December 31, 2020, the Company granted stock options with a weighted-average grant date fair value per share of $142.54. The single cliff-vesting stock options granted during the year ended December 31, 2020 have a vest date of March 31, 2024. The graded-vesting stock options granted during the year ended December 31, 2020 have a vesting schedule with vesting dates of December 31, 2024, December 31, 2025 and December 31, 2026.</w:t>
      </w:r>
    </w:p>
    <w:p>
      <w:pPr>
        <w:spacing w:after="0" w:line="77"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For purposes of determining stock-based compensation expense, the weighted-average grant date fair value per share of the stock options with a market condition was estimated using the Monte Carlo simulation model, which requires the use of various key assumptions.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for single cliff-vesting stock options with a market condition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2760" w:type="dxa"/>
            <w:vAlign w:val="bottom"/>
          </w:tcPr>
          <w:p>
            <w:pPr>
              <w:jc w:val="right"/>
              <w:ind w:right="893"/>
              <w:spacing w:after="0"/>
              <w:rPr>
                <w:sz w:val="20"/>
                <w:szCs w:val="20"/>
                <w:color w:val="auto"/>
              </w:rPr>
            </w:pPr>
            <w:r>
              <w:rPr>
                <w:rFonts w:ascii="Arial" w:cs="Arial" w:eastAsia="Arial" w:hAnsi="Arial"/>
                <w:sz w:val="16"/>
                <w:szCs w:val="16"/>
                <w:b w:val="1"/>
                <w:bCs w:val="1"/>
                <w:color w:val="auto"/>
              </w:rPr>
              <w:t>Year Ended</w:t>
            </w:r>
          </w:p>
        </w:tc>
      </w:tr>
      <w:tr>
        <w:trPr>
          <w:trHeight w:val="212"/>
        </w:trPr>
        <w:tc>
          <w:tcPr>
            <w:tcW w:w="8480" w:type="dxa"/>
            <w:vAlign w:val="bottom"/>
            <w:tcBorders>
              <w:bottom w:val="single" w:sz="8" w:color="CCEEFF"/>
            </w:tcBorders>
          </w:tcPr>
          <w:p>
            <w:pPr>
              <w:spacing w:after="0"/>
              <w:rPr>
                <w:sz w:val="18"/>
                <w:szCs w:val="18"/>
                <w:color w:val="auto"/>
              </w:rPr>
            </w:pPr>
          </w:p>
        </w:tc>
        <w:tc>
          <w:tcPr>
            <w:tcW w:w="276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December 31, 2020</w:t>
            </w:r>
          </w:p>
        </w:tc>
      </w:tr>
      <w:tr>
        <w:trPr>
          <w:trHeight w:val="225"/>
        </w:trPr>
        <w:tc>
          <w:tcPr>
            <w:tcW w:w="84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years</w:t>
            </w:r>
          </w:p>
        </w:tc>
      </w:tr>
      <w:tr>
        <w:trPr>
          <w:trHeight w:val="228"/>
        </w:trPr>
        <w:tc>
          <w:tcPr>
            <w:tcW w:w="848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276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8"/>
        </w:trPr>
        <w:tc>
          <w:tcPr>
            <w:tcW w:w="848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8"/>
        </w:trPr>
        <w:tc>
          <w:tcPr>
            <w:tcW w:w="8480" w:type="dxa"/>
            <w:vAlign w:val="bottom"/>
            <w:tcBorders>
              <w:bottom w:val="single" w:sz="8" w:color="999999"/>
            </w:tcBorders>
          </w:tcPr>
          <w:p>
            <w:pPr>
              <w:ind w:left="20"/>
              <w:spacing w:after="0" w:line="229"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276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1.03 %</w:t>
            </w:r>
          </w:p>
        </w:tc>
      </w:tr>
    </w:tbl>
    <w:p>
      <w:pPr>
        <w:spacing w:after="0" w:line="174" w:lineRule="exact"/>
        <w:rPr>
          <w:sz w:val="20"/>
          <w:szCs w:val="20"/>
          <w:color w:val="auto"/>
        </w:rPr>
      </w:pPr>
    </w:p>
    <w:p>
      <w:pPr>
        <w:ind w:left="660" w:hanging="330"/>
        <w:spacing w:after="0" w:line="275"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weighted average time of vesting and the end of the contractual term.</w:t>
      </w:r>
    </w:p>
    <w:p>
      <w:pPr>
        <w:spacing w:after="0" w:line="63" w:lineRule="exact"/>
        <w:rPr>
          <w:rFonts w:ascii="Arial" w:cs="Arial" w:eastAsia="Arial" w:hAnsi="Arial"/>
          <w:sz w:val="18"/>
          <w:szCs w:val="18"/>
          <w:color w:val="auto"/>
        </w:rPr>
      </w:pPr>
    </w:p>
    <w:p>
      <w:pPr>
        <w:ind w:left="660" w:hanging="330"/>
        <w:spacing w:after="0" w:line="275"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during the years ended December 31, 2020, no dividends are expected to be paid over the contractual term of the stock options, resulting in a zero expected dividend rate.</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15" w:lineRule="exact"/>
        <w:rPr>
          <w:rFonts w:ascii="Arial" w:cs="Arial" w:eastAsia="Arial" w:hAnsi="Arial"/>
          <w:sz w:val="18"/>
          <w:szCs w:val="18"/>
          <w:color w:val="auto"/>
        </w:rPr>
      </w:pPr>
    </w:p>
    <w:p>
      <w:pPr>
        <w:ind w:left="660" w:right="20" w:hanging="330"/>
        <w:spacing w:after="0" w:line="275" w:lineRule="auto"/>
        <w:tabs>
          <w:tab w:leader="none" w:pos="6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In December 2020, the Company granted graded-vesting stock options with a market condition to its Chairman and Chief Executive Officer at a premium exercise price of $300, representing an approximate 25% premium over the closing market price of LendingTree's common stock on the date of grant. The net after-tax shares acquired through exercise of these stock options are subject to a two-year post-exercise holding requirement. The key assumptions used in the Monte Carlo simulation model to determine the grant date fair value per share of these graded-vesting stock options with a market condition are as follows:</w:t>
      </w:r>
    </w:p>
    <w:p>
      <w:pPr>
        <w:spacing w:after="0" w:line="83" w:lineRule="exact"/>
        <w:rPr>
          <w:sz w:val="20"/>
          <w:szCs w:val="20"/>
          <w:color w:val="auto"/>
        </w:rPr>
      </w:pPr>
    </w:p>
    <w:p>
      <w:pPr>
        <w:ind w:left="640" w:hanging="310"/>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average expected term of 7.54 years based on the midpoint between vesting and the end of the contractual term.</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zero expected dividend rate as no dividends are expected to be paid over the contractual term of the stock options.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expected volatility rate of 52% based on the historical volatility of the Company's common stock.</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risk-free interest rate of 0.92% based on U.S. Treasury yields for notes with comparable expected terms as the awards, in effect at the grant date.</w:t>
      </w:r>
    </w:p>
    <w:p>
      <w:pPr>
        <w:spacing w:after="0" w:line="138" w:lineRule="exact"/>
        <w:rPr>
          <w:rFonts w:ascii="Arial" w:cs="Arial" w:eastAsia="Arial" w:hAnsi="Arial"/>
          <w:sz w:val="16"/>
          <w:szCs w:val="16"/>
          <w:color w:val="auto"/>
        </w:rPr>
      </w:pPr>
    </w:p>
    <w:p>
      <w:pPr>
        <w:ind w:left="660" w:hanging="330"/>
        <w:spacing w:after="0" w:line="275"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8.8% discount for the post-exercise holding requirement, calculated using the cost-of-carry method, the Chaffe protective put method, and the Finnerty model.</w:t>
      </w:r>
    </w:p>
    <w:p>
      <w:pPr>
        <w:spacing w:after="0" w:line="63"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The single cliff-vesting stock options with a market condition granted in 2020 have a target number of shares that vest upon achieving a targeted total shareholder return performance of 81% stock price appreciation and a maximum of 31,940 shares for achieving superior performance. No shares will vest unless 41% of the targeted performance is achieved. The performance measurement period ends on March 31, 2024. The graded-vesting stock options with a market condition granted in 2020 have a target number of shares that vest upon achieving a targeted total shareholder return performance of 135% stock price appreciation and a maximum of 363,464 shares for achieving superior performance. No shares will vest unless 81% of the targeted performance is achieved. The performance measurement period ends on March 31, 2025.</w:t>
      </w:r>
    </w:p>
    <w:p>
      <w:pPr>
        <w:spacing w:after="0" w:line="68"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The stock options with a market condition granted in 2019 have a target number of shares that vest upon achieving a targeted total shareholder return performance of 81% stock price appreciation and a maximum of 27,132 shares for achieving superior performance. No shares will vest unless 41% of the targeted performance is achieved. The performance measurement period ends on March 31, 2023.</w:t>
      </w:r>
    </w:p>
    <w:p>
      <w:pPr>
        <w:spacing w:after="0" w:line="7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 performance measurement period for the stock options with market conditions granted in conjunction with the 2017 Chairman and Chief Executive Officer grants ended on September 30, 2022. The grants had a target number of shares of 434,030 that would vest upon achieving a targeted total shareholder return performance of 110% stock price appreciation and a maximum of 724,831 shares for achieving superior performance. No shares would vest unless 70% of the targeted performance is achieved. At September 30, 2022, an additional 47,639 shares were granted to reflect the actual total shareholder return performance above the target, as reflected in the table above.</w:t>
      </w:r>
    </w:p>
    <w:p>
      <w:pPr>
        <w:spacing w:after="0" w:line="83"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 performance measurement period for stock options with a market condition granted in 2018 ended on March 31, 2022. The grant had a target number of shares of 13,163 that would vest upon achieving a targeted total shareholder return performance of 81% stock price appreciation and a maximum of 21,982 shares for achieving superior performance. No shares would vest unless 41% of the targeted performance was achieved. At March 31, 2022, the target number of shares expired due to the actual total shareholder return performance not meeting the 41% of the targeted performance measure, as reflected in the table above.</w:t>
      </w:r>
    </w:p>
    <w:p>
      <w:pPr>
        <w:spacing w:after="0" w:line="8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For all stock options with market conditions, time-based service vesting conditions would also have to be satisfied in order for shares to become fully vested and no longer subject to forfeiture.</w:t>
      </w:r>
    </w:p>
    <w:p>
      <w:pPr>
        <w:spacing w:after="0" w:line="63" w:lineRule="exact"/>
        <w:rPr>
          <w:sz w:val="20"/>
          <w:szCs w:val="20"/>
          <w:color w:val="auto"/>
        </w:rPr>
      </w:pPr>
    </w:p>
    <w:p>
      <w:pPr>
        <w:jc w:val="both"/>
        <w:ind w:firstLine="323"/>
        <w:spacing w:after="0" w:line="339" w:lineRule="auto"/>
        <w:rPr>
          <w:sz w:val="20"/>
          <w:szCs w:val="20"/>
          <w:color w:val="auto"/>
        </w:rPr>
      </w:pPr>
      <w:r>
        <w:rPr>
          <w:rFonts w:ascii="Arial" w:cs="Arial" w:eastAsia="Arial" w:hAnsi="Arial"/>
          <w:sz w:val="16"/>
          <w:szCs w:val="16"/>
          <w:color w:val="auto"/>
        </w:rPr>
        <w:t>As of December 31, 2022, a maximum of 422,537 may be earned for achieving superior performance up to 167% of the remaining unvested target number of shares. As of December 31, 2022, no additional performance-based nonqualified stock options with a market condition had been earned.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RSUs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75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jc w:val="center"/>
              <w:ind w:right="18"/>
              <w:spacing w:after="0" w:line="132" w:lineRule="exact"/>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44"/>
        </w:trPr>
        <w:tc>
          <w:tcPr>
            <w:tcW w:w="7580" w:type="dxa"/>
            <w:vAlign w:val="bottom"/>
          </w:tcPr>
          <w:p>
            <w:pPr>
              <w:spacing w:after="0"/>
              <w:rPr>
                <w:sz w:val="12"/>
                <w:szCs w:val="12"/>
                <w:color w:val="auto"/>
              </w:rPr>
            </w:pPr>
          </w:p>
        </w:tc>
        <w:tc>
          <w:tcPr>
            <w:tcW w:w="18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Number of Units</w:t>
            </w:r>
          </w:p>
        </w:tc>
        <w:tc>
          <w:tcPr>
            <w:tcW w:w="180" w:type="dxa"/>
            <w:vAlign w:val="bottom"/>
          </w:tcPr>
          <w:p>
            <w:pPr>
              <w:spacing w:after="0"/>
              <w:rPr>
                <w:sz w:val="12"/>
                <w:szCs w:val="12"/>
                <w:color w:val="auto"/>
              </w:rPr>
            </w:pPr>
          </w:p>
        </w:tc>
        <w:tc>
          <w:tcPr>
            <w:tcW w:w="1660" w:type="dxa"/>
            <w:vAlign w:val="bottom"/>
          </w:tcPr>
          <w:p>
            <w:pPr>
              <w:jc w:val="center"/>
              <w:ind w:right="18"/>
              <w:spacing w:after="0" w:line="144"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ind w:right="18"/>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23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820" w:type="dxa"/>
            <w:vAlign w:val="bottom"/>
            <w:shd w:val="clear" w:color="auto" w:fill="CCEEFF"/>
          </w:tcPr>
          <w:p>
            <w:pPr>
              <w:jc w:val="center"/>
              <w:ind w:left="916"/>
              <w:spacing w:after="0"/>
              <w:rPr>
                <w:sz w:val="20"/>
                <w:szCs w:val="20"/>
                <w:color w:val="auto"/>
              </w:rPr>
            </w:pPr>
            <w:r>
              <w:rPr>
                <w:rFonts w:ascii="Arial" w:cs="Arial" w:eastAsia="Arial" w:hAnsi="Arial"/>
                <w:sz w:val="18"/>
                <w:szCs w:val="18"/>
                <w:b w:val="1"/>
                <w:bCs w:val="1"/>
                <w:color w:val="auto"/>
                <w:w w:val="89"/>
              </w:rPr>
              <w:t>308,068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226.55</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(a)</w:t>
            </w:r>
          </w:p>
        </w:tc>
        <w:tc>
          <w:tcPr>
            <w:tcW w:w="1820" w:type="dxa"/>
            <w:vAlign w:val="bottom"/>
          </w:tcPr>
          <w:p>
            <w:pPr>
              <w:jc w:val="center"/>
              <w:ind w:left="916"/>
              <w:spacing w:after="0"/>
              <w:rPr>
                <w:sz w:val="20"/>
                <w:szCs w:val="20"/>
                <w:color w:val="auto"/>
              </w:rPr>
            </w:pPr>
            <w:r>
              <w:rPr>
                <w:rFonts w:ascii="Arial" w:cs="Arial" w:eastAsia="Arial" w:hAnsi="Arial"/>
                <w:sz w:val="18"/>
                <w:szCs w:val="18"/>
                <w:color w:val="auto"/>
                <w:w w:val="89"/>
              </w:rPr>
              <w:t>422,820</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center"/>
              <w:ind w:left="916"/>
              <w:spacing w:after="0"/>
              <w:rPr>
                <w:sz w:val="20"/>
                <w:szCs w:val="20"/>
                <w:color w:val="auto"/>
              </w:rPr>
            </w:pPr>
            <w:r>
              <w:rPr>
                <w:rFonts w:ascii="Arial" w:cs="Arial" w:eastAsia="Arial" w:hAnsi="Arial"/>
                <w:sz w:val="18"/>
                <w:szCs w:val="18"/>
                <w:color w:val="auto"/>
                <w:w w:val="90"/>
              </w:rPr>
              <w:t>(139,652)</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w:t>
            </w:r>
          </w:p>
        </w:tc>
        <w:tc>
          <w:tcPr>
            <w:tcW w:w="0" w:type="dxa"/>
            <w:vAlign w:val="bottom"/>
          </w:tcPr>
          <w:p>
            <w:pPr>
              <w:spacing w:after="0"/>
              <w:rPr>
                <w:sz w:val="1"/>
                <w:szCs w:val="1"/>
                <w:color w:val="auto"/>
              </w:rPr>
            </w:pPr>
          </w:p>
        </w:tc>
      </w:tr>
      <w:tr>
        <w:trPr>
          <w:trHeight w:val="228"/>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center"/>
              <w:ind w:left="916"/>
              <w:spacing w:after="0"/>
              <w:rPr>
                <w:sz w:val="20"/>
                <w:szCs w:val="20"/>
                <w:color w:val="auto"/>
              </w:rPr>
            </w:pPr>
            <w:r>
              <w:rPr>
                <w:rFonts w:ascii="Arial" w:cs="Arial" w:eastAsia="Arial" w:hAnsi="Arial"/>
                <w:sz w:val="18"/>
                <w:szCs w:val="18"/>
                <w:color w:val="auto"/>
                <w:w w:val="90"/>
              </w:rPr>
              <w:t>(106,183)</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154.64</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2022</w:t>
            </w:r>
          </w:p>
        </w:tc>
        <w:tc>
          <w:tcPr>
            <w:tcW w:w="1820" w:type="dxa"/>
            <w:vAlign w:val="bottom"/>
            <w:tcBorders>
              <w:bottom w:val="single" w:sz="8" w:color="auto"/>
            </w:tcBorders>
            <w:shd w:val="clear" w:color="auto" w:fill="CCEEFF"/>
          </w:tcPr>
          <w:p>
            <w:pPr>
              <w:jc w:val="center"/>
              <w:ind w:left="916"/>
              <w:spacing w:after="0"/>
              <w:rPr>
                <w:sz w:val="20"/>
                <w:szCs w:val="20"/>
                <w:color w:val="auto"/>
              </w:rPr>
            </w:pPr>
            <w:r>
              <w:rPr>
                <w:rFonts w:ascii="Arial" w:cs="Arial" w:eastAsia="Arial" w:hAnsi="Arial"/>
                <w:sz w:val="18"/>
                <w:szCs w:val="18"/>
                <w:b w:val="1"/>
                <w:bCs w:val="1"/>
                <w:color w:val="auto"/>
                <w:w w:val="89"/>
              </w:rPr>
              <w:t>485,053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The grant date fair value per share of the RSUs is calculated as the closing market price of LendingTree's common stock at the time of grant.</w:t>
      </w:r>
    </w:p>
    <w:p>
      <w:pPr>
        <w:spacing w:after="0" w:line="12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As of December 31, 2022, there was approximately $39.0 million of unrecognized compensation cost related to RSUs. These costs are expected to be recognized over a weighted-average period of approximately 1.8 years.</w:t>
      </w:r>
    </w:p>
    <w:p>
      <w:pPr>
        <w:spacing w:after="0" w:line="6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total fair value of RSUs that vested during the years ended December 31, 2022, 2021, and 2020 was $11.5 million, $21.7 million and $22.4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RSUs with performance conditions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660" w:type="dxa"/>
            <w:vAlign w:val="bottom"/>
            <w:gridSpan w:val="3"/>
          </w:tcPr>
          <w:p>
            <w:pPr>
              <w:jc w:val="right"/>
              <w:ind w:right="65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80" w:type="dxa"/>
            <w:vAlign w:val="bottom"/>
          </w:tcPr>
          <w:p>
            <w:pPr>
              <w:spacing w:after="0"/>
              <w:rPr>
                <w:sz w:val="11"/>
                <w:szCs w:val="11"/>
                <w:color w:val="auto"/>
              </w:rPr>
            </w:pPr>
          </w:p>
        </w:tc>
        <w:tc>
          <w:tcPr>
            <w:tcW w:w="18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1"/>
                <w:szCs w:val="11"/>
                <w:color w:val="auto"/>
              </w:rPr>
            </w:pPr>
          </w:p>
        </w:tc>
        <w:tc>
          <w:tcPr>
            <w:tcW w:w="1620" w:type="dxa"/>
            <w:vAlign w:val="bottom"/>
          </w:tcPr>
          <w:p>
            <w:pPr>
              <w:jc w:val="center"/>
              <w:ind w:right="57"/>
              <w:spacing w:after="0" w:line="128"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2"/>
        </w:trPr>
        <w:tc>
          <w:tcPr>
            <w:tcW w:w="7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center"/>
              <w:ind w:right="5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23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8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16,000</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2022</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16,000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83.25</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RSUs with performance conditions were granted in 2021, or 2020.</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there was no unrecognized compensation cost related to RSUs with performance conditions.</w:t>
      </w:r>
    </w:p>
    <w:p>
      <w:pPr>
        <w:spacing w:after="0" w:line="115"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total fair value of RSUs with performance conditions that vested during the years ended December 31, 2021, and 2020 was $0.9 million and $2.6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Performance Conditions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No RSAs with performance conditions were granted in 2022, 2021, or 2020. During 2018, the Company granted time-vested RSAs with a performance condition to its Chairman and Chief Executive Officer, which vested through December 31, 2021. The terms of this award were fixed in compensation agreements in July 2017 with a total grant date fair value of $21.9 million. The performance condition was tied to the Company's operating results during the first six months of 2018, and has been met.</w:t>
      </w:r>
    </w:p>
    <w:p>
      <w:pPr>
        <w:spacing w:after="0" w:line="77"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The total fair value of RSAs with performance conditions that vested during the years ended December 31, 2021 and 2020 was $4.1 million and $6.2 million,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660" w:type="dxa"/>
            <w:vAlign w:val="bottom"/>
            <w:gridSpan w:val="3"/>
          </w:tcPr>
          <w:p>
            <w:pPr>
              <w:jc w:val="right"/>
              <w:ind w:right="81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7580" w:type="dxa"/>
            <w:vAlign w:val="bottom"/>
          </w:tcPr>
          <w:p>
            <w:pPr>
              <w:spacing w:after="0"/>
              <w:rPr>
                <w:sz w:val="11"/>
                <w:szCs w:val="11"/>
                <w:color w:val="auto"/>
              </w:rPr>
            </w:pPr>
          </w:p>
        </w:tc>
        <w:tc>
          <w:tcPr>
            <w:tcW w:w="18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Number of Awards</w:t>
            </w:r>
          </w:p>
        </w:tc>
        <w:tc>
          <w:tcPr>
            <w:tcW w:w="220" w:type="dxa"/>
            <w:vAlign w:val="bottom"/>
          </w:tcPr>
          <w:p>
            <w:pPr>
              <w:spacing w:after="0"/>
              <w:rPr>
                <w:sz w:val="11"/>
                <w:szCs w:val="11"/>
                <w:color w:val="auto"/>
              </w:rPr>
            </w:pPr>
          </w:p>
        </w:tc>
        <w:tc>
          <w:tcPr>
            <w:tcW w:w="1620" w:type="dxa"/>
            <w:vAlign w:val="bottom"/>
          </w:tcPr>
          <w:p>
            <w:pPr>
              <w:jc w:val="center"/>
              <w:ind w:right="57"/>
              <w:spacing w:after="0" w:line="132"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center"/>
              <w:ind w:right="57"/>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23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82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26,674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2,927</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28"/>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2022</w:t>
            </w:r>
          </w:p>
        </w:tc>
        <w:tc>
          <w:tcPr>
            <w:tcW w:w="1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323"/>
        <w:spacing w:after="0" w:line="262" w:lineRule="auto"/>
        <w:rPr>
          <w:sz w:val="20"/>
          <w:szCs w:val="20"/>
          <w:color w:val="auto"/>
        </w:rPr>
      </w:pPr>
      <w:r>
        <w:rPr>
          <w:rFonts w:ascii="Arial" w:cs="Arial" w:eastAsia="Arial" w:hAnsi="Arial"/>
          <w:sz w:val="18"/>
          <w:szCs w:val="18"/>
          <w:color w:val="auto"/>
        </w:rPr>
        <w:t>No RSAs with market conditions were granted in 2021 or 2020. During 2018, the Company granted RSAs with market conditions to its Chairman and Chief Executive Officer with a total grant date fair value of $1.9 million. The performance measurement period ended on September 30, 2022, and 29,601 shares were earned.</w:t>
      </w:r>
    </w:p>
    <w:p>
      <w:pPr>
        <w:spacing w:after="0" w:line="75"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The performance measurement period for restricted stock awards with market conditions granted in 2018 ended on September 30, 2022. The grant had a target number of shares of 26,674 that would vest upon achieving a targeted total shareholder return performance of 110% stock price appreciation and a maximum of 44,545 shares for achieving superior performance. No shares would vest unless 70% of the targeted performance was achieved. At September 30, 2022, an additional 2,927 were granted to reflect the actual total shareholder return performance above the target, as reflected in the table above.</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there was no unrecognized compensation cost related to RSAs with market conditions.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fair value of RSAs with market conditions that vested during the year ended December 31, 2022 was $0.7 million.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Stock Purchase Plan</w:t>
      </w:r>
    </w:p>
    <w:p>
      <w:pPr>
        <w:spacing w:after="0" w:line="11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During 2021, the Company implemented an employee stock purchase plan (“ESPP”), under which a total of 262,731 shares of the Company's common stock were reserved for issuance.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6-month periods ending on June 30 and December 31 of each year.</w:t>
      </w:r>
    </w:p>
    <w:p>
      <w:pPr>
        <w:spacing w:after="0" w:line="8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During the year ended December 31, 2022, 30,375 shares were purchased under the ESPP at a weighted average purchase price of $27.19 per share, resulting in cash proceeds of $0.8 million. During the year ended December 31, 2021, 5,543 shares were purchased under the ESPP at a weighted average purchase price of $103.62 per share, resulting in cash proceeds of $0.6 million. As of December 31, 2022 and 2021, 226,813 and 257,188 shares, respectively, were available for issuance under the ESPP.</w:t>
      </w:r>
    </w:p>
    <w:p>
      <w:pPr>
        <w:spacing w:after="0" w:line="77"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For the years ended December 31, 2022 and 2021, the Company granted Employee Stock Purchase Rights to certain employees with a weighted average grant date fair value per share of $20.96 and $42.39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114"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2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right"/>
              <w:ind w:right="952"/>
              <w:spacing w:after="0"/>
              <w:rPr>
                <w:sz w:val="20"/>
                <w:szCs w:val="20"/>
                <w:color w:val="auto"/>
              </w:rPr>
            </w:pPr>
            <w:r>
              <w:rPr>
                <w:rFonts w:ascii="Arial" w:cs="Arial" w:eastAsia="Arial" w:hAnsi="Arial"/>
                <w:sz w:val="16"/>
                <w:szCs w:val="16"/>
                <w:b w:val="1"/>
                <w:bCs w:val="1"/>
                <w:color w:val="auto"/>
              </w:rPr>
              <w:t>2022</w:t>
            </w: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22"/>
        </w:trPr>
        <w:tc>
          <w:tcPr>
            <w:tcW w:w="782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2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0.50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 years</w:t>
            </w:r>
          </w:p>
        </w:tc>
      </w:tr>
      <w:tr>
        <w:trPr>
          <w:trHeight w:val="228"/>
        </w:trPr>
        <w:tc>
          <w:tcPr>
            <w:tcW w:w="782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20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8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2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49% - 73%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8"/>
        </w:trPr>
        <w:tc>
          <w:tcPr>
            <w:tcW w:w="7820" w:type="dxa"/>
            <w:vAlign w:val="bottom"/>
            <w:tcBorders>
              <w:bottom w:val="single" w:sz="8" w:color="999999"/>
            </w:tcBorders>
          </w:tcPr>
          <w:p>
            <w:pPr>
              <w:ind w:left="20"/>
              <w:spacing w:after="0" w:line="229"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2060" w:type="dxa"/>
            <w:vAlign w:val="bottom"/>
            <w:tcBorders>
              <w:bottom w:val="single" w:sz="8" w:color="999999"/>
            </w:tcBorders>
          </w:tcPr>
          <w:p>
            <w:pPr>
              <w:jc w:val="right"/>
              <w:ind w:right="272"/>
              <w:spacing w:after="0"/>
              <w:rPr>
                <w:sz w:val="20"/>
                <w:szCs w:val="20"/>
                <w:color w:val="auto"/>
              </w:rPr>
            </w:pPr>
            <w:r>
              <w:rPr>
                <w:rFonts w:ascii="Arial" w:cs="Arial" w:eastAsia="Arial" w:hAnsi="Arial"/>
                <w:sz w:val="18"/>
                <w:szCs w:val="18"/>
                <w:color w:val="auto"/>
              </w:rPr>
              <w:t>0.19% - 2.51%</w:t>
            </w:r>
          </w:p>
        </w:tc>
        <w:tc>
          <w:tcPr>
            <w:tcW w:w="136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0.05%</w:t>
            </w:r>
          </w:p>
        </w:tc>
      </w:tr>
    </w:tbl>
    <w:p>
      <w:pPr>
        <w:spacing w:after="0" w:line="228" w:lineRule="exact"/>
        <w:rPr>
          <w:sz w:val="20"/>
          <w:szCs w:val="20"/>
          <w:color w:val="auto"/>
        </w:rPr>
      </w:pPr>
    </w:p>
    <w:p>
      <w:pPr>
        <w:ind w:left="640" w:hanging="310"/>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expected term was calculated using the time period between the grant date and the purchase date.</w:t>
      </w:r>
    </w:p>
    <w:p>
      <w:pPr>
        <w:spacing w:after="0" w:line="200" w:lineRule="exact"/>
        <w:rPr>
          <w:rFonts w:ascii="Arial" w:cs="Arial" w:eastAsia="Arial" w:hAnsi="Arial"/>
          <w:sz w:val="18"/>
          <w:szCs w:val="18"/>
          <w:color w:val="auto"/>
        </w:rPr>
      </w:pPr>
    </w:p>
    <w:p>
      <w:pPr>
        <w:spacing w:after="0" w:line="39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hanging="310"/>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dividends are expected to be paid, resulting in a zero expected dividend rate.</w:t>
      </w:r>
    </w:p>
    <w:p>
      <w:pPr>
        <w:spacing w:after="0" w:line="169" w:lineRule="exact"/>
        <w:rPr>
          <w:rFonts w:ascii="Arial" w:cs="Arial" w:eastAsia="Arial" w:hAnsi="Arial"/>
          <w:sz w:val="18"/>
          <w:szCs w:val="18"/>
          <w:color w:val="auto"/>
        </w:rPr>
      </w:pPr>
    </w:p>
    <w:p>
      <w:pPr>
        <w:ind w:left="640" w:hanging="310"/>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69" w:lineRule="exact"/>
        <w:rPr>
          <w:rFonts w:ascii="Arial" w:cs="Arial" w:eastAsia="Arial" w:hAnsi="Arial"/>
          <w:sz w:val="18"/>
          <w:szCs w:val="18"/>
          <w:color w:val="auto"/>
        </w:rPr>
      </w:pPr>
    </w:p>
    <w:p>
      <w:pPr>
        <w:ind w:left="660" w:right="20" w:hanging="330"/>
        <w:spacing w:after="0" w:line="275"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components of the income tax expense (benefit)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74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(10,705)</w:t>
            </w:r>
          </w:p>
        </w:tc>
      </w:tr>
      <w:tr>
        <w:trPr>
          <w:trHeight w:val="228"/>
        </w:trPr>
        <w:tc>
          <w:tcPr>
            <w:tcW w:w="7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262</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2"/>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Current income tax expense (benefit)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353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390</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(10,333)</w:t>
            </w:r>
          </w:p>
        </w:tc>
      </w:tr>
      <w:tr>
        <w:trPr>
          <w:trHeight w:val="22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74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98,772</w:t>
            </w:r>
          </w:p>
        </w:tc>
        <w:tc>
          <w:tcPr>
            <w:tcW w:w="3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9,912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(7,495)</w:t>
            </w:r>
          </w:p>
        </w:tc>
      </w:tr>
      <w:tr>
        <w:trPr>
          <w:trHeight w:val="228"/>
        </w:trPr>
        <w:tc>
          <w:tcPr>
            <w:tcW w:w="7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33,894</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996</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r>
      <w:tr>
        <w:trPr>
          <w:trHeight w:val="222"/>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income tax provision (benefit)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132,666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10,908</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(9,628)</w:t>
            </w:r>
          </w:p>
        </w:tc>
      </w:tr>
      <w:tr>
        <w:trPr>
          <w:trHeight w:val="229"/>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133,019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11,298</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(19,961)</w:t>
            </w:r>
          </w:p>
        </w:tc>
      </w:tr>
    </w:tbl>
    <w:p>
      <w:pPr>
        <w:spacing w:after="0" w:line="187"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 xml:space="preserve">A reconciliation of the income tax expense (benefit) to the amounts computed by applying the statutory federal income tax rate to income (loss) from continuing operations before income taxes is shown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17,731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r>
      <w:tr>
        <w:trPr>
          <w:trHeight w:val="228"/>
        </w:trPr>
        <w:tc>
          <w:tcPr>
            <w:tcW w:w="7400" w:type="dxa"/>
            <w:vAlign w:val="bottom"/>
          </w:tcPr>
          <w:p>
            <w:pPr>
              <w:ind w:left="20"/>
              <w:spacing w:after="0"/>
              <w:rPr>
                <w:sz w:val="20"/>
                <w:szCs w:val="20"/>
                <w:color w:val="auto"/>
              </w:rPr>
            </w:pPr>
            <w:r>
              <w:rPr>
                <w:rFonts w:ascii="Arial" w:cs="Arial" w:eastAsia="Arial" w:hAnsi="Arial"/>
                <w:sz w:val="18"/>
                <w:szCs w:val="18"/>
                <w:color w:val="auto"/>
              </w:rPr>
              <w:t>State income taxes, net</w:t>
            </w: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1,269</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deductions on non-cash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4,117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228"/>
        </w:trPr>
        <w:tc>
          <w:tcPr>
            <w:tcW w:w="7400" w:type="dxa"/>
            <w:vAlign w:val="bottom"/>
          </w:tcPr>
          <w:p>
            <w:pPr>
              <w:ind w:left="20"/>
              <w:spacing w:after="0"/>
              <w:rPr>
                <w:sz w:val="20"/>
                <w:szCs w:val="20"/>
                <w:color w:val="auto"/>
              </w:rPr>
            </w:pPr>
            <w:r>
              <w:rPr>
                <w:rFonts w:ascii="Arial" w:cs="Arial" w:eastAsia="Arial" w:hAnsi="Arial"/>
                <w:sz w:val="18"/>
                <w:szCs w:val="18"/>
                <w:color w:val="auto"/>
              </w:rPr>
              <w:t>Impact of the Coronavirus Aid, Relief, and Economic Security Act</w:t>
            </w: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(6,104)</w:t>
            </w: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experimentation tax credit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r>
      <w:tr>
        <w:trPr>
          <w:trHeight w:val="228"/>
        </w:trPr>
        <w:tc>
          <w:tcPr>
            <w:tcW w:w="7400" w:type="dxa"/>
            <w:vAlign w:val="bottom"/>
          </w:tcPr>
          <w:p>
            <w:pPr>
              <w:ind w:left="20"/>
              <w:spacing w:after="0"/>
              <w:rPr>
                <w:sz w:val="20"/>
                <w:szCs w:val="20"/>
                <w:color w:val="auto"/>
              </w:rPr>
            </w:pPr>
            <w:r>
              <w:rPr>
                <w:rFonts w:ascii="Arial" w:cs="Arial" w:eastAsia="Arial" w:hAnsi="Arial"/>
                <w:sz w:val="18"/>
                <w:szCs w:val="18"/>
                <w:color w:val="auto"/>
              </w:rPr>
              <w:t>Nondeductible executive compensation</w:t>
            </w: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2,692</w:t>
            </w:r>
          </w:p>
        </w:tc>
        <w:tc>
          <w:tcPr>
            <w:tcW w:w="3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3,058</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valuation allowance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139,374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28"/>
        </w:trPr>
        <w:tc>
          <w:tcPr>
            <w:tcW w:w="740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405</w:t>
            </w:r>
          </w:p>
        </w:tc>
        <w:tc>
          <w:tcPr>
            <w:tcW w:w="3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meals &amp; entertainment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8"/>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579</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133,019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11,298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19"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 xml:space="preserve">The tax effects of cumulative temporary differences that give rise to significant portions of the deferred tax assets and deferred tax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Provision for accrued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3,257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5,405</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25,213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27,419</w:t>
            </w:r>
          </w:p>
        </w:tc>
      </w:tr>
      <w:tr>
        <w:trPr>
          <w:trHeight w:val="228"/>
        </w:trPr>
        <w:tc>
          <w:tcPr>
            <w:tcW w:w="8260" w:type="dxa"/>
            <w:vAlign w:val="bottom"/>
          </w:tcPr>
          <w:p>
            <w:pPr>
              <w:ind w:left="140"/>
              <w:spacing w:after="0" w:line="229"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3"/>
                <w:szCs w:val="23"/>
                <w:color w:val="auto"/>
                <w:vertAlign w:val="superscript"/>
              </w:rPr>
              <w:t>(a)</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59,302</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66,977</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research and experimentation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17,843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30,451</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26,756</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10,240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15,222</w:t>
            </w: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30,054</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8,036</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16,174</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w:t>
            </w:r>
          </w:p>
        </w:tc>
      </w:tr>
      <w:tr>
        <w:trPr>
          <w:trHeight w:val="228"/>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104</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192,638</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166,742</w:t>
            </w:r>
          </w:p>
        </w:tc>
      </w:tr>
      <w:tr>
        <w:trPr>
          <w:trHeight w:val="228"/>
        </w:trPr>
        <w:tc>
          <w:tcPr>
            <w:tcW w:w="826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3"/>
                <w:szCs w:val="23"/>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(145,401)</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r>
      <w:tr>
        <w:trPr>
          <w:trHeight w:val="222"/>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 tax assets, net of the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47,237</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160,703</w:t>
            </w:r>
          </w:p>
        </w:tc>
      </w:tr>
      <w:tr>
        <w:trPr>
          <w:trHeight w:val="222"/>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(24,590)</w:t>
            </w:r>
          </w:p>
        </w:tc>
      </w:tr>
      <w:tr>
        <w:trPr>
          <w:trHeight w:val="228"/>
        </w:trPr>
        <w:tc>
          <w:tcPr>
            <w:tcW w:w="826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(6,227)</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(8,156)</w:t>
            </w:r>
          </w:p>
        </w:tc>
      </w:tr>
      <w:tr>
        <w:trPr>
          <w:trHeight w:val="228"/>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investment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(25,756)</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(25,608)</w:t>
            </w:r>
          </w:p>
        </w:tc>
      </w:tr>
      <w:tr>
        <w:trPr>
          <w:trHeight w:val="228"/>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22"/>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(54,020)</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(58,798)</w:t>
            </w:r>
          </w:p>
        </w:tc>
      </w:tr>
      <w:tr>
        <w:trPr>
          <w:trHeight w:val="229"/>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deferred taxes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(6,783)</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101,905</w:t>
            </w:r>
          </w:p>
        </w:tc>
      </w:tr>
    </w:tbl>
    <w:p>
      <w:pPr>
        <w:spacing w:after="0" w:line="187" w:lineRule="exact"/>
        <w:rPr>
          <w:sz w:val="20"/>
          <w:szCs w:val="20"/>
          <w:color w:val="auto"/>
        </w:rPr>
      </w:pPr>
    </w:p>
    <w:p>
      <w:pPr>
        <w:jc w:val="both"/>
        <w:ind w:left="660" w:hanging="330"/>
        <w:spacing w:after="0" w:line="258" w:lineRule="auto"/>
        <w:tabs>
          <w:tab w:leader="none" w:pos="657" w:val="left"/>
        </w:tabs>
        <w:numPr>
          <w:ilvl w:val="0"/>
          <w:numId w:val="40"/>
        </w:numPr>
        <w:rPr>
          <w:rFonts w:ascii="Arial" w:cs="Arial" w:eastAsia="Arial" w:hAnsi="Arial"/>
          <w:sz w:val="17"/>
          <w:szCs w:val="17"/>
          <w:b w:val="1"/>
          <w:bCs w:val="1"/>
          <w:color w:val="auto"/>
        </w:rPr>
      </w:pPr>
      <w:r>
        <w:rPr>
          <w:rFonts w:ascii="Arial" w:cs="Arial" w:eastAsia="Arial" w:hAnsi="Arial"/>
          <w:sz w:val="18"/>
          <w:szCs w:val="18"/>
          <w:color w:val="auto"/>
        </w:rPr>
        <w:t>At December 31, 2022, the Company had pre-tax consolidated federal net operating losses (“NOLs”) of $187.9 million. The federal NOLs no longer expire under the new TCJA. The Company's NOLs will be available to offset taxable income subject to the Internal Revenue Code Section 382 annual limitation. In addition, the Company has state NOLs of approximately $517.0 million at December 31, 2022 a portion of which will expire at various times between 2023 and 2042.</w:t>
      </w:r>
    </w:p>
    <w:p>
      <w:pPr>
        <w:spacing w:after="0" w:line="77" w:lineRule="exact"/>
        <w:rPr>
          <w:rFonts w:ascii="Arial" w:cs="Arial" w:eastAsia="Arial" w:hAnsi="Arial"/>
          <w:sz w:val="17"/>
          <w:szCs w:val="17"/>
          <w:b w:val="1"/>
          <w:bCs w:val="1"/>
          <w:color w:val="auto"/>
        </w:rPr>
      </w:pPr>
    </w:p>
    <w:p>
      <w:pPr>
        <w:ind w:left="640" w:hanging="310"/>
        <w:spacing w:after="0"/>
        <w:tabs>
          <w:tab w:leader="none" w:pos="640" w:val="left"/>
        </w:tabs>
        <w:numPr>
          <w:ilvl w:val="0"/>
          <w:numId w:val="40"/>
        </w:numPr>
        <w:rPr>
          <w:rFonts w:ascii="Arial" w:cs="Arial" w:eastAsia="Arial" w:hAnsi="Arial"/>
          <w:sz w:val="17"/>
          <w:szCs w:val="17"/>
          <w:b w:val="1"/>
          <w:bCs w:val="1"/>
          <w:color w:val="auto"/>
        </w:rPr>
      </w:pPr>
      <w:r>
        <w:rPr>
          <w:rFonts w:ascii="Arial" w:cs="Arial" w:eastAsia="Arial" w:hAnsi="Arial"/>
          <w:sz w:val="18"/>
          <w:szCs w:val="18"/>
          <w:color w:val="auto"/>
        </w:rPr>
        <w:t xml:space="preserve">The valuation allowance is related to items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Deferred income taxes are presented in the accompanying consolidated balance sheets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87,581</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88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16,589</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(6,783)</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22"/>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deferred taxes</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(6,783)</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101,905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 xml:space="preserve">A valuation allowance is provided on deferred tax assets if it is determined that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deferred tax asset will not be realized. As of each reporting date, management considers both positive and negative evidence regarding the likelihood of future realization of the deferred tax assets.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During 2022, the Company recorded tax expense of $139.4 million to establish a full valuation allowance against its net deferred tax assets due to historical cumulative pre-tax losses and continued pre-tax losses. Management regularly reviews the deferred tax assets for recoverability based on historical taxable income, projected future taxable income, the expected timing of the reversals of existing taxable temporary differences, and tax planning strategies. The ultimate realization of deferred tax assets is dependent upon the generation of future taxable income. In determining the amount of the valuation allowance, the Company considered the scheduled reversal of deferred tax liabilities. The Company will maintain a full valuation allowance on net deferred tax assets until there is sufficient evidence to support the reversal of some or all of the allowance. Should there be a change in the valuation allowance in the future, the income tax provision would increase or decrease in the period in which the allowance is changed. At December 31, 2021 and 2020, the Company recorded a partial valuation allowance of $6.0 million and $5.8 million, respectively, primarily related to state net operating losses, which the Company does not expect to be able to utilize prior to expiration.</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deferred tax valuation allowance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Pr>
          <w:p>
            <w:pPr>
              <w:spacing w:after="0"/>
              <w:rPr>
                <w:sz w:val="16"/>
                <w:szCs w:val="16"/>
                <w:color w:val="auto"/>
              </w:rPr>
            </w:pPr>
          </w:p>
        </w:tc>
      </w:tr>
      <w:tr>
        <w:trPr>
          <w:trHeight w:val="25"/>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7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8"/>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5,802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228"/>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Charges to earnings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139,362</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237</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r>
      <w:tr>
        <w:trPr>
          <w:trHeight w:val="222"/>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145,401</w:t>
            </w:r>
          </w:p>
        </w:tc>
        <w:tc>
          <w:tcPr>
            <w:tcW w:w="4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6,039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5,802</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 reconciliation of the beginning and ending amounts of unrecognized tax benefits, excluding interest and penalties,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46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2,914</w:t>
            </w:r>
          </w:p>
        </w:tc>
        <w:tc>
          <w:tcPr>
            <w:tcW w:w="98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2,613</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Additions based on tax positions of the current period</w:t>
            </w:r>
          </w:p>
        </w:tc>
        <w:tc>
          <w:tcPr>
            <w:tcW w:w="9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Additions (subtractions) based on tax positions of the prior period</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3,282</w:t>
            </w:r>
          </w:p>
        </w:tc>
        <w:tc>
          <w:tcPr>
            <w:tcW w:w="98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2,914</w:t>
            </w:r>
          </w:p>
        </w:tc>
      </w:tr>
    </w:tbl>
    <w:p>
      <w:pPr>
        <w:spacing w:after="0" w:line="174" w:lineRule="exact"/>
        <w:rPr>
          <w:sz w:val="20"/>
          <w:szCs w:val="20"/>
          <w:color w:val="auto"/>
        </w:rPr>
      </w:pPr>
    </w:p>
    <w:p>
      <w:pPr>
        <w:jc w:val="both"/>
        <w:ind w:firstLine="444"/>
        <w:spacing w:after="0" w:line="262" w:lineRule="auto"/>
        <w:rPr>
          <w:sz w:val="20"/>
          <w:szCs w:val="20"/>
          <w:color w:val="auto"/>
        </w:rPr>
      </w:pPr>
      <w:r>
        <w:rPr>
          <w:rFonts w:ascii="Arial" w:cs="Arial" w:eastAsia="Arial" w:hAnsi="Arial"/>
          <w:sz w:val="18"/>
          <w:szCs w:val="18"/>
          <w:color w:val="auto"/>
        </w:rPr>
        <w:t>Interest and, if applicable, penalties are recognized related to unrecognized tax benefits in income tax expense. Interest and penalties on unrecognized tax benefits included in income tax expense for each of the years ended December 31, 2022, 2021 and 2020 is not required to be recorded, as there have been no tax attributes included in income tax returns filed to date to require consideration of interest expense.</w:t>
      </w:r>
    </w:p>
    <w:p>
      <w:pPr>
        <w:spacing w:after="0" w:line="75"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color w:val="auto"/>
        </w:rPr>
        <w:t>As of December 31, 2022 and 2021, the accrual for unrecognized tax benefits, including interest, was $3.3 million and $2.9 million, respectively, which would benefit the effective tax rate if recognized.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19" w:lineRule="exact"/>
        <w:rPr>
          <w:sz w:val="20"/>
          <w:szCs w:val="20"/>
          <w:color w:val="auto"/>
        </w:rPr>
      </w:pPr>
    </w:p>
    <w:p>
      <w:pPr>
        <w:jc w:val="both"/>
        <w:ind w:firstLine="444"/>
        <w:spacing w:after="0" w:line="272" w:lineRule="auto"/>
        <w:rPr>
          <w:sz w:val="20"/>
          <w:szCs w:val="20"/>
          <w:color w:val="auto"/>
        </w:rPr>
      </w:pPr>
      <w:r>
        <w:rPr>
          <w:rFonts w:ascii="Arial" w:cs="Arial" w:eastAsia="Arial" w:hAnsi="Arial"/>
          <w:sz w:val="17"/>
          <w:szCs w:val="17"/>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2022, the Company is subject to a federal income tax examination for the tax years 2014 through 2021. In addition, the Company is subject to state and local tax examinations for the tax years 2017 through 2022.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15"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65"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7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8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63" w:lineRule="exact"/>
        <w:rPr>
          <w:sz w:val="20"/>
          <w:szCs w:val="20"/>
          <w:color w:val="auto"/>
        </w:rPr>
      </w:pPr>
    </w:p>
    <w:p>
      <w:pPr>
        <w:jc w:val="both"/>
        <w:ind w:left="660" w:hanging="330"/>
        <w:spacing w:after="0" w:line="258"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77" w:lineRule="exact"/>
        <w:rPr>
          <w:rFonts w:ascii="Arial" w:cs="Arial" w:eastAsia="Arial" w:hAnsi="Arial"/>
          <w:sz w:val="18"/>
          <w:szCs w:val="18"/>
          <w:color w:val="auto"/>
        </w:rPr>
      </w:pPr>
    </w:p>
    <w:p>
      <w:pPr>
        <w:jc w:val="both"/>
        <w:ind w:left="660" w:hanging="330"/>
        <w:spacing w:after="0" w:line="262"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74" w:lineRule="exact"/>
        <w:rPr>
          <w:rFonts w:ascii="Arial" w:cs="Arial" w:eastAsia="Arial" w:hAnsi="Arial"/>
          <w:sz w:val="18"/>
          <w:szCs w:val="18"/>
          <w:color w:val="auto"/>
        </w:rPr>
      </w:pPr>
    </w:p>
    <w:p>
      <w:pPr>
        <w:ind w:left="660" w:hanging="330"/>
        <w:spacing w:after="0" w:line="275"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63" w:lineRule="exact"/>
        <w:rPr>
          <w:rFonts w:ascii="Arial" w:cs="Arial" w:eastAsia="Arial" w:hAnsi="Arial"/>
          <w:sz w:val="18"/>
          <w:szCs w:val="18"/>
          <w:color w:val="auto"/>
        </w:rPr>
      </w:pPr>
    </w:p>
    <w:p>
      <w:pPr>
        <w:ind w:left="640" w:hanging="310"/>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15"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Holders of the 2025 Notes were not entitled to convert the 2025 Notes during the calendar quarter ended December 31, 2022 as the last reported sale price of the Company's common stock, for at least 20 trading days (whether or not consecutive) during the period of 30 consecutive trading days ending on September 30, 2022, was not greater than or equal to 130% of the conversion price of the 2025 Notes on each applicable trading day. Holders of the 2025 Notes are not entitled to convert the 2025 Notes during the calendar quarter ended March 31, 2023 as the last reported sale price of the Company's common stock, for at least 20 trading days (whether or not consecutive) during the period of 30 consecutive trading days ending on December 31, 2022, was not greater than or equal to 130% of the conversion price of the 2025 Notes on each applicable trading day.</w:t>
      </w:r>
    </w:p>
    <w:p>
      <w:pPr>
        <w:spacing w:after="0" w:line="68"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The Company may not redeem the 2025 Notes prior to July 20, 2023. On or after July 20, 2023 and before the 41st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68"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75"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Notes After Adoption of ASU 2020-06</w:t>
      </w:r>
    </w:p>
    <w:p>
      <w:pPr>
        <w:spacing w:after="0" w:line="169"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 xml:space="preserve">The Company adopted ASU 2020-06 on January 1, 2022 as further described in Note 2—Significant Accounting Policies in the notes to the consolidated financial statements included elsewhere in this report. Following the adoption of ASU 2020-06, the 2025 Notes are recorded as a single unit within liabilities on the consolidated balance sheets as the conversion features within the 2025 Notes are not derivatives that require bifurcation and the 2025 Notes do not involve a substantial premium. Debt issuance costs to issue the 2025 Notes were recorded as a direct deduction from the related liability and amortized to interest expense over the term of Notes. The new guidance also requires the if-converted method to be applied for all convertible instruments when calculating diluted earnings per share.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in the notes to the consolidated financial statements included elsewhere in this report for additional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Notes Before Adoption of ASU 2020-06</w:t>
      </w:r>
    </w:p>
    <w:p>
      <w:pPr>
        <w:spacing w:after="0" w:line="169"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The initial measurement of convertible debt instruments that may be settled in cash was separated into a debt and an equity component whereby the debt component was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122"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During 2022, the Company recorded interest expense on the 2025 Notes of $5.9 million which consisted of $2.9 million associated with the 0.50% coupon rate and $3.0 million associated with the amortization of the debt issuance costs. During 2021, the Company recorded interest expense on the 2025 Notes of $27.2 million which consisted of $2.9 million associated with the 0.50% coupon rate, $22.1 million associated with the accretion of the debt discount, and $2.2 million associated with the amortization of the debt issuance costs. During 2020, the Company recorded interest expense on the 2025 Notes of $11.5 million which consisted of $1.3 million associated with the 0.50% coupon rate, $9.3 million associated with the accretion of the debt discount, and $0.9 million associated with the amortization of the debt issuance costs. The debt discount was being amortized over the term of the debt prior to the adoption of ASU 2020-06.</w:t>
      </w:r>
    </w:p>
    <w:p>
      <w:pPr>
        <w:spacing w:after="0" w:line="13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As of December 31, 2022, the fair value of the 2025 Notes is estimated to be approximately $419.0 million using the Level 1 observable input of the last quoted market price on December 31, 2022.</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all of which is recorded as a non-current liability in the December 31, 2022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8"/>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8"/>
        </w:trPr>
        <w:tc>
          <w:tcPr>
            <w:tcW w:w="836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87,994</w:t>
            </w:r>
          </w:p>
        </w:tc>
      </w:tr>
      <w:tr>
        <w:trPr>
          <w:trHeight w:val="228"/>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r>
      <w:tr>
        <w:trPr>
          <w:trHeight w:val="22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567,266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478,151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1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“2022 Notes”) in a private placement. The Company settled the outstanding balance of the 2022 Notes of $169.7 million in cash on June 1, 2022. The initial conversion rate of the 2022 Notes was 4.8163 shares of the Company's common stock per $1,000 principal amount of 2022 Notes (which is equivalent to an initial conversion price of approximately $207.63 per share).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Notes After Adoption of ASU 2020-06</w:t>
      </w:r>
    </w:p>
    <w:p>
      <w:pPr>
        <w:spacing w:after="0" w:line="115"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 xml:space="preserve">The Company adopted ASU 2020-06 on January 1, 2022 as further described in Note 2—Significant Accounting Policies in the notes to the consolidated financial statements included elsewhere in this report. Following the adoption of ASU 2020-06, the 2022 Notes are recorded as a single unit within liabilities on the consolidated balance sheets as the conversion features within the 2022 Notes are not derivatives that require bifurcation and the 2022 Notes do not involve a substantial premium. Debt issuance costs to issue the 2022 Notes were recorded as a direct deduction from the related liability and amortized to interest expense over the term of Notes. The new guidance also requires the if-converted method to be applied for all convertible instruments when calculating diluted earnings per share.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in the notes to the consolidated financial statements included elsewhere in this report for additional information.</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Notes Before Adoption of ASU 2020-06</w:t>
      </w:r>
    </w:p>
    <w:p>
      <w:pPr>
        <w:spacing w:after="0" w:line="115"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were being amortized to interest expense over the term of the debt and $1.9 million were allocated to the equity component.</w:t>
      </w:r>
    </w:p>
    <w:p>
      <w:pPr>
        <w:spacing w:after="0" w:line="48"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 which is included in interest expense, net in the consolidated statements of operations and comprehensive income.</w:t>
      </w:r>
    </w:p>
    <w:p>
      <w:pPr>
        <w:spacing w:after="0" w:line="54"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During 2022, the Company recorded interest expense on the 2022 Notes of $0.8 million which consisted of $0.4 million associated with the 0.625% coupon rate and $0.4 million associated with the amortization of the debt issuance costs. During 2021, the Company recorded interest expense on the 2022 Notes of $9.5 million which consisted of $1.1 million associated with the 0.625% coupon rate, $7.5 million associated with the accretion of the debt discount, and $0.9 million associated with the amortization of the debt issuance costs. During 2020, the Company recorded interest expense on the 2022 Notes of $13.0 million which consisted of $1.5 million associated with the 0.625% coupon rate, $10.3 million associated with the accretion of the debt discount, and $1.2 million associated with the amortization of the debt issuance costs.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all of which was recorded as a current liability in the December 31, 2021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91"/>
        </w:trPr>
        <w:tc>
          <w:tcPr>
            <w:tcW w:w="9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228"/>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169,659</w:t>
            </w:r>
          </w:p>
        </w:tc>
      </w:tr>
      <w:tr>
        <w:trPr>
          <w:trHeight w:val="228"/>
        </w:trPr>
        <w:tc>
          <w:tcPr>
            <w:tcW w:w="97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3,260</w:t>
            </w:r>
          </w:p>
        </w:tc>
      </w:tr>
      <w:tr>
        <w:trPr>
          <w:trHeight w:val="228"/>
        </w:trPr>
        <w:tc>
          <w:tcPr>
            <w:tcW w:w="9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9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166,008</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15"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7"/>
          <w:szCs w:val="17"/>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59"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73"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52"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Hedge and Warrants</w:t>
      </w:r>
    </w:p>
    <w:p>
      <w:pPr>
        <w:spacing w:after="0" w:line="115"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5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were exercisable upon any conversion of the 2022 Notes. The 2017 Hedge transactions expired on June 1, 2022 upon the maturity of the Notes.</w:t>
      </w:r>
    </w:p>
    <w:p>
      <w:pPr>
        <w:spacing w:after="0" w:line="75"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7"/>
          <w:szCs w:val="17"/>
          <w:color w:val="auto"/>
        </w:rPr>
        <w:t>On May 31, 2017, the Company sold to the counterparties, warrants (the “2017 Warrants”) to acquire 1.4 million shares of the Company's common stock at an initial strike price of $266.39 per share, which represented a premium of 70% over the last reported sale price of the common stock of $156.70 on May 24, 2017 receiving proceeds of approximately $43.4 million. The warrants expired on December 12, 2022.</w:t>
      </w:r>
    </w:p>
    <w:p>
      <w:pPr>
        <w:spacing w:after="0" w:line="5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To the extent of the repurchases of the 2022 Notes noted above, the Company entered into agreements with the counterparties for the 2017 Hedge and 2017 Warrants transactions to terminate a portion of these call spread transactions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effective July 24, 2020 in notional amounts corresponding to the principal amount of the 2022 Notes repurchased. The Company received $109.9 million and paid $94.3 million as a result of terminating such portions of the 2017 Hedge and 2017 Warrants, respectively. The net $15.6 million has been recorded as an increase to additional paid-in capital in the consolidated statement of shareholders’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19" w:lineRule="exact"/>
        <w:rPr>
          <w:sz w:val="20"/>
          <w:szCs w:val="20"/>
          <w:color w:val="auto"/>
        </w:rPr>
      </w:pPr>
    </w:p>
    <w:p>
      <w:pPr>
        <w:jc w:val="both"/>
        <w:ind w:firstLine="323"/>
        <w:spacing w:after="0" w:line="268" w:lineRule="auto"/>
        <w:rPr>
          <w:sz w:val="20"/>
          <w:szCs w:val="20"/>
          <w:color w:val="auto"/>
        </w:rPr>
      </w:pPr>
      <w:r>
        <w:rPr>
          <w:rFonts w:ascii="Arial" w:cs="Arial" w:eastAsia="Arial" w:hAnsi="Arial"/>
          <w:sz w:val="17"/>
          <w:szCs w:val="17"/>
          <w:color w:val="auto"/>
        </w:rPr>
        <w:t>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The proceeds of the Revolving Facility can be used to finance working capital, for general corporate purposes and any other purpose not prohibited by the Credit Agreement. On May 31, 2022 the Company received proceeds of $250.0 million from the Term Loan Facility and on June 1, 2022, used $170.2 million of the proceeds to settle the Company's 2022 Notes, including interest. The remaining proceeds of $79.8 million may be used for general corporate purposes not prohibited by the Credit Agreement. The Credit Facility replaces the Company's $500.0 million five-year senior secured revolving credit facility (the “Amended Revolving Credit Facility”) which was entered into on December 10, 2019. As of December 31, 2022, the Company had $248.8 million borrowings outstanding under the Term Loan Facility bearing interest at the LIBO option rate of 8.14% and had no borrowings under the Revolving Facility. As of December 31, 2021, the Company had no borrowings outstanding under the Credit Facility. As of December 31, 2022, borrowings of $2.5 million under the Term Loan Facility are recorded as current portion of long-term debt on the consolidated balance sheet.</w:t>
      </w:r>
    </w:p>
    <w:p>
      <w:pPr>
        <w:spacing w:after="0" w:line="125"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The full amount of the Revolving Facility will be available on a same-day basis, with respect to base rate loans and upon advance notice with respect to LIBO rate loans, subject to customary terms and conditions. Under certain conditions, the Company will be permitted to add one or more term loans and/or increase revolving or term loan commitments under the Credit Facility by an amount set at the greater of $116.0 million and 100% of consolidated EBITDA (subject to adjustments for certain prepayments), plus an unlimited amount provided that the first lien net leverage ratio does not exceed 3.00 to 1.00. Additionally, up to $20.0 million of the Revolving Facility will be available for the issuance of letters of credit. At each of December 31, 2022 and December 31, 2021, the Company had outstanding one letter of credit issued in the amount of $0.2 million.</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Credit Facility bear interest at annual rates that, at the Company’s option, will be either:</w:t>
      </w:r>
    </w:p>
    <w:p>
      <w:pPr>
        <w:spacing w:after="0" w:line="115" w:lineRule="exact"/>
        <w:rPr>
          <w:sz w:val="20"/>
          <w:szCs w:val="20"/>
          <w:color w:val="auto"/>
        </w:rPr>
      </w:pPr>
    </w:p>
    <w:p>
      <w:pPr>
        <w:jc w:val="both"/>
        <w:ind w:left="660" w:hanging="330"/>
        <w:spacing w:after="0" w:line="25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1.25% to 1.75% for loans under the Revolving Facility and 2.75% to 3.00% for loans under the Term Loan Facility, in each case, based on a first lien net leverage ratio; or</w:t>
      </w:r>
    </w:p>
    <w:p>
      <w:pPr>
        <w:spacing w:after="0" w:line="77" w:lineRule="exact"/>
        <w:rPr>
          <w:rFonts w:ascii="Arial" w:cs="Arial" w:eastAsia="Arial" w:hAnsi="Arial"/>
          <w:sz w:val="18"/>
          <w:szCs w:val="18"/>
          <w:color w:val="auto"/>
        </w:rPr>
      </w:pPr>
    </w:p>
    <w:p>
      <w:pPr>
        <w:jc w:val="both"/>
        <w:ind w:left="660" w:hanging="330"/>
        <w:spacing w:after="0" w:line="262"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dollar deposits for the applicable interest period and (ii) an applicable percentage of 2.25% to 2.75% for loans under the Revolving Facility and 3.75% and 4.00% for loans under the Term Loan Facility, in each case, based on a first lien net leverage ratio.</w:t>
      </w:r>
    </w:p>
    <w:p>
      <w:pPr>
        <w:spacing w:after="0" w:line="75"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Interest on the Company’s borrowings is payable quarterly in arrears for base rate loans and on the last day of each interest rate period (but not less often than three months) for LIBO rate loans.</w:t>
      </w:r>
    </w:p>
    <w:p>
      <w:pPr>
        <w:spacing w:after="0" w:line="63"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6"/>
          <w:szCs w:val="16"/>
          <w:color w:val="auto"/>
        </w:rPr>
        <w:t>The Credit Facility contains a restrictive financial covenant, which is set at a first lien net leverage ratio of 2.50 to 1.00, except that this may increase by 0.50:1.00 for the four fiscal quarters following a material acquisition. The financial covenant will be tested only if the loans and certain other obligations under the Revolving Facility exceed $20.0 million as of the last date of any fiscal quarter (starting with the fiscal quarter ending on December 31, 2021). In addition, the Credit Facility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credit agreements of this type. The Company is required to make mandatory prepayments of the outstanding principal amount of loans under the Term Loan Facility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 The Company has the right to prepay its term loans under the Credit Agreement, in whole or in part, at any time without premium or penalty, subject to certain limitations and a 1.0% soft call premium applicable during the first six months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covenants at December 31, 2022.</w:t>
      </w:r>
    </w:p>
    <w:p>
      <w:pPr>
        <w:spacing w:after="0" w:line="11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The Credit Facility requires the Company and certain of its subsidiaries to pledge as collateral, subject to certain customary exclusions, substantially all of its assets, including 100% of the equity in certain domestic subsidiaries and 65% of the voting equity, and 100% of the non-voting equity, in certain foreign subsidiaries. The obligations under the Credit Facility are unconditionally guaranteed on a senior basis by the Company's material domestic subsidiaries, which guaranties are secured by the collateral.</w:t>
      </w:r>
    </w:p>
    <w:p>
      <w:pPr>
        <w:spacing w:after="0" w:line="77"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With respect to the Revolving Facility, the Company is required to pay an unused commitment fee quarterly in arrears on the difference between committed amounts and amounts actually borrowed under the Revolving Facility equal to an applicable percentage of 0.25% to 0.50% per annum based on a first lien net leverage ratio. The Company is required to pay a letter of credit participation fee and a letter of credit fronting fee quarterly in arrears. The letter of credit participation fee is based upon the aggregate face amount of outstanding letters of credit at an applicable percentage of 2.25% to 2.75% based on a first lien net leverage ratio. The letter of credit fronting fee is 0.125% per annum on the face amount of each letter of credit.</w:t>
      </w:r>
    </w:p>
    <w:p>
      <w:pPr>
        <w:spacing w:after="0" w:line="105"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With respect to the Term Loan Facility, the Company is required to pay an unused commitment fee quarterly in arrears on the difference between committed amounts and amounts actually borrowed under the Term Loan Facility equal to an applicable LIBO rate plus an applicable percentage of 3.75% to 4.00% per annum based on a first lien net leverage ratio.</w:t>
      </w:r>
    </w:p>
    <w:p>
      <w:pPr>
        <w:spacing w:after="0" w:line="75"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The Company recognized $1.1 million in additional interest expense in the third quarter of 2021 due to the write-off of certain unamortized debt issuance costs associated with the Amended Revolving Credit Facility. In addition to the remaining unamortized debt issuance costs associated with the Amended Revolving Credit Facility, debt issuance costs of $2.8 million related to the Revolving Facility are being amortized to interest expense over the life of the Revolving Facility. Debt issuance costs of $3.5 million related to the Term Loan Facility and the original issue discount $2.5 million paid on the undrawn term loan facility were amortized to interest expense over the delayed draw access period. These deferred costs are included in prepaid and other current assets and other non-current assets in the Company's consolidated balance sheet.</w:t>
      </w:r>
    </w:p>
    <w:p>
      <w:pPr>
        <w:spacing w:after="0" w:line="68"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During 2022, the Company recorded interest expense related to its Revolving Facility of $1.5 million which consisted of $0.6 million in unused commitment fees and $0.9 million associated with the amortization of the debt issuance costs. During 2022, the Company recorded interest expense related to the Term Loan Facility of $18.2 million which consisted of $9.6 million associated with borrowings bearing interest at the LIBO rate, $5.1 million in unused commitment fees, $2.0 million associated with the amortization of the debt issuance costs, and $1.5 million associated with the amortization of the original issue discount.</w:t>
      </w:r>
    </w:p>
    <w:p>
      <w:pPr>
        <w:spacing w:after="0" w:line="83" w:lineRule="exact"/>
        <w:rPr>
          <w:sz w:val="20"/>
          <w:szCs w:val="20"/>
          <w:color w:val="auto"/>
        </w:rPr>
      </w:pPr>
    </w:p>
    <w:p>
      <w:pPr>
        <w:jc w:val="both"/>
        <w:ind w:firstLine="323"/>
        <w:spacing w:after="0" w:line="292" w:lineRule="auto"/>
        <w:rPr>
          <w:sz w:val="20"/>
          <w:szCs w:val="20"/>
          <w:color w:val="auto"/>
        </w:rPr>
      </w:pPr>
      <w:r>
        <w:rPr>
          <w:rFonts w:ascii="Arial" w:cs="Arial" w:eastAsia="Arial" w:hAnsi="Arial"/>
          <w:sz w:val="16"/>
          <w:szCs w:val="16"/>
          <w:color w:val="auto"/>
        </w:rPr>
        <w:t>During 2021, the Company recorded interest expense related to its revolving credit facilities of $3.4 million which consisted of $2.0 million in unused commitment fees and $1.4 million associated with the amortization of the debt issuance costs. During 2021, the Company recorded interest expense related to the Term Loan Facility of $5.9 million which consisted of $3.5 million in unused commitment fees, $1.4 million associated with the amortization of the debt issuance costs, and $1.0 million associated with the amortization of the original issue discount. During 2020, the Company recorded interest expense related to the Amended Revolving Credit Facility of $4.3 million which consisted of $1.3 million associated with borrowings bearing interest at the base rate and the LIBO rate, $1.7 million in unused commitment fees, and $1.3 million associated with the amortization of the debt issuance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119" w:lineRule="exact"/>
        <w:rPr>
          <w:sz w:val="20"/>
          <w:szCs w:val="20"/>
          <w:color w:val="auto"/>
        </w:rPr>
      </w:pPr>
    </w:p>
    <w:p>
      <w:pPr>
        <w:ind w:right="300" w:firstLine="323"/>
        <w:spacing w:after="0" w:line="272" w:lineRule="auto"/>
        <w:rPr>
          <w:sz w:val="20"/>
          <w:szCs w:val="20"/>
          <w:color w:val="auto"/>
        </w:rPr>
      </w:pPr>
      <w:r>
        <w:rPr>
          <w:rFonts w:ascii="Arial" w:cs="Arial" w:eastAsia="Arial" w:hAnsi="Arial"/>
          <w:sz w:val="18"/>
          <w:szCs w:val="18"/>
          <w:color w:val="auto"/>
        </w:rPr>
        <w:t xml:space="preserve">The Company has funding commitments that could potentially require performance in the event of demands by third parties or contingent events,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center"/>
              <w:ind w:left="797"/>
              <w:spacing w:after="0"/>
              <w:rPr>
                <w:sz w:val="20"/>
                <w:szCs w:val="20"/>
                <w:color w:val="auto"/>
              </w:rPr>
            </w:pPr>
            <w:r>
              <w:rPr>
                <w:rFonts w:ascii="Arial" w:cs="Arial" w:eastAsia="Arial" w:hAnsi="Arial"/>
                <w:sz w:val="16"/>
                <w:szCs w:val="16"/>
                <w:b w:val="1"/>
                <w:bCs w:val="1"/>
                <w:color w:val="auto"/>
                <w:w w:val="91"/>
              </w:rPr>
              <w:t>Commitments Due By Period</w:t>
            </w:r>
          </w:p>
        </w:tc>
        <w:tc>
          <w:tcPr>
            <w:tcW w:w="1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5"/>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3"/>
                <w:szCs w:val="13"/>
                <w:color w:val="auto"/>
              </w:rPr>
            </w:pPr>
          </w:p>
        </w:tc>
        <w:tc>
          <w:tcPr>
            <w:tcW w:w="1220" w:type="dxa"/>
            <w:vAlign w:val="bottom"/>
          </w:tcPr>
          <w:p>
            <w:pPr>
              <w:jc w:val="center"/>
              <w:ind w:right="177"/>
              <w:spacing w:after="0" w:line="158" w:lineRule="exact"/>
              <w:rPr>
                <w:sz w:val="20"/>
                <w:szCs w:val="20"/>
                <w:color w:val="auto"/>
              </w:rPr>
            </w:pPr>
            <w:r>
              <w:rPr>
                <w:rFonts w:ascii="Arial" w:cs="Arial" w:eastAsia="Arial" w:hAnsi="Arial"/>
                <w:sz w:val="16"/>
                <w:szCs w:val="16"/>
                <w:b w:val="1"/>
                <w:bCs w:val="1"/>
                <w:color w:val="auto"/>
                <w:w w:val="90"/>
              </w:rPr>
              <w:t>Less Than</w:t>
            </w:r>
          </w:p>
        </w:tc>
        <w:tc>
          <w:tcPr>
            <w:tcW w:w="340" w:type="dxa"/>
            <w:vAlign w:val="bottom"/>
          </w:tcPr>
          <w:p>
            <w:pPr>
              <w:spacing w:after="0"/>
              <w:rPr>
                <w:sz w:val="13"/>
                <w:szCs w:val="13"/>
                <w:color w:val="auto"/>
              </w:rPr>
            </w:pPr>
          </w:p>
        </w:tc>
        <w:tc>
          <w:tcPr>
            <w:tcW w:w="1200" w:type="dxa"/>
            <w:vAlign w:val="bottom"/>
            <w:vMerge w:val="restart"/>
          </w:tcPr>
          <w:p>
            <w:pPr>
              <w:jc w:val="center"/>
              <w:ind w:right="215"/>
              <w:spacing w:after="0"/>
              <w:rPr>
                <w:sz w:val="20"/>
                <w:szCs w:val="20"/>
                <w:color w:val="auto"/>
              </w:rPr>
            </w:pPr>
            <w:r>
              <w:rPr>
                <w:rFonts w:ascii="Arial" w:cs="Arial" w:eastAsia="Arial" w:hAnsi="Arial"/>
                <w:sz w:val="16"/>
                <w:szCs w:val="16"/>
                <w:b w:val="1"/>
                <w:bCs w:val="1"/>
                <w:color w:val="auto"/>
                <w:w w:val="89"/>
              </w:rPr>
              <w:t>1-3 years</w:t>
            </w:r>
          </w:p>
        </w:tc>
        <w:tc>
          <w:tcPr>
            <w:tcW w:w="380" w:type="dxa"/>
            <w:vAlign w:val="bottom"/>
          </w:tcPr>
          <w:p>
            <w:pPr>
              <w:spacing w:after="0"/>
              <w:rPr>
                <w:sz w:val="13"/>
                <w:szCs w:val="13"/>
                <w:color w:val="auto"/>
              </w:rPr>
            </w:pPr>
          </w:p>
        </w:tc>
        <w:tc>
          <w:tcPr>
            <w:tcW w:w="14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3-5 years</w:t>
            </w:r>
          </w:p>
        </w:tc>
        <w:tc>
          <w:tcPr>
            <w:tcW w:w="1220" w:type="dxa"/>
            <w:vAlign w:val="bottom"/>
          </w:tcPr>
          <w:p>
            <w:pPr>
              <w:jc w:val="center"/>
              <w:ind w:right="116"/>
              <w:spacing w:after="0" w:line="158" w:lineRule="exact"/>
              <w:rPr>
                <w:sz w:val="20"/>
                <w:szCs w:val="20"/>
                <w:color w:val="auto"/>
              </w:rPr>
            </w:pPr>
            <w:r>
              <w:rPr>
                <w:rFonts w:ascii="Arial" w:cs="Arial" w:eastAsia="Arial" w:hAnsi="Arial"/>
                <w:sz w:val="16"/>
                <w:szCs w:val="16"/>
                <w:b w:val="1"/>
                <w:bCs w:val="1"/>
                <w:color w:val="auto"/>
                <w:w w:val="96"/>
              </w:rPr>
              <w:t>More Than</w:t>
            </w:r>
          </w:p>
        </w:tc>
        <w:tc>
          <w:tcPr>
            <w:tcW w:w="0" w:type="dxa"/>
            <w:vAlign w:val="bottom"/>
          </w:tcPr>
          <w:p>
            <w:pPr>
              <w:spacing w:after="0"/>
              <w:rPr>
                <w:sz w:val="1"/>
                <w:szCs w:val="1"/>
                <w:color w:val="auto"/>
              </w:rPr>
            </w:pPr>
          </w:p>
        </w:tc>
      </w:tr>
      <w:tr>
        <w:trPr>
          <w:trHeight w:val="212"/>
        </w:trPr>
        <w:tc>
          <w:tcPr>
            <w:tcW w:w="3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w w:val="90"/>
              </w:rPr>
              <w:t>1 year</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6"/>
                <w:szCs w:val="16"/>
                <w:b w:val="1"/>
                <w:bCs w:val="1"/>
                <w:color w:val="auto"/>
                <w:w w:val="86"/>
              </w:rPr>
              <w:t>5 years</w:t>
            </w: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Surety bonds </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5,108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4,983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hanging="331"/>
        <w:spacing w:after="0" w:line="277" w:lineRule="auto"/>
        <w:tabs>
          <w:tab w:leader="none" w:pos="4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1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Company has certain other commitments through 2023, where the aggregate commitments for these contracts range from $0.2 million to $2.4 million throughout the remaining life of the contract.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18, unless otherwise indicated, the Company is unable to estimate the possible loss or range of losses that could potentially result from the application of such non-monetary remedies.</w:t>
      </w:r>
    </w:p>
    <w:p>
      <w:pPr>
        <w:spacing w:after="0" w:line="8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 xml:space="preserve">As of December 31, 2022 and 2021, the Company had litigation settlement accruals of $0.1 million in continuing operations.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22—Discontinued Operations in the notes to the consolidated financial statements included elsewhere in this report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19—FAIR VALUE MEASUREMENTS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 xml:space="preserve">Other than the convertible notes and warrants, as well as the equity interest in Stash and EarnUp, the carrying amounts of the Company's financial instruments are equal to fair value at December 31, 2022.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16—Debt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8—Equity Investment in the notes to the consolidated financial statements included elsewhere in this report for additional information on the equity interest in Stash and EarnUp.</w:t>
      </w:r>
    </w:p>
    <w:p>
      <w:pPr>
        <w:spacing w:after="0" w:line="77"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 xml:space="preserve">Contingent consideration payments related to acquisitions are measured at fair value each reporting period using Level 3 unobservable inputs. There were no changes in the fair value of the Company's Level 3 liabilities during the year ended December 31, 2022 and the changes for the years ended December 31, 2021 and 2020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84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8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5"/>
        </w:trPr>
        <w:tc>
          <w:tcPr>
            <w:tcW w:w="84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beginning of period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8,249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33,464</w:t>
            </w:r>
          </w:p>
        </w:tc>
      </w:tr>
      <w:tr>
        <w:trPr>
          <w:trHeight w:val="228"/>
        </w:trPr>
        <w:tc>
          <w:tcPr>
            <w:tcW w:w="8420" w:type="dxa"/>
            <w:vAlign w:val="bottom"/>
          </w:tcPr>
          <w:p>
            <w:pPr>
              <w:ind w:left="20"/>
              <w:spacing w:after="0"/>
              <w:rPr>
                <w:sz w:val="20"/>
                <w:szCs w:val="20"/>
                <w:color w:val="auto"/>
              </w:rPr>
            </w:pPr>
            <w:r>
              <w:rPr>
                <w:rFonts w:ascii="Arial" w:cs="Arial" w:eastAsia="Arial" w:hAnsi="Arial"/>
                <w:sz w:val="18"/>
                <w:szCs w:val="18"/>
                <w:color w:val="auto"/>
              </w:rPr>
              <w:t>Transfers into Level 3</w:t>
            </w:r>
          </w:p>
        </w:tc>
        <w:tc>
          <w:tcPr>
            <w:tcW w:w="4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out of Level 3</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420" w:type="dxa"/>
            <w:vAlign w:val="bottom"/>
          </w:tcPr>
          <w:p>
            <w:pPr>
              <w:ind w:left="20"/>
              <w:spacing w:after="0"/>
              <w:rPr>
                <w:sz w:val="20"/>
                <w:szCs w:val="20"/>
                <w:color w:val="auto"/>
              </w:rPr>
            </w:pPr>
            <w:r>
              <w:rPr>
                <w:rFonts w:ascii="Arial" w:cs="Arial" w:eastAsia="Arial" w:hAnsi="Arial"/>
                <w:sz w:val="18"/>
                <w:szCs w:val="18"/>
                <w:color w:val="auto"/>
              </w:rPr>
              <w:t>Total net losses included in earnings (realized and unrealized)</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(8,249)</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5,327</w:t>
            </w:r>
          </w:p>
        </w:tc>
      </w:tr>
      <w:tr>
        <w:trPr>
          <w:trHeight w:val="228"/>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8"/>
        </w:trPr>
        <w:tc>
          <w:tcPr>
            <w:tcW w:w="84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42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(30,542)</w:t>
            </w:r>
          </w:p>
        </w:tc>
      </w:tr>
      <w:tr>
        <w:trPr>
          <w:trHeight w:val="229"/>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Contingent consideration, end of period</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8,249</w:t>
            </w:r>
          </w:p>
        </w:tc>
      </w:tr>
    </w:tbl>
    <w:p>
      <w:pPr>
        <w:spacing w:after="0" w:line="187"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There was no contingent consideration liability at December 31, 2022 or 2021 because the final earnout period for the QuoteWizard acquisition ended on October 31, 2021. The contingent consideration liability at December 31, 2020 consisted of the estimated fair value of the remaining earnout payment for the QuoteWizard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20—RELATED PARTY TRANSACTIONS</w:t>
      </w:r>
    </w:p>
    <w:p>
      <w:pPr>
        <w:spacing w:after="0" w:line="119"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In 2017, the Company's Board of Directors approved a $10.0 million contribution to fund the newly formed LendingTree Foundation. In each of 2020 and 2019, the Company paid $3.3 million of the $10.0 million contribution, and paid the final installment in 2022. In the fourth quarter of 2022, the Company's Board of Directors approved an additional $0.5 million contribution to the LendingTree Foundation that the Company paid in 2023. Officers of the Company serve as officers of the LendingTree Foundation.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21—BENEFIT PLANS</w:t>
      </w:r>
    </w:p>
    <w:p>
      <w:pPr>
        <w:spacing w:after="0" w:line="119"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6"/>
          <w:szCs w:val="16"/>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($20,500 for 2022, $19,500 for 2021, and $19,500 for 2020).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one year of service vesting at 33%, two years of service vesting at 66%, and three years or more of service vesting at 100%. Matching contributions were approximately $2.8 million, $2.9 million and $2.4 million for the years ended December 31, 2022, 2021 and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22—DISCONTINUED OPERATIONS</w:t>
      </w:r>
    </w:p>
    <w:p>
      <w:pPr>
        <w:spacing w:after="0" w:line="119" w:lineRule="exact"/>
        <w:rPr>
          <w:sz w:val="20"/>
          <w:szCs w:val="20"/>
          <w:color w:val="auto"/>
        </w:rPr>
      </w:pPr>
    </w:p>
    <w:p>
      <w:pPr>
        <w:jc w:val="both"/>
        <w:ind w:firstLine="323"/>
        <w:spacing w:after="0" w:line="300"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financial statements. The LendingTree Loans Business originated various consumer mortgage loans through HLC. On June 6, 2012, the Company sold substantially all of the operating assets of HLC, including the LendingTree Loans Business, to a wholly-owned subsidiary of Discover Financial Services (“Discover”). Discover generally did not assume liabilities of HLC that arose before the closing date, except for certain liabilities directly related to assets Discover acquired.</w:t>
      </w:r>
    </w:p>
    <w:p>
      <w:pPr>
        <w:spacing w:after="0" w:line="48"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Certain liability for losses on previously sold loans remained with HLC.</w:t>
      </w:r>
    </w:p>
    <w:p>
      <w:pPr>
        <w:spacing w:after="0" w:line="6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Litigation settlements and contingencies and legal fees associated with related bankruptcy and legal proceedings against the Company are included in discontinued operations in the accompanying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19"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 xml:space="preserve">On June 21, 2019, the U.S. District Court of Minnesota entered judgment in </w:t>
      </w:r>
      <w:r>
        <w:rPr>
          <w:rFonts w:ascii="Arial" w:cs="Arial" w:eastAsia="Arial" w:hAnsi="Arial"/>
          <w:sz w:val="18"/>
          <w:szCs w:val="18"/>
          <w:i w:val="1"/>
          <w:iCs w:val="1"/>
          <w:color w:val="auto"/>
        </w:rPr>
        <w:t>ResCap Liquidating Trust v. Home Loan Center, Inc.</w:t>
      </w:r>
      <w:r>
        <w:rPr>
          <w:rFonts w:ascii="Arial" w:cs="Arial" w:eastAsia="Arial" w:hAnsi="Arial"/>
          <w:sz w:val="18"/>
          <w:szCs w:val="18"/>
          <w:color w:val="auto"/>
        </w:rPr>
        <w:t xml:space="preserve">, against HLC for $68.5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Litigation Related to Discontinued Operations below. The judgment against HLC exceeded the assets of HLC, which were $11.2 million at July 21, 2019, including cash of $5.9 million.</w:t>
      </w:r>
    </w:p>
    <w:p>
      <w:pPr>
        <w:spacing w:after="0" w:line="7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spacing w:after="0" w:line="77"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7"/>
          <w:szCs w:val="17"/>
          <w:color w:val="auto"/>
        </w:rPr>
        <w:t>As a result of the voluntary petition, 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w:t>
      </w:r>
    </w:p>
    <w:p>
      <w:pPr>
        <w:spacing w:after="0" w:line="6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During its bankruptcy, HLC indicated that it believed that it had claims against HLC’s sole shareholder, LendingTree, LLC, and certain of its officers and directors, relating to the declaration of a dividend by HLC in January 2016 of $40.0 million. During the second quarter of 2020, LendingTree, LLC and HLC entered into a settlement agreement in the amount of $36.0 million for the release of any and all claims against the Company defendants by HLC, including the dividend claim. The Bankruptcy Court approved the settlement on July 16, 2020. The $36.0 million settlement payment was made in the third quarter of 2020.</w:t>
      </w:r>
    </w:p>
    <w:p>
      <w:pPr>
        <w:spacing w:after="0" w:line="83"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During the HLC bankruptcy, a bar date for claims against HLC was set, establishing a deadline for all HLC’s creditors to assert any claim they may have had against HLC. Distributions were made to holders of allowed claims deemed timely filed. After all distributions to creditors were made and HLC’s Chapter 7 bankruptcy estate was fully administered, the HLC bankruptcy case was closed on July 14,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5"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i w:val="1"/>
          <w:iCs w:val="1"/>
          <w:color w:val="auto"/>
        </w:rPr>
        <w:t xml:space="preserve">ResCap Liquidating Trust v. Home Loan Center, Inc., Case No. 14-cv-1716 (U.S. Dist. Ct., Minn.), </w:t>
      </w:r>
      <w:r>
        <w:rPr>
          <w:rFonts w:ascii="Arial" w:cs="Arial" w:eastAsia="Arial" w:hAnsi="Arial"/>
          <w:sz w:val="17"/>
          <w:szCs w:val="17"/>
          <w:color w:val="auto"/>
        </w:rPr>
        <w:t>successor to</w:t>
      </w:r>
      <w:r>
        <w:rPr>
          <w:rFonts w:ascii="Arial" w:cs="Arial" w:eastAsia="Arial" w:hAnsi="Arial"/>
          <w:sz w:val="17"/>
          <w:szCs w:val="17"/>
          <w:i w:val="1"/>
          <w:iCs w:val="1"/>
          <w:color w:val="auto"/>
        </w:rPr>
        <w:t xml:space="preserve"> Residential Funding Company, LLC v Home Loan Center, Inc., No. 13-cv-3451 (U.S. Dist. Ct., Minn.). </w:t>
      </w:r>
      <w:r>
        <w:rPr>
          <w:rFonts w:ascii="Arial" w:cs="Arial" w:eastAsia="Arial" w:hAnsi="Arial"/>
          <w:sz w:val="17"/>
          <w:szCs w:val="17"/>
          <w:color w:val="auto"/>
        </w:rPr>
        <w:t>On or about December 16, 2013, Home Loan Center, Inc. was served in the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captioned matter, which involves claims of Residential Funding Company, LLC (“RFC”) for damages for breach of contract and indemnification for certain residential mortgage loans as well as residential mortgage-backed securitizations (“RMBS”) containing mortgage loans. Plaintiff then alleged that, after RFC filed for Chapter 11 protection, hundreds of proofs of claim were filed, many of which mirrored the litigation filed against RFC prior to its bankruptcy. It filed substantially similar complaints against approximately 80 of the loan originators from whom RFC had purchased loans, including HLC. Judgment was entered against HLC, </w:t>
      </w:r>
      <w:r>
        <w:rPr>
          <w:rFonts w:ascii="Arial" w:cs="Arial" w:eastAsia="Arial" w:hAnsi="Arial"/>
          <w:sz w:val="17"/>
          <w:szCs w:val="17"/>
          <w:i w:val="1"/>
          <w:iCs w:val="1"/>
          <w:color w:val="auto"/>
        </w:rPr>
        <w:t>see</w:t>
      </w:r>
      <w:r>
        <w:rPr>
          <w:rFonts w:ascii="Arial" w:cs="Arial" w:eastAsia="Arial" w:hAnsi="Arial"/>
          <w:sz w:val="17"/>
          <w:szCs w:val="17"/>
          <w:color w:val="auto"/>
        </w:rPr>
        <w:t xml:space="preserve"> Home Loan Center, Inc. Bankruptcy Filing above.</w:t>
      </w:r>
    </w:p>
    <w:p>
      <w:pPr>
        <w:spacing w:after="0" w:line="73"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 xml:space="preserve">HLC’s filing under the Bankruptcy Code discussed above in Home Loan Center, Inc. Bankruptcy Filing created an automatic stay of enforcement of the judgment entered against HLC. On August 27, 2019, plaintiff filed a lawsuit captioned </w:t>
      </w:r>
      <w:r>
        <w:rPr>
          <w:rFonts w:ascii="Arial" w:cs="Arial" w:eastAsia="Arial" w:hAnsi="Arial"/>
          <w:sz w:val="17"/>
          <w:szCs w:val="17"/>
          <w:i w:val="1"/>
          <w:iCs w:val="1"/>
          <w:color w:val="auto"/>
        </w:rPr>
        <w:t>ResCap Liquidating Trust v. LendingTree, LLC, et al., Case No. 19-cv-2360 (U.S. Dist. Ct., Minn.)</w:t>
      </w:r>
      <w:r>
        <w:rPr>
          <w:rFonts w:ascii="Arial" w:cs="Arial" w:eastAsia="Arial" w:hAnsi="Arial"/>
          <w:sz w:val="17"/>
          <w:szCs w:val="17"/>
          <w:color w:val="auto"/>
        </w:rPr>
        <w:t>, seeking to hold the Company liable for the judgment against HLC. In June 2020, the Company entered into a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ResCap, pursuant to which, the Company agreed to, among other things, pay ResCap $58.5 million, less any amounts ResCap receives in the HLC bankruptcy. In the third and fourth quarters of 2020, the Company made payments of $26.5 million and $6.4 million, respectively, to the ResCap Liquidating Trust and the ResCap Liquidating Trust, in turn, assigned its allowed claims against HLC to the Company. In the second quarter of 2021, the Company received $8.6 million related to these amounts, from the final distributions in the HLC bankruptcy on account of the allowed claims that the ResCap Liquidating Trust had assigned to the Company.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5"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i w:val="1"/>
          <w:iCs w:val="1"/>
          <w:color w:val="auto"/>
        </w:rPr>
        <w:t xml:space="preserve">Lehman Brothers Holdings Inc. v. 1st Advantage Mortgage, LLC et al., Case No. 08-13555 (SCC), Adversary Proceeding No. 16-01342 (SCC) (Bankr. S.D.N.Y.). </w:t>
      </w:r>
      <w:r>
        <w:rPr>
          <w:rFonts w:ascii="Arial" w:cs="Arial" w:eastAsia="Arial" w:hAnsi="Arial"/>
          <w:sz w:val="18"/>
          <w:szCs w:val="18"/>
          <w:color w:val="auto"/>
        </w:rPr>
        <w:t>In February 2016, Lehman Brothers Holdings, Inc. (“LBHI”) filed an Adversary Complaint against HLC and approximately 149 other defendants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“Complaint”).</w:t>
      </w:r>
    </w:p>
    <w:p>
      <w:pPr>
        <w:spacing w:after="0" w:line="75"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 xml:space="preserve">HLC’s filing under the Bankruptcy Code discussed above in Home Loan Center, Inc. Bankruptcy Filing created an automatic stay of this proceeding. On June 11, 2020, LBHI filed a lawsuit captioned </w:t>
      </w:r>
      <w:r>
        <w:rPr>
          <w:rFonts w:ascii="Arial" w:cs="Arial" w:eastAsia="Arial" w:hAnsi="Arial"/>
          <w:sz w:val="18"/>
          <w:szCs w:val="18"/>
          <w:i w:val="1"/>
          <w:iCs w:val="1"/>
          <w:color w:val="auto"/>
        </w:rPr>
        <w:t>Lehman Brothers Holdings Inc. v. LendingTree, LLC, et al., Case No. 20-cv-01351 (U.S. Dist. Ct., Minn.)</w:t>
      </w:r>
      <w:r>
        <w:rPr>
          <w:rFonts w:ascii="Arial" w:cs="Arial" w:eastAsia="Arial" w:hAnsi="Arial"/>
          <w:sz w:val="18"/>
          <w:szCs w:val="18"/>
          <w:color w:val="auto"/>
        </w:rPr>
        <w:t>, seeking to hold the Company liable for their allowed bankruptcy claim of $13.3 million. In July 2021, the Company entered into a settlement with LBHI, which payment was made in the third quarter of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19"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(loss)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2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6"/>
                <w:szCs w:val="16"/>
                <w:color w:val="auto"/>
              </w:rPr>
            </w:pPr>
          </w:p>
        </w:tc>
      </w:tr>
      <w:tr>
        <w:trPr>
          <w:trHeight w:val="25"/>
        </w:trPr>
        <w:tc>
          <w:tcPr>
            <w:tcW w:w="7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7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8"/>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9"/>
        </w:trPr>
        <w:tc>
          <w:tcPr>
            <w:tcW w:w="7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8"/>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(33,308)</w:t>
            </w:r>
          </w:p>
        </w:tc>
      </w:tr>
      <w:tr>
        <w:trPr>
          <w:trHeight w:val="222"/>
        </w:trPr>
        <w:tc>
          <w:tcPr>
            <w:tcW w:w="7040" w:type="dxa"/>
            <w:vAlign w:val="bottom"/>
          </w:tcPr>
          <w:p>
            <w:pPr>
              <w:ind w:left="140"/>
              <w:spacing w:after="0"/>
              <w:rPr>
                <w:sz w:val="20"/>
                <w:szCs w:val="20"/>
                <w:color w:val="auto"/>
              </w:rPr>
            </w:pPr>
            <w:r>
              <w:rPr>
                <w:rFonts w:ascii="Arial" w:cs="Arial" w:eastAsia="Arial" w:hAnsi="Arial"/>
                <w:sz w:val="18"/>
                <w:szCs w:val="18"/>
                <w:color w:val="auto"/>
              </w:rPr>
              <w:t>Loss before income taxes</w:t>
            </w:r>
          </w:p>
        </w:tc>
        <w:tc>
          <w:tcPr>
            <w:tcW w:w="940" w:type="dxa"/>
            <w:vAlign w:val="bottom"/>
          </w:tcPr>
          <w:p>
            <w:pPr>
              <w:spacing w:after="0"/>
              <w:rPr>
                <w:sz w:val="19"/>
                <w:szCs w:val="19"/>
                <w:color w:val="auto"/>
              </w:rPr>
            </w:pPr>
          </w:p>
        </w:tc>
        <w:tc>
          <w:tcPr>
            <w:tcW w:w="440" w:type="dxa"/>
            <w:vAlign w:val="bottom"/>
          </w:tcPr>
          <w:p>
            <w:pPr>
              <w:ind w:left="14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(4,719)</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(33,308)</w:t>
            </w:r>
          </w:p>
        </w:tc>
      </w:tr>
      <w:tr>
        <w:trPr>
          <w:trHeight w:val="228"/>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r>
      <w:tr>
        <w:trPr>
          <w:trHeight w:val="229"/>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(4,023)</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(25,689)</w:t>
            </w:r>
          </w:p>
        </w:tc>
      </w:tr>
    </w:tbl>
    <w:p>
      <w:pPr>
        <w:spacing w:after="0" w:line="18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legal proceedings against LendingTree, Inc. or LendingTree, LLC that arose due to the LendingTree Loans Business or the HLC bankruptcy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23—SEGMENT INFORMATION</w:t>
      </w:r>
    </w:p>
    <w:p>
      <w:pPr>
        <w:spacing w:after="0" w:line="119"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reportable segments include the nature of the products, the organization's internal structure, and the information that is regularly reviewed by the CODM for the purpose of assessing performance and allocating resources.</w:t>
      </w:r>
    </w:p>
    <w:p>
      <w:pPr>
        <w:spacing w:after="0" w:line="63" w:lineRule="exact"/>
        <w:rPr>
          <w:sz w:val="20"/>
          <w:szCs w:val="20"/>
          <w:color w:val="auto"/>
        </w:rPr>
      </w:pPr>
    </w:p>
    <w:p>
      <w:pPr>
        <w:jc w:val="both"/>
        <w:ind w:firstLine="323"/>
        <w:spacing w:after="0" w:line="295" w:lineRule="auto"/>
        <w:rPr>
          <w:sz w:val="20"/>
          <w:szCs w:val="20"/>
          <w:color w:val="auto"/>
        </w:rPr>
      </w:pPr>
      <w:r>
        <w:rPr>
          <w:rFonts w:ascii="Arial" w:cs="Arial" w:eastAsia="Arial" w:hAnsi="Arial"/>
          <w:sz w:val="16"/>
          <w:szCs w:val="16"/>
          <w:color w:val="auto"/>
        </w:rPr>
        <w:t>The Home segment includes the following products: purchase mortgage, refinance mortgage, home equity loans and lines of credit, and real estate. We ceased offering reverse mortgage loans in the fourth quarter of 2022. The Consumer segment includes the following products: credit cards, personal loans, small business loans, student loans, auto loans, deposit accounts, and other credit products such as credit repair and debt settlement. The Insurance segment consists of insurance quote products and sales of insurance policies in our agency businesses. Revenue from the resale of online advertising space to third parties, and the related variable marketing and advertising expenses, are included within the Other category.</w:t>
      </w:r>
    </w:p>
    <w:p>
      <w:pPr>
        <w:spacing w:after="0" w:line="52"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For the Other category, segment cost of revenue and marketing expense also includes the portion of cost of revenue attributable to costs paid for advertising re-sold to third parties. The Company ceased reselling online advertising space during the first quarter of 2020.</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jc w:val="center"/>
              <w:ind w:right="102"/>
              <w:spacing w:after="0"/>
              <w:rPr>
                <w:sz w:val="20"/>
                <w:szCs w:val="20"/>
                <w:color w:val="auto"/>
              </w:rPr>
            </w:pPr>
            <w:r>
              <w:rPr>
                <w:rFonts w:ascii="Arial" w:cs="Arial" w:eastAsia="Arial" w:hAnsi="Arial"/>
                <w:sz w:val="14"/>
                <w:szCs w:val="14"/>
                <w:b w:val="1"/>
                <w:bCs w:val="1"/>
                <w:color w:val="auto"/>
                <w:w w:val="92"/>
              </w:rPr>
              <w:t>Year Ended December 31, 2022</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Consumer</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2"/>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289,383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396,109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299,073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center"/>
              <w:ind w:left="402"/>
              <w:spacing w:after="0"/>
              <w:rPr>
                <w:sz w:val="20"/>
                <w:szCs w:val="20"/>
                <w:color w:val="auto"/>
              </w:rPr>
            </w:pPr>
            <w:r>
              <w:rPr>
                <w:rFonts w:ascii="Arial" w:cs="Arial" w:eastAsia="Arial" w:hAnsi="Arial"/>
                <w:sz w:val="16"/>
                <w:szCs w:val="16"/>
                <w:color w:val="auto"/>
                <w:w w:val="97"/>
              </w:rPr>
              <w:t>427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984,992</w:t>
            </w:r>
          </w:p>
        </w:tc>
      </w:tr>
      <w:tr>
        <w:trPr>
          <w:trHeight w:val="212"/>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cost of revenue and marketing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186,299</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221,531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207,239</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02"/>
              <w:spacing w:after="0"/>
              <w:rPr>
                <w:sz w:val="20"/>
                <w:szCs w:val="20"/>
                <w:color w:val="auto"/>
              </w:rPr>
            </w:pPr>
            <w:r>
              <w:rPr>
                <w:rFonts w:ascii="Arial" w:cs="Arial" w:eastAsia="Arial" w:hAnsi="Arial"/>
                <w:sz w:val="16"/>
                <w:szCs w:val="16"/>
                <w:color w:val="auto"/>
                <w:w w:val="97"/>
              </w:rPr>
              <w:t>982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616,051</w:t>
            </w:r>
          </w:p>
        </w:tc>
      </w:tr>
      <w:tr>
        <w:trPr>
          <w:trHeight w:val="21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103,084</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174,578</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91,834</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382"/>
              <w:spacing w:after="0"/>
              <w:rPr>
                <w:sz w:val="20"/>
                <w:szCs w:val="20"/>
                <w:color w:val="auto"/>
              </w:rPr>
            </w:pPr>
            <w:r>
              <w:rPr>
                <w:rFonts w:ascii="Arial" w:cs="Arial" w:eastAsia="Arial" w:hAnsi="Arial"/>
                <w:sz w:val="16"/>
                <w:szCs w:val="16"/>
                <w:b w:val="1"/>
                <w:bCs w:val="1"/>
                <w:color w:val="auto"/>
                <w:w w:val="96"/>
              </w:rPr>
              <w:t>(555)</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368,941</w:t>
            </w:r>
          </w:p>
        </w:tc>
      </w:tr>
      <w:tr>
        <w:trPr>
          <w:trHeight w:val="206"/>
        </w:trPr>
        <w:tc>
          <w:tcPr>
            <w:tcW w:w="574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57,769</w:t>
            </w: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86,187</w:t>
            </w: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152,377</w:t>
            </w: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55,553</w:t>
            </w: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20,095</w:t>
            </w: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25,306</w:t>
            </w: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Restructuring and severance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4,428</w:t>
            </w: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(32,756)</w:t>
            </w: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(26,014)</w:t>
            </w:r>
          </w:p>
        </w:tc>
      </w:tr>
      <w:tr>
        <w:trPr>
          <w:trHeight w:val="212"/>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3,843</w:t>
            </w:r>
          </w:p>
        </w:tc>
      </w:tr>
      <w:tr>
        <w:trPr>
          <w:trHeight w:val="21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(54,927)</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jc w:val="center"/>
              <w:ind w:right="102"/>
              <w:spacing w:after="0"/>
              <w:rPr>
                <w:sz w:val="20"/>
                <w:szCs w:val="20"/>
                <w:color w:val="auto"/>
              </w:rPr>
            </w:pPr>
            <w:r>
              <w:rPr>
                <w:rFonts w:ascii="Arial" w:cs="Arial" w:eastAsia="Arial" w:hAnsi="Arial"/>
                <w:sz w:val="14"/>
                <w:szCs w:val="14"/>
                <w:b w:val="1"/>
                <w:bCs w:val="1"/>
                <w:color w:val="auto"/>
                <w:w w:val="92"/>
              </w:rPr>
              <w:t>Year Ended December 31, 2021</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Consumer</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2"/>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441,738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329,945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326,153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1,098,499</w:t>
            </w:r>
          </w:p>
        </w:tc>
        <w:tc>
          <w:tcPr>
            <w:tcW w:w="0" w:type="dxa"/>
            <w:vAlign w:val="bottom"/>
          </w:tcPr>
          <w:p>
            <w:pPr>
              <w:spacing w:after="0"/>
              <w:rPr>
                <w:sz w:val="1"/>
                <w:szCs w:val="1"/>
                <w:color w:val="auto"/>
              </w:rPr>
            </w:pPr>
          </w:p>
        </w:tc>
      </w:tr>
      <w:tr>
        <w:trPr>
          <w:trHeight w:val="212"/>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cost of revenue and marketing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288,386</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186,448</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212,689</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688,133</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153,352</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143,497</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113,464</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410,366</w:t>
            </w:r>
          </w:p>
        </w:tc>
        <w:tc>
          <w:tcPr>
            <w:tcW w:w="0" w:type="dxa"/>
            <w:vAlign w:val="bottom"/>
          </w:tcPr>
          <w:p>
            <w:pPr>
              <w:spacing w:after="0"/>
              <w:rPr>
                <w:sz w:val="1"/>
                <w:szCs w:val="1"/>
                <w:color w:val="auto"/>
              </w:rPr>
            </w:pPr>
          </w:p>
        </w:tc>
      </w:tr>
      <w:tr>
        <w:trPr>
          <w:trHeight w:val="206"/>
        </w:trPr>
        <w:tc>
          <w:tcPr>
            <w:tcW w:w="574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57,297</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85,857</w:t>
            </w:r>
          </w:p>
        </w:tc>
        <w:tc>
          <w:tcPr>
            <w:tcW w:w="0" w:type="dxa"/>
            <w:vAlign w:val="bottom"/>
          </w:tcPr>
          <w:p>
            <w:pPr>
              <w:spacing w:after="0"/>
              <w:rPr>
                <w:sz w:val="1"/>
                <w:szCs w:val="1"/>
                <w:color w:val="auto"/>
              </w:rPr>
            </w:pP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153,472</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52,865</w:t>
            </w:r>
          </w:p>
        </w:tc>
        <w:tc>
          <w:tcPr>
            <w:tcW w:w="0" w:type="dxa"/>
            <w:vAlign w:val="bottom"/>
          </w:tcPr>
          <w:p>
            <w:pPr>
              <w:spacing w:after="0"/>
              <w:rPr>
                <w:sz w:val="1"/>
                <w:szCs w:val="1"/>
                <w:color w:val="auto"/>
              </w:rPr>
            </w:pP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17,910</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42,738</w:t>
            </w:r>
          </w:p>
        </w:tc>
        <w:tc>
          <w:tcPr>
            <w:tcW w:w="0" w:type="dxa"/>
            <w:vAlign w:val="bottom"/>
          </w:tcPr>
          <w:p>
            <w:pPr>
              <w:spacing w:after="0"/>
              <w:rPr>
                <w:sz w:val="1"/>
                <w:szCs w:val="1"/>
                <w:color w:val="auto"/>
              </w:rPr>
            </w:pP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(8,249)</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and severance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2"/>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8,031</w:t>
            </w:r>
          </w:p>
        </w:tc>
        <w:tc>
          <w:tcPr>
            <w:tcW w:w="0" w:type="dxa"/>
            <w:vAlign w:val="bottom"/>
          </w:tcPr>
          <w:p>
            <w:pPr>
              <w:spacing w:after="0"/>
              <w:rPr>
                <w:sz w:val="1"/>
                <w:szCs w:val="1"/>
                <w:color w:val="auto"/>
              </w:rPr>
            </w:pP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(46,867)</w:t>
            </w: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123,272</w:t>
            </w:r>
          </w:p>
        </w:tc>
        <w:tc>
          <w:tcPr>
            <w:tcW w:w="0" w:type="dxa"/>
            <w:vAlign w:val="bottom"/>
          </w:tcPr>
          <w:p>
            <w:pPr>
              <w:spacing w:after="0"/>
              <w:rPr>
                <w:sz w:val="1"/>
                <w:szCs w:val="1"/>
                <w:color w:val="auto"/>
              </w:rPr>
            </w:pPr>
          </w:p>
        </w:tc>
      </w:tr>
      <w:tr>
        <w:trPr>
          <w:trHeight w:val="218"/>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84,436</w:t>
            </w:r>
          </w:p>
        </w:tc>
        <w:tc>
          <w:tcPr>
            <w:tcW w:w="0" w:type="dxa"/>
            <w:vAlign w:val="bottom"/>
          </w:tcPr>
          <w:p>
            <w:pPr>
              <w:spacing w:after="0"/>
              <w:rPr>
                <w:sz w:val="1"/>
                <w:szCs w:val="1"/>
                <w:color w:val="auto"/>
              </w:rPr>
            </w:pPr>
          </w:p>
        </w:tc>
      </w:tr>
      <w:tr>
        <w:trPr>
          <w:trHeight w:val="512"/>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5"/>
          </w:tcPr>
          <w:p>
            <w:pPr>
              <w:jc w:val="center"/>
              <w:ind w:right="102"/>
              <w:spacing w:after="0"/>
              <w:rPr>
                <w:sz w:val="20"/>
                <w:szCs w:val="20"/>
                <w:color w:val="auto"/>
              </w:rPr>
            </w:pPr>
            <w:r>
              <w:rPr>
                <w:rFonts w:ascii="Arial" w:cs="Arial" w:eastAsia="Arial" w:hAnsi="Arial"/>
                <w:sz w:val="14"/>
                <w:szCs w:val="14"/>
                <w:b w:val="1"/>
                <w:bCs w:val="1"/>
                <w:color w:val="auto"/>
                <w:w w:val="92"/>
              </w:rPr>
              <w:t>Year Ended December 31, 2020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Consumer</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2"/>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i w:val="1"/>
                <w:iCs w:val="1"/>
                <w:color w:val="auto"/>
                <w:w w:val="90"/>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253,198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333,765</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909,990</w:t>
            </w:r>
          </w:p>
        </w:tc>
        <w:tc>
          <w:tcPr>
            <w:tcW w:w="0" w:type="dxa"/>
            <w:vAlign w:val="bottom"/>
          </w:tcPr>
          <w:p>
            <w:pPr>
              <w:spacing w:after="0"/>
              <w:rPr>
                <w:sz w:val="1"/>
                <w:szCs w:val="1"/>
                <w:color w:val="auto"/>
              </w:rPr>
            </w:pPr>
          </w:p>
        </w:tc>
      </w:tr>
      <w:tr>
        <w:trPr>
          <w:trHeight w:val="212"/>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cost of revenue and marketing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188,869</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146,308</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202,623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540,517</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132,123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106,890</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131,142</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(682)</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369,473</w:t>
            </w:r>
          </w:p>
        </w:tc>
        <w:tc>
          <w:tcPr>
            <w:tcW w:w="0" w:type="dxa"/>
            <w:vAlign w:val="bottom"/>
          </w:tcPr>
          <w:p>
            <w:pPr>
              <w:spacing w:after="0"/>
              <w:rPr>
                <w:sz w:val="1"/>
                <w:szCs w:val="1"/>
                <w:color w:val="auto"/>
              </w:rPr>
            </w:pPr>
          </w:p>
        </w:tc>
      </w:tr>
      <w:tr>
        <w:trPr>
          <w:trHeight w:val="145"/>
        </w:trPr>
        <w:tc>
          <w:tcPr>
            <w:tcW w:w="5740" w:type="dxa"/>
            <w:vAlign w:val="bottom"/>
          </w:tcPr>
          <w:p>
            <w:pPr>
              <w:ind w:left="140"/>
              <w:spacing w:after="0" w:line="145" w:lineRule="exact"/>
              <w:rPr>
                <w:sz w:val="20"/>
                <w:szCs w:val="20"/>
                <w:color w:val="auto"/>
              </w:rPr>
            </w:pPr>
            <w:r>
              <w:rPr>
                <w:rFonts w:ascii="Arial" w:cs="Arial" w:eastAsia="Arial" w:hAnsi="Arial"/>
                <w:sz w:val="16"/>
                <w:szCs w:val="16"/>
                <w:color w:val="auto"/>
                <w:w w:val="99"/>
              </w:rPr>
              <w:t>Cost of revenue (exclusive of cost of advertising re-sold to third parties included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53,408</w:t>
            </w:r>
          </w:p>
        </w:tc>
        <w:tc>
          <w:tcPr>
            <w:tcW w:w="0" w:type="dxa"/>
            <w:vAlign w:val="bottom"/>
          </w:tcPr>
          <w:p>
            <w:pPr>
              <w:spacing w:after="0"/>
              <w:rPr>
                <w:sz w:val="1"/>
                <w:szCs w:val="1"/>
                <w:color w:val="auto"/>
              </w:rPr>
            </w:pPr>
          </w:p>
        </w:tc>
      </w:tr>
      <w:tr>
        <w:trPr>
          <w:trHeight w:val="209"/>
        </w:trPr>
        <w:tc>
          <w:tcPr>
            <w:tcW w:w="5740" w:type="dxa"/>
            <w:vAlign w:val="bottom"/>
          </w:tcPr>
          <w:p>
            <w:pPr>
              <w:ind w:left="140"/>
              <w:spacing w:after="0"/>
              <w:rPr>
                <w:sz w:val="20"/>
                <w:szCs w:val="20"/>
                <w:color w:val="auto"/>
              </w:rPr>
            </w:pPr>
            <w:r>
              <w:rPr>
                <w:rFonts w:ascii="Arial" w:cs="Arial" w:eastAsia="Arial" w:hAnsi="Arial"/>
                <w:sz w:val="16"/>
                <w:szCs w:val="16"/>
                <w:color w:val="auto"/>
              </w:rPr>
              <w:t>above)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77,973</w:t>
            </w:r>
          </w:p>
        </w:tc>
        <w:tc>
          <w:tcPr>
            <w:tcW w:w="0" w:type="dxa"/>
            <w:vAlign w:val="bottom"/>
          </w:tcPr>
          <w:p>
            <w:pPr>
              <w:spacing w:after="0"/>
              <w:rPr>
                <w:sz w:val="1"/>
                <w:szCs w:val="1"/>
                <w:color w:val="auto"/>
              </w:rPr>
            </w:pP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129,101</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43,636</w:t>
            </w:r>
          </w:p>
        </w:tc>
        <w:tc>
          <w:tcPr>
            <w:tcW w:w="0" w:type="dxa"/>
            <w:vAlign w:val="bottom"/>
          </w:tcPr>
          <w:p>
            <w:pPr>
              <w:spacing w:after="0"/>
              <w:rPr>
                <w:sz w:val="1"/>
                <w:szCs w:val="1"/>
                <w:color w:val="auto"/>
              </w:rPr>
            </w:pP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14,201</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53,078</w:t>
            </w:r>
          </w:p>
        </w:tc>
        <w:tc>
          <w:tcPr>
            <w:tcW w:w="0" w:type="dxa"/>
            <w:vAlign w:val="bottom"/>
          </w:tcPr>
          <w:p>
            <w:pPr>
              <w:spacing w:after="0"/>
              <w:rPr>
                <w:sz w:val="1"/>
                <w:szCs w:val="1"/>
                <w:color w:val="auto"/>
              </w:rPr>
            </w:pP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and severance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2"/>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(6,603)</w:t>
            </w:r>
          </w:p>
        </w:tc>
        <w:tc>
          <w:tcPr>
            <w:tcW w:w="0" w:type="dxa"/>
            <w:vAlign w:val="bottom"/>
          </w:tcPr>
          <w:p>
            <w:pPr>
              <w:spacing w:after="0"/>
              <w:rPr>
                <w:sz w:val="1"/>
                <w:szCs w:val="1"/>
                <w:color w:val="auto"/>
              </w:rPr>
            </w:pPr>
          </w:p>
        </w:tc>
      </w:tr>
      <w:tr>
        <w:trPr>
          <w:trHeight w:val="212"/>
        </w:trPr>
        <w:tc>
          <w:tcPr>
            <w:tcW w:w="57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(36,300)</w:t>
            </w: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8"/>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(42,527)</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CODM does not review information on segment assets and as such, no segment asset information is reported herein.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24—RESTRUCTURING ACTIVITIES</w:t>
      </w:r>
    </w:p>
    <w:p>
      <w:pPr>
        <w:spacing w:after="0" w:line="17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During 2022, the Company completed workforce reductions in each of the first, second, and fourth quarters of approximately 75 employees, 25 employees, and 50 employees, respectively. The Company incurred total expense of $4.4 million consisting of employee separation costs of $3.3 million and non-cash compensation expense of $1.1 million due to the accelerated vesting of certain equity awards. All employee separation costs are expected to be paid by the third quarter of 2023.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ind w:left="60"/>
              <w:spacing w:after="0" w:line="152" w:lineRule="exact"/>
              <w:rPr>
                <w:sz w:val="20"/>
                <w:szCs w:val="20"/>
                <w:color w:val="auto"/>
              </w:rPr>
            </w:pPr>
            <w:r>
              <w:rPr>
                <w:rFonts w:ascii="Arial" w:cs="Arial" w:eastAsia="Arial" w:hAnsi="Arial"/>
                <w:sz w:val="14"/>
                <w:szCs w:val="14"/>
                <w:b w:val="1"/>
                <w:bCs w:val="1"/>
                <w:color w:val="auto"/>
              </w:rPr>
              <w:t>Accrued Balance at</w:t>
            </w:r>
          </w:p>
        </w:tc>
        <w:tc>
          <w:tcPr>
            <w:tcW w:w="16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4"/>
              </w:rPr>
              <w:t>Income Statement Impact</w:t>
            </w: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4"/>
                <w:szCs w:val="14"/>
                <w:b w:val="1"/>
                <w:bCs w:val="1"/>
                <w:color w:val="auto"/>
              </w:rPr>
              <w:t>Payments</w:t>
            </w:r>
          </w:p>
        </w:tc>
        <w:tc>
          <w:tcPr>
            <w:tcW w:w="3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Non-Cash</w:t>
            </w: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ind w:left="60"/>
              <w:spacing w:after="0" w:line="152" w:lineRule="exact"/>
              <w:rPr>
                <w:sz w:val="20"/>
                <w:szCs w:val="20"/>
                <w:color w:val="auto"/>
              </w:rPr>
            </w:pPr>
            <w:r>
              <w:rPr>
                <w:rFonts w:ascii="Arial" w:cs="Arial" w:eastAsia="Arial" w:hAnsi="Arial"/>
                <w:sz w:val="14"/>
                <w:szCs w:val="14"/>
                <w:b w:val="1"/>
                <w:bCs w:val="1"/>
                <w:color w:val="auto"/>
              </w:rPr>
              <w:t>Accrued Balance at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ind w:left="80"/>
              <w:spacing w:after="0"/>
              <w:rPr>
                <w:sz w:val="20"/>
                <w:szCs w:val="20"/>
                <w:color w:val="auto"/>
              </w:rPr>
            </w:pPr>
            <w:r>
              <w:rPr>
                <w:rFonts w:ascii="Arial" w:cs="Arial" w:eastAsia="Arial" w:hAnsi="Arial"/>
                <w:sz w:val="14"/>
                <w:szCs w:val="14"/>
                <w:b w:val="1"/>
                <w:bCs w:val="1"/>
                <w:color w:val="auto"/>
              </w:rPr>
              <w:t>December 31, 2021</w:t>
            </w:r>
          </w:p>
        </w:tc>
        <w:tc>
          <w:tcPr>
            <w:tcW w:w="16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4"/>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 actions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20" w:type="dxa"/>
            <w:vAlign w:val="bottom"/>
          </w:tcPr>
          <w:p>
            <w:pPr>
              <w:ind w:left="140"/>
              <w:spacing w:after="0"/>
              <w:rPr>
                <w:sz w:val="20"/>
                <w:szCs w:val="20"/>
                <w:color w:val="auto"/>
              </w:rPr>
            </w:pPr>
            <w:r>
              <w:rPr>
                <w:rFonts w:ascii="Arial" w:cs="Arial" w:eastAsia="Arial" w:hAnsi="Arial"/>
                <w:sz w:val="18"/>
                <w:szCs w:val="18"/>
                <w:color w:val="auto"/>
              </w:rPr>
              <w:t>Employee separation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ind w:left="122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3,345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(3,041)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Non-cash compensation</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6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b w:val="1"/>
                <w:bCs w:val="1"/>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4,428</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0"/>
        </w:trPr>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3"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As required by Rule 13a-15(b) of the Securities Exchange Act of 1934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8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Based upon that evaluation, our Chief Executive Officer and Chief Financial Officer concluded that, as of December 31, 2022,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3" w:lineRule="exact"/>
        <w:rPr>
          <w:sz w:val="20"/>
          <w:szCs w:val="20"/>
          <w:color w:val="auto"/>
        </w:rPr>
      </w:pPr>
    </w:p>
    <w:p>
      <w:pPr>
        <w:jc w:val="both"/>
        <w:ind w:firstLine="323"/>
        <w:spacing w:after="0" w:line="268"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jc w:val="both"/>
        <w:ind w:firstLine="323"/>
        <w:spacing w:after="0" w:line="290" w:lineRule="auto"/>
        <w:rPr>
          <w:sz w:val="20"/>
          <w:szCs w:val="20"/>
          <w:color w:val="auto"/>
        </w:rPr>
      </w:pPr>
      <w:r>
        <w:rPr>
          <w:rFonts w:ascii="Arial" w:cs="Arial" w:eastAsia="Arial" w:hAnsi="Arial"/>
          <w:sz w:val="16"/>
          <w:szCs w:val="16"/>
          <w:color w:val="auto"/>
        </w:rPr>
        <w:t>Management, with the participation of our Chief Executive Officer and Chief Financial Officer, assessed the effectiveness of our internal control over financial reporting as of December 31, 2022.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2022. The effectiveness of our internal control over financial reporting as of December 31, 2022 has been audited by PricewaterhouseCoopers LLP, an independent registered public accounting firm, as stated in their report appearing under “Item 8. Financial Statements and Supplementary Data” included elsewhere in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3" w:lineRule="exact"/>
        <w:rPr>
          <w:sz w:val="20"/>
          <w:szCs w:val="20"/>
          <w:color w:val="auto"/>
        </w:rPr>
      </w:pPr>
    </w:p>
    <w:p>
      <w:pPr>
        <w:jc w:val="both"/>
        <w:ind w:right="20" w:firstLine="323"/>
        <w:spacing w:after="0" w:line="305" w:lineRule="auto"/>
        <w:rPr>
          <w:sz w:val="20"/>
          <w:szCs w:val="20"/>
          <w:color w:val="auto"/>
        </w:rPr>
      </w:pPr>
      <w:r>
        <w:rPr>
          <w:rFonts w:ascii="Arial" w:cs="Arial" w:eastAsia="Arial" w:hAnsi="Arial"/>
          <w:sz w:val="17"/>
          <w:szCs w:val="17"/>
          <w:color w:val="auto"/>
        </w:rPr>
        <w:t>There was no change in our internal control over financial reporting (as defined in the Exchange Act, Rules 13a-15(f)) that occurred during the quarter ended December 31, 2022 that has materially affected, or is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color w:val="auto"/>
        </w:rPr>
        <w:t xml:space="preserve">ITEM 9C. </w:t>
      </w:r>
      <w:r>
        <w:rPr>
          <w:rFonts w:ascii="Arial" w:cs="Arial" w:eastAsia="Arial" w:hAnsi="Arial"/>
          <w:sz w:val="15"/>
          <w:szCs w:val="15"/>
          <w:b w:val="1"/>
          <w:bCs w:val="1"/>
          <w:i w:val="1"/>
          <w:iCs w:val="1"/>
          <w:color w:val="auto"/>
        </w:rPr>
        <w:t>Disclosure Regarding Foreign Jurisdictions that Prevent Inspections.</w:t>
      </w:r>
    </w:p>
    <w:p>
      <w:pPr>
        <w:sectPr>
          <w:pgSz w:w="11900" w:h="16838" w:orient="portrait"/>
          <w:cols w:equalWidth="0" w:num="1">
            <w:col w:w="10139"/>
          </w:cols>
          <w:pgMar w:left="320" w:top="1156" w:right="1440" w:bottom="1440" w:gutter="0" w:footer="0" w:header="0"/>
        </w:sect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156" w:right="1440"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3"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the Company's definitive proxy statement to be used in connection with its 2023 Annual Meeting of Stockholders and which will be filed with the Securities and Exchange Commission not later than 120 days after the end of the Company's fiscal year ended December 31, 2022 (the “2023 Proxy Statement”), in accordance with General Instruction G(3) of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10 will be contained in, and is hereby incorporated by reference to, the 2023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11 will be contained in, and is hereby incorporated by reference to, the 2023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12 will be contained in, and is hereby incorporated by reference to, the 2023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13 will be contained in, and is hereby incorporated by reference to, the 2023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14 will be contained in, and is hereby incorporated by reference to, the 2023 Proxy Statement.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  List of documents filed as part of this report: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 of LendingTree, Inc.</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PricewaterhouseCoopers LLP.</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Operations and Comprehensive Income (Loss) for the Years Ended December 31, 2022, 2021 and 2020.</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as of December 31, 2022 and 2021.</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for the Years Ended December 31, 2022, 2021 and 2020.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Consolidated Financial Statement Schedules of LendingTree, Inc.</w:t>
      </w:r>
    </w:p>
    <w:p>
      <w:pPr>
        <w:spacing w:after="0" w:line="160" w:lineRule="exact"/>
        <w:rPr>
          <w:sz w:val="20"/>
          <w:szCs w:val="20"/>
          <w:color w:val="auto"/>
        </w:rPr>
      </w:pPr>
    </w:p>
    <w:p>
      <w:pPr>
        <w:ind w:right="760" w:firstLine="323"/>
        <w:spacing w:after="0" w:line="275" w:lineRule="auto"/>
        <w:rPr>
          <w:sz w:val="20"/>
          <w:szCs w:val="20"/>
          <w:color w:val="auto"/>
        </w:rPr>
      </w:pPr>
      <w:r>
        <w:rPr>
          <w:rFonts w:ascii="Arial" w:cs="Arial" w:eastAsia="Arial" w:hAnsi="Arial"/>
          <w:sz w:val="18"/>
          <w:szCs w:val="18"/>
          <w:color w:val="auto"/>
        </w:rPr>
        <w:t>All consolidated financial statements and schedules have been omitted since the required information is included in the consolidated financial statements or the notes thereto, or is not applicable or required.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3" w:lineRule="exact"/>
        <w:rPr>
          <w:sz w:val="20"/>
          <w:szCs w:val="20"/>
          <w:color w:val="auto"/>
        </w:rPr>
      </w:pPr>
    </w:p>
    <w:p>
      <w:pPr>
        <w:ind w:firstLine="323"/>
        <w:spacing w:after="0" w:line="270"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tbl>
      <w:tblPr>
        <w:tblLayout w:type="fixed"/>
        <w:tblInd w:w="0" w:type="dxa"/>
        <w:tblCellMar>
          <w:top w:w="0" w:type="dxa"/>
          <w:left w:w="0" w:type="dxa"/>
          <w:bottom w:w="0" w:type="dxa"/>
          <w:right w:w="0" w:type="dxa"/>
        </w:tblCellMar>
      </w:tblPr>
      <w:tr>
        <w:trPr>
          <w:trHeight w:val="189"/>
        </w:trPr>
        <w:tc>
          <w:tcPr>
            <w:tcW w:w="120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Exhibit</w:t>
            </w: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r>
      <w:tr>
        <w:trPr>
          <w:trHeight w:val="233"/>
        </w:trPr>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8"/>
          </w:tcPr>
          <w:p>
            <w:pPr>
              <w:ind w:left="100"/>
              <w:spacing w:after="0"/>
              <w:rPr>
                <w:sz w:val="20"/>
                <w:szCs w:val="20"/>
                <w:color w:val="auto"/>
              </w:rPr>
            </w:pPr>
            <w:r>
              <w:rPr>
                <w:rFonts w:ascii="Arial" w:cs="Arial" w:eastAsia="Arial" w:hAnsi="Arial"/>
                <w:sz w:val="18"/>
                <w:szCs w:val="18"/>
                <w:b w:val="1"/>
                <w:bCs w:val="1"/>
                <w:color w:val="auto"/>
              </w:rPr>
              <w:t>Description</w:t>
            </w:r>
          </w:p>
        </w:tc>
        <w:tc>
          <w:tcPr>
            <w:tcW w:w="462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Location</w:t>
            </w: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2.1</w:t>
            </w:r>
          </w:p>
        </w:tc>
        <w:tc>
          <w:tcPr>
            <w:tcW w:w="5420" w:type="dxa"/>
            <w:vAlign w:val="bottom"/>
            <w:gridSpan w:val="23"/>
            <w:shd w:val="clear" w:color="auto" w:fill="CCEEFF"/>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Separation and Distribution Agreement among IAC/InterActiveCorp,</w:t>
              </w:r>
            </w:hyperlink>
          </w:p>
        </w:tc>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89"/>
              </w:rPr>
              <w:t>Exhibit 2.1 to the Registrant's Registration Statement on Form S-</w:t>
            </w: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380" w:type="dxa"/>
            <w:vAlign w:val="bottom"/>
            <w:tcBorders>
              <w:top w:val="single" w:sz="8" w:color="0000FF"/>
            </w:tcBorders>
            <w:gridSpan w:val="21"/>
            <w:shd w:val="clear" w:color="auto" w:fill="CCEEFF"/>
          </w:tcPr>
          <w:p>
            <w:pPr>
              <w:spacing w:after="0" w:line="168"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HSN, Inc., Interval Leisure Group, Inc., Ticketmaster and Tree.com,</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2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8"/>
                <w:szCs w:val="18"/>
                <w:color w:val="auto"/>
              </w:rPr>
              <w:t>1 (No. 333-152700), filed August 1, 2008</w:t>
            </w:r>
          </w:p>
        </w:tc>
      </w:tr>
      <w:tr>
        <w:trPr>
          <w:trHeight w:val="175"/>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2040" w:type="dxa"/>
            <w:vAlign w:val="bottom"/>
            <w:tcBorders>
              <w:top w:val="single" w:sz="8" w:color="0000FF"/>
              <w:bottom w:val="single" w:sz="8" w:color="0000FF"/>
            </w:tcBorders>
            <w:gridSpan w:val="5"/>
            <w:shd w:val="clear" w:color="auto" w:fill="CCEEFF"/>
          </w:tcPr>
          <w:p>
            <w:pPr>
              <w:spacing w:after="0" w:line="154" w:lineRule="exact"/>
              <w:rPr>
                <w:rFonts w:ascii="Arial" w:cs="Arial" w:eastAsia="Arial" w:hAnsi="Arial"/>
                <w:sz w:val="17"/>
                <w:szCs w:val="17"/>
                <w:color w:val="0000FF"/>
                <w:w w:val="94"/>
              </w:rPr>
            </w:pPr>
            <w:hyperlink r:id="rId118">
              <w:r>
                <w:rPr>
                  <w:rFonts w:ascii="Arial" w:cs="Arial" w:eastAsia="Arial" w:hAnsi="Arial"/>
                  <w:sz w:val="17"/>
                  <w:szCs w:val="17"/>
                  <w:color w:val="0000FF"/>
                  <w:w w:val="94"/>
                </w:rPr>
                <w:t>Inc., dated August 20, 2008.</w:t>
              </w:r>
            </w:hyperlink>
          </w:p>
        </w:tc>
        <w:tc>
          <w:tcPr>
            <w:tcW w:w="322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2.2</w:t>
            </w:r>
          </w:p>
        </w:tc>
        <w:tc>
          <w:tcPr>
            <w:tcW w:w="5420" w:type="dxa"/>
            <w:vAlign w:val="bottom"/>
            <w:gridSpan w:val="23"/>
          </w:tcPr>
          <w:p>
            <w:pPr>
              <w:spacing w:after="0" w:line="189" w:lineRule="exact"/>
              <w:rPr>
                <w:rFonts w:ascii="Arial" w:cs="Arial" w:eastAsia="Arial" w:hAnsi="Arial"/>
                <w:sz w:val="18"/>
                <w:szCs w:val="18"/>
                <w:color w:val="0000FF"/>
              </w:rPr>
            </w:pPr>
            <w:hyperlink r:id="rId119">
              <w:r>
                <w:rPr>
                  <w:rFonts w:ascii="Arial" w:cs="Arial" w:eastAsia="Arial" w:hAnsi="Arial"/>
                  <w:sz w:val="18"/>
                  <w:szCs w:val="18"/>
                  <w:color w:val="0000FF"/>
                </w:rPr>
                <w:t>Tax  Sharing  Agreement  among  IAC/InterActiveCorp,  HSN,  Inc.,</w:t>
              </w:r>
            </w:hyperlink>
          </w:p>
        </w:tc>
        <w:tc>
          <w:tcPr>
            <w:tcW w:w="4620" w:type="dxa"/>
            <w:vAlign w:val="bottom"/>
          </w:tcPr>
          <w:p>
            <w:pPr>
              <w:spacing w:after="0" w:line="189" w:lineRule="exact"/>
              <w:rPr>
                <w:sz w:val="20"/>
                <w:szCs w:val="20"/>
                <w:color w:val="auto"/>
              </w:rPr>
            </w:pPr>
            <w:r>
              <w:rPr>
                <w:rFonts w:ascii="Arial" w:cs="Arial" w:eastAsia="Arial" w:hAnsi="Arial"/>
                <w:sz w:val="18"/>
                <w:szCs w:val="18"/>
                <w:color w:val="auto"/>
                <w:w w:val="90"/>
              </w:rPr>
              <w:t>Exhibit 10.2 to the Registrant's Current Report on Form 8-K filed</w:t>
            </w:r>
          </w:p>
        </w:tc>
      </w:tr>
      <w:tr>
        <w:trPr>
          <w:trHeight w:val="168"/>
        </w:trPr>
        <w:tc>
          <w:tcPr>
            <w:tcW w:w="1200" w:type="dxa"/>
            <w:vAlign w:val="bottom"/>
          </w:tcPr>
          <w:p>
            <w:pPr>
              <w:spacing w:after="0"/>
              <w:rPr>
                <w:sz w:val="14"/>
                <w:szCs w:val="14"/>
                <w:color w:val="auto"/>
              </w:rPr>
            </w:pPr>
          </w:p>
        </w:tc>
        <w:tc>
          <w:tcPr>
            <w:tcW w:w="5280" w:type="dxa"/>
            <w:vAlign w:val="bottom"/>
            <w:tcBorders>
              <w:top w:val="single" w:sz="8" w:color="0000FF"/>
            </w:tcBorders>
            <w:gridSpan w:val="16"/>
          </w:tcPr>
          <w:p>
            <w:pPr>
              <w:spacing w:after="0" w:line="168" w:lineRule="exact"/>
              <w:rPr>
                <w:rFonts w:ascii="Arial" w:cs="Arial" w:eastAsia="Arial" w:hAnsi="Arial"/>
                <w:sz w:val="18"/>
                <w:szCs w:val="18"/>
                <w:color w:val="0000FF"/>
                <w:w w:val="97"/>
              </w:rPr>
            </w:pPr>
            <w:hyperlink r:id="rId119">
              <w:r>
                <w:rPr>
                  <w:rFonts w:ascii="Arial" w:cs="Arial" w:eastAsia="Arial" w:hAnsi="Arial"/>
                  <w:sz w:val="18"/>
                  <w:szCs w:val="18"/>
                  <w:color w:val="0000FF"/>
                  <w:w w:val="97"/>
                </w:rPr>
                <w:t>Interval Leisure Group, Inc., Ticketmaster and Tree.com, Inc., dated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Pr>
          <w:p>
            <w:pPr>
              <w:spacing w:after="0" w:line="168" w:lineRule="exact"/>
              <w:rPr>
                <w:sz w:val="20"/>
                <w:szCs w:val="20"/>
                <w:color w:val="auto"/>
              </w:rPr>
            </w:pPr>
            <w:r>
              <w:rPr>
                <w:rFonts w:ascii="Arial" w:cs="Arial" w:eastAsia="Arial" w:hAnsi="Arial"/>
                <w:sz w:val="18"/>
                <w:szCs w:val="18"/>
                <w:color w:val="auto"/>
              </w:rPr>
              <w:t>August 25, 2008</w:t>
            </w:r>
          </w:p>
        </w:tc>
      </w:tr>
      <w:tr>
        <w:trPr>
          <w:trHeight w:val="155"/>
        </w:trPr>
        <w:tc>
          <w:tcPr>
            <w:tcW w:w="1200" w:type="dxa"/>
            <w:vAlign w:val="bottom"/>
          </w:tcPr>
          <w:p>
            <w:pPr>
              <w:spacing w:after="0"/>
              <w:rPr>
                <w:sz w:val="13"/>
                <w:szCs w:val="13"/>
                <w:color w:val="auto"/>
              </w:rPr>
            </w:pPr>
          </w:p>
        </w:tc>
        <w:tc>
          <w:tcPr>
            <w:tcW w:w="5240" w:type="dxa"/>
            <w:vAlign w:val="bottom"/>
            <w:tcBorders>
              <w:top w:val="single" w:sz="8" w:color="0000FF"/>
            </w:tcBorders>
            <w:gridSpan w:val="14"/>
          </w:tcPr>
          <w:p>
            <w:pPr>
              <w:spacing w:after="0" w:line="154" w:lineRule="exact"/>
              <w:rPr>
                <w:rFonts w:ascii="Arial" w:cs="Arial" w:eastAsia="Arial" w:hAnsi="Arial"/>
                <w:sz w:val="17"/>
                <w:szCs w:val="17"/>
                <w:color w:val="0000FF"/>
              </w:rPr>
            </w:pPr>
            <w:hyperlink r:id="rId119">
              <w:r>
                <w:rPr>
                  <w:rFonts w:ascii="Arial" w:cs="Arial" w:eastAsia="Arial" w:hAnsi="Arial"/>
                  <w:sz w:val="17"/>
                  <w:szCs w:val="17"/>
                  <w:color w:val="0000FF"/>
                </w:rPr>
                <w:t>August 20, 2008.</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2.3</w:t>
            </w:r>
          </w:p>
        </w:tc>
        <w:tc>
          <w:tcPr>
            <w:tcW w:w="5420" w:type="dxa"/>
            <w:vAlign w:val="bottom"/>
            <w:gridSpan w:val="23"/>
            <w:shd w:val="clear" w:color="auto" w:fill="CCEEFF"/>
          </w:tcPr>
          <w:p>
            <w:pPr>
              <w:spacing w:after="0" w:line="189" w:lineRule="exact"/>
              <w:rPr>
                <w:rFonts w:ascii="Arial" w:cs="Arial" w:eastAsia="Arial" w:hAnsi="Arial"/>
                <w:sz w:val="18"/>
                <w:szCs w:val="18"/>
                <w:color w:val="0000FF"/>
                <w:w w:val="97"/>
              </w:rPr>
            </w:pPr>
            <w:hyperlink r:id="rId120">
              <w:r>
                <w:rPr>
                  <w:rFonts w:ascii="Arial" w:cs="Arial" w:eastAsia="Arial" w:hAnsi="Arial"/>
                  <w:sz w:val="18"/>
                  <w:szCs w:val="18"/>
                  <w:color w:val="0000FF"/>
                  <w:w w:val="97"/>
                </w:rPr>
                <w:t>Employee Matters Agreement among IAC/InterActiveCorp, HSN, Inc.,</w:t>
              </w:r>
            </w:hyperlink>
          </w:p>
        </w:tc>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Exhibit 10.3 to the Registrant's Current Report on Form 8-K filed</w:t>
            </w: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400" w:type="dxa"/>
            <w:vAlign w:val="bottom"/>
            <w:tcBorders>
              <w:top w:val="single" w:sz="8" w:color="0000FF"/>
            </w:tcBorders>
            <w:gridSpan w:val="22"/>
            <w:shd w:val="clear" w:color="auto" w:fill="CCEEFF"/>
          </w:tcPr>
          <w:p>
            <w:pPr>
              <w:spacing w:after="0" w:line="168"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Interval Leisure Group, Inc., Ticketmaster and Tree.com, Inc., dated</w:t>
              </w:r>
            </w:hyperlink>
          </w:p>
        </w:tc>
        <w:tc>
          <w:tcPr>
            <w:tcW w:w="20" w:type="dxa"/>
            <w:vAlign w:val="bottom"/>
            <w:tcBorders>
              <w:top w:val="single" w:sz="8" w:color="CCEEFF"/>
            </w:tcBorders>
            <w:shd w:val="clear" w:color="auto" w:fill="CCEEFF"/>
          </w:tcPr>
          <w:p>
            <w:pPr>
              <w:spacing w:after="0"/>
              <w:rPr>
                <w:sz w:val="14"/>
                <w:szCs w:val="14"/>
                <w:color w:val="auto"/>
              </w:rPr>
            </w:pPr>
          </w:p>
        </w:tc>
        <w:tc>
          <w:tcPr>
            <w:tcW w:w="462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8"/>
                <w:szCs w:val="18"/>
                <w:color w:val="auto"/>
              </w:rPr>
              <w:t>August 25, 2008</w:t>
            </w: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40" w:type="dxa"/>
            <w:vAlign w:val="bottom"/>
            <w:tcBorders>
              <w:top w:val="single" w:sz="8" w:color="0000FF"/>
            </w:tcBorders>
            <w:gridSpan w:val="14"/>
            <w:shd w:val="clear" w:color="auto" w:fill="CCEEFF"/>
          </w:tcPr>
          <w:p>
            <w:pPr>
              <w:spacing w:after="0" w:line="154" w:lineRule="exact"/>
              <w:rPr>
                <w:rFonts w:ascii="Arial" w:cs="Arial" w:eastAsia="Arial" w:hAnsi="Arial"/>
                <w:sz w:val="17"/>
                <w:szCs w:val="17"/>
                <w:color w:val="0000FF"/>
              </w:rPr>
            </w:pPr>
            <w:hyperlink r:id="rId120">
              <w:r>
                <w:rPr>
                  <w:rFonts w:ascii="Arial" w:cs="Arial" w:eastAsia="Arial" w:hAnsi="Arial"/>
                  <w:sz w:val="17"/>
                  <w:szCs w:val="17"/>
                  <w:color w:val="0000FF"/>
                </w:rPr>
                <w:t>August 20, 2008.</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620" w:type="dxa"/>
            <w:vAlign w:val="bottom"/>
            <w:tcBorders>
              <w:top w:val="single" w:sz="8" w:color="CCEEFF"/>
            </w:tcBorders>
            <w:shd w:val="clear" w:color="auto" w:fill="CCEEFF"/>
          </w:tcPr>
          <w:p>
            <w:pPr>
              <w:spacing w:after="0"/>
              <w:rPr>
                <w:sz w:val="13"/>
                <w:szCs w:val="13"/>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2.4</w:t>
            </w:r>
          </w:p>
        </w:tc>
        <w:tc>
          <w:tcPr>
            <w:tcW w:w="5420" w:type="dxa"/>
            <w:vAlign w:val="bottom"/>
            <w:gridSpan w:val="23"/>
          </w:tcPr>
          <w:p>
            <w:pPr>
              <w:spacing w:after="0" w:line="189" w:lineRule="exact"/>
              <w:rPr>
                <w:rFonts w:ascii="Arial" w:cs="Arial" w:eastAsia="Arial" w:hAnsi="Arial"/>
                <w:sz w:val="18"/>
                <w:szCs w:val="18"/>
                <w:color w:val="0000FF"/>
              </w:rPr>
            </w:pPr>
            <w:hyperlink r:id="rId121">
              <w:r>
                <w:rPr>
                  <w:rFonts w:ascii="Arial" w:cs="Arial" w:eastAsia="Arial" w:hAnsi="Arial"/>
                  <w:sz w:val="18"/>
                  <w:szCs w:val="18"/>
                  <w:color w:val="0000FF"/>
                </w:rPr>
                <w:t>Transition Services Agreement among IAC/InterActiveCorp, HSN,</w:t>
              </w:r>
            </w:hyperlink>
          </w:p>
        </w:tc>
        <w:tc>
          <w:tcPr>
            <w:tcW w:w="4620" w:type="dxa"/>
            <w:vAlign w:val="bottom"/>
          </w:tcPr>
          <w:p>
            <w:pPr>
              <w:spacing w:after="0" w:line="189" w:lineRule="exact"/>
              <w:rPr>
                <w:sz w:val="20"/>
                <w:szCs w:val="20"/>
                <w:color w:val="auto"/>
              </w:rPr>
            </w:pPr>
            <w:r>
              <w:rPr>
                <w:rFonts w:ascii="Arial" w:cs="Arial" w:eastAsia="Arial" w:hAnsi="Arial"/>
                <w:sz w:val="18"/>
                <w:szCs w:val="18"/>
                <w:color w:val="auto"/>
                <w:w w:val="90"/>
              </w:rPr>
              <w:t>Exhibit 10.4 to the Registrant's Current Report on Form 8-K filed</w:t>
            </w:r>
          </w:p>
        </w:tc>
      </w:tr>
      <w:tr>
        <w:trPr>
          <w:trHeight w:val="168"/>
        </w:trPr>
        <w:tc>
          <w:tcPr>
            <w:tcW w:w="1200" w:type="dxa"/>
            <w:vAlign w:val="bottom"/>
          </w:tcPr>
          <w:p>
            <w:pPr>
              <w:spacing w:after="0"/>
              <w:rPr>
                <w:sz w:val="14"/>
                <w:szCs w:val="14"/>
                <w:color w:val="auto"/>
              </w:rPr>
            </w:pPr>
          </w:p>
        </w:tc>
        <w:tc>
          <w:tcPr>
            <w:tcW w:w="5320" w:type="dxa"/>
            <w:vAlign w:val="bottom"/>
            <w:tcBorders>
              <w:top w:val="single" w:sz="8" w:color="0000FF"/>
            </w:tcBorders>
            <w:gridSpan w:val="18"/>
          </w:tcPr>
          <w:p>
            <w:pPr>
              <w:spacing w:after="0" w:line="168" w:lineRule="exact"/>
              <w:rPr>
                <w:rFonts w:ascii="Arial" w:cs="Arial" w:eastAsia="Arial" w:hAnsi="Arial"/>
                <w:sz w:val="18"/>
                <w:szCs w:val="18"/>
                <w:color w:val="0000FF"/>
              </w:rPr>
            </w:pPr>
            <w:hyperlink r:id="rId121">
              <w:r>
                <w:rPr>
                  <w:rFonts w:ascii="Arial" w:cs="Arial" w:eastAsia="Arial" w:hAnsi="Arial"/>
                  <w:sz w:val="18"/>
                  <w:szCs w:val="18"/>
                  <w:color w:val="0000FF"/>
                </w:rPr>
                <w:t>Inc., Interval Leisure Group, Inc., Ticketmaster and Tree.com,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620" w:type="dxa"/>
            <w:vAlign w:val="bottom"/>
          </w:tcPr>
          <w:p>
            <w:pPr>
              <w:spacing w:after="0" w:line="168" w:lineRule="exact"/>
              <w:rPr>
                <w:sz w:val="20"/>
                <w:szCs w:val="20"/>
                <w:color w:val="auto"/>
              </w:rPr>
            </w:pPr>
            <w:r>
              <w:rPr>
                <w:rFonts w:ascii="Arial" w:cs="Arial" w:eastAsia="Arial" w:hAnsi="Arial"/>
                <w:sz w:val="18"/>
                <w:szCs w:val="18"/>
                <w:color w:val="auto"/>
              </w:rPr>
              <w:t>August 25, 2008</w:t>
            </w:r>
          </w:p>
        </w:tc>
      </w:tr>
      <w:tr>
        <w:trPr>
          <w:trHeight w:val="155"/>
        </w:trPr>
        <w:tc>
          <w:tcPr>
            <w:tcW w:w="1200" w:type="dxa"/>
            <w:vAlign w:val="bottom"/>
          </w:tcPr>
          <w:p>
            <w:pPr>
              <w:spacing w:after="0"/>
              <w:rPr>
                <w:sz w:val="13"/>
                <w:szCs w:val="13"/>
                <w:color w:val="auto"/>
              </w:rPr>
            </w:pPr>
          </w:p>
        </w:tc>
        <w:tc>
          <w:tcPr>
            <w:tcW w:w="514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121">
              <w:r>
                <w:rPr>
                  <w:rFonts w:ascii="Arial" w:cs="Arial" w:eastAsia="Arial" w:hAnsi="Arial"/>
                  <w:sz w:val="17"/>
                  <w:szCs w:val="17"/>
                  <w:color w:val="0000FF"/>
                </w:rPr>
                <w:t>dated August 20,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6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2.5</w:t>
            </w:r>
          </w:p>
        </w:tc>
        <w:tc>
          <w:tcPr>
            <w:tcW w:w="5420" w:type="dxa"/>
            <w:vAlign w:val="bottom"/>
            <w:gridSpan w:val="23"/>
            <w:shd w:val="clear" w:color="auto" w:fill="CCEEFF"/>
          </w:tcPr>
          <w:p>
            <w:pPr>
              <w:spacing w:after="0" w:line="189" w:lineRule="exact"/>
              <w:rPr>
                <w:rFonts w:ascii="Arial" w:cs="Arial" w:eastAsia="Arial" w:hAnsi="Arial"/>
                <w:sz w:val="18"/>
                <w:szCs w:val="18"/>
                <w:color w:val="0000FF"/>
              </w:rPr>
            </w:pPr>
            <w:hyperlink r:id="rId122">
              <w:r>
                <w:rPr>
                  <w:rFonts w:ascii="Arial" w:cs="Arial" w:eastAsia="Arial" w:hAnsi="Arial"/>
                  <w:sz w:val="18"/>
                  <w:szCs w:val="18"/>
                  <w:color w:val="0000FF"/>
                </w:rPr>
                <w:t>Spinco   Assignment   and   Assumption   Agreement   among</w:t>
              </w:r>
            </w:hyperlink>
          </w:p>
        </w:tc>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Exhibit 10.6 to the Registrant's Current Report on Form 8-K filed</w:t>
            </w: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13"/>
            <w:shd w:val="clear" w:color="auto" w:fill="CCEEFF"/>
          </w:tcPr>
          <w:p>
            <w:pPr>
              <w:spacing w:after="0" w:line="168" w:lineRule="exact"/>
              <w:rPr>
                <w:rFonts w:ascii="Arial" w:cs="Arial" w:eastAsia="Arial" w:hAnsi="Arial"/>
                <w:sz w:val="18"/>
                <w:szCs w:val="18"/>
                <w:color w:val="0000FF"/>
                <w:w w:val="96"/>
              </w:rPr>
            </w:pPr>
            <w:hyperlink r:id="rId122">
              <w:r>
                <w:rPr>
                  <w:rFonts w:ascii="Arial" w:cs="Arial" w:eastAsia="Arial" w:hAnsi="Arial"/>
                  <w:sz w:val="18"/>
                  <w:szCs w:val="18"/>
                  <w:color w:val="0000FF"/>
                  <w:w w:val="96"/>
                </w:rPr>
                <w:t>IAC/InterActiveCorp, Tree.com, Inc., Liberty Media Corporation and</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62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8"/>
                <w:szCs w:val="18"/>
                <w:color w:val="auto"/>
              </w:rPr>
              <w:t>August 25, 2008</w:t>
            </w: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11"/>
            <w:shd w:val="clear" w:color="auto" w:fill="CCEEFF"/>
          </w:tcPr>
          <w:p>
            <w:pPr>
              <w:spacing w:after="0" w:line="154" w:lineRule="exact"/>
              <w:rPr>
                <w:rFonts w:ascii="Arial" w:cs="Arial" w:eastAsia="Arial" w:hAnsi="Arial"/>
                <w:sz w:val="17"/>
                <w:szCs w:val="17"/>
                <w:color w:val="0000FF"/>
              </w:rPr>
            </w:pPr>
            <w:hyperlink r:id="rId122">
              <w:r>
                <w:rPr>
                  <w:rFonts w:ascii="Arial" w:cs="Arial" w:eastAsia="Arial" w:hAnsi="Arial"/>
                  <w:sz w:val="17"/>
                  <w:szCs w:val="17"/>
                  <w:color w:val="0000FF"/>
                </w:rPr>
                <w:t>Liberty USA Holdings, LLC, dated August 20, 2008.</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620" w:type="dxa"/>
            <w:vAlign w:val="bottom"/>
            <w:tcBorders>
              <w:top w:val="single" w:sz="8" w:color="CCEEFF"/>
            </w:tcBorders>
            <w:shd w:val="clear" w:color="auto" w:fill="CCEEFF"/>
          </w:tcPr>
          <w:p>
            <w:pPr>
              <w:spacing w:after="0"/>
              <w:rPr>
                <w:sz w:val="13"/>
                <w:szCs w:val="13"/>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2.6</w:t>
            </w:r>
          </w:p>
        </w:tc>
        <w:tc>
          <w:tcPr>
            <w:tcW w:w="5420" w:type="dxa"/>
            <w:vAlign w:val="bottom"/>
            <w:tcBorders>
              <w:bottom w:val="single" w:sz="8" w:color="0000FF"/>
            </w:tcBorders>
            <w:gridSpan w:val="23"/>
          </w:tcPr>
          <w:p>
            <w:pPr>
              <w:spacing w:after="0" w:line="189" w:lineRule="exact"/>
              <w:rPr>
                <w:rFonts w:ascii="Arial" w:cs="Arial" w:eastAsia="Arial" w:hAnsi="Arial"/>
                <w:sz w:val="18"/>
                <w:szCs w:val="18"/>
                <w:color w:val="0000FF"/>
              </w:rPr>
            </w:pPr>
            <w:hyperlink r:id="rId123">
              <w:r>
                <w:rPr>
                  <w:rFonts w:ascii="Arial" w:cs="Arial" w:eastAsia="Arial" w:hAnsi="Arial"/>
                  <w:sz w:val="18"/>
                  <w:szCs w:val="18"/>
                  <w:color w:val="0000FF"/>
                </w:rPr>
                <w:t>Asset Purchase Agreement among Home Loan Center, Inc., First</w:t>
              </w:r>
            </w:hyperlink>
          </w:p>
        </w:tc>
        <w:tc>
          <w:tcPr>
            <w:tcW w:w="4620" w:type="dxa"/>
            <w:vAlign w:val="bottom"/>
          </w:tcPr>
          <w:p>
            <w:pPr>
              <w:spacing w:after="0" w:line="189" w:lineRule="exact"/>
              <w:rPr>
                <w:sz w:val="20"/>
                <w:szCs w:val="20"/>
                <w:color w:val="auto"/>
              </w:rPr>
            </w:pPr>
            <w:r>
              <w:rPr>
                <w:rFonts w:ascii="Arial" w:cs="Arial" w:eastAsia="Arial" w:hAnsi="Arial"/>
                <w:sz w:val="18"/>
                <w:szCs w:val="18"/>
                <w:color w:val="auto"/>
                <w:w w:val="97"/>
              </w:rPr>
              <w:t>Exhibit 2.1 to Registrant's Current Report on Form 8-K filed</w:t>
            </w:r>
          </w:p>
        </w:tc>
      </w:tr>
      <w:tr>
        <w:trPr>
          <w:trHeight w:val="168"/>
        </w:trPr>
        <w:tc>
          <w:tcPr>
            <w:tcW w:w="1200" w:type="dxa"/>
            <w:vAlign w:val="bottom"/>
          </w:tcPr>
          <w:p>
            <w:pPr>
              <w:spacing w:after="0"/>
              <w:rPr>
                <w:sz w:val="14"/>
                <w:szCs w:val="14"/>
                <w:color w:val="auto"/>
              </w:rPr>
            </w:pPr>
          </w:p>
        </w:tc>
        <w:tc>
          <w:tcPr>
            <w:tcW w:w="5420" w:type="dxa"/>
            <w:vAlign w:val="bottom"/>
            <w:gridSpan w:val="23"/>
          </w:tcPr>
          <w:p>
            <w:pPr>
              <w:spacing w:after="0" w:line="168" w:lineRule="exact"/>
              <w:rPr>
                <w:rFonts w:ascii="Arial" w:cs="Arial" w:eastAsia="Arial" w:hAnsi="Arial"/>
                <w:sz w:val="18"/>
                <w:szCs w:val="18"/>
                <w:color w:val="0000FF"/>
              </w:rPr>
            </w:pPr>
            <w:hyperlink r:id="rId123">
              <w:r>
                <w:rPr>
                  <w:rFonts w:ascii="Arial" w:cs="Arial" w:eastAsia="Arial" w:hAnsi="Arial"/>
                  <w:sz w:val="18"/>
                  <w:szCs w:val="18"/>
                  <w:color w:val="0000FF"/>
                </w:rPr>
                <w:t>Residential Mortgage Network, Inc. dba SurePoint Lending, and the</w:t>
              </w:r>
            </w:hyperlink>
          </w:p>
        </w:tc>
        <w:tc>
          <w:tcPr>
            <w:tcW w:w="4620" w:type="dxa"/>
            <w:vAlign w:val="bottom"/>
          </w:tcPr>
          <w:p>
            <w:pPr>
              <w:spacing w:after="0" w:line="168" w:lineRule="exact"/>
              <w:rPr>
                <w:sz w:val="20"/>
                <w:szCs w:val="20"/>
                <w:color w:val="auto"/>
              </w:rPr>
            </w:pPr>
            <w:r>
              <w:rPr>
                <w:rFonts w:ascii="Arial" w:cs="Arial" w:eastAsia="Arial" w:hAnsi="Arial"/>
                <w:sz w:val="18"/>
                <w:szCs w:val="18"/>
                <w:color w:val="auto"/>
              </w:rPr>
              <w:t>November 16, 2010</w:t>
            </w:r>
          </w:p>
        </w:tc>
      </w:tr>
      <w:tr>
        <w:trPr>
          <w:trHeight w:val="155"/>
        </w:trPr>
        <w:tc>
          <w:tcPr>
            <w:tcW w:w="1200" w:type="dxa"/>
            <w:vAlign w:val="bottom"/>
          </w:tcPr>
          <w:p>
            <w:pPr>
              <w:spacing w:after="0"/>
              <w:rPr>
                <w:sz w:val="13"/>
                <w:szCs w:val="13"/>
                <w:color w:val="auto"/>
              </w:rPr>
            </w:pPr>
          </w:p>
        </w:tc>
        <w:tc>
          <w:tcPr>
            <w:tcW w:w="530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23">
              <w:r>
                <w:rPr>
                  <w:rFonts w:ascii="Arial" w:cs="Arial" w:eastAsia="Arial" w:hAnsi="Arial"/>
                  <w:sz w:val="17"/>
                  <w:szCs w:val="17"/>
                  <w:color w:val="0000FF"/>
                </w:rPr>
                <w:t>shareholders of First Residential Mortgage Network named therein,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6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5200" w:type="dxa"/>
            <w:vAlign w:val="bottom"/>
            <w:tcBorders>
              <w:top w:val="single" w:sz="8" w:color="0000FF"/>
            </w:tcBorders>
            <w:gridSpan w:val="12"/>
          </w:tcPr>
          <w:p>
            <w:pPr>
              <w:spacing w:after="0" w:line="154" w:lineRule="exact"/>
              <w:rPr>
                <w:rFonts w:ascii="Arial" w:cs="Arial" w:eastAsia="Arial" w:hAnsi="Arial"/>
                <w:sz w:val="17"/>
                <w:szCs w:val="17"/>
                <w:color w:val="0000FF"/>
              </w:rPr>
            </w:pPr>
            <w:hyperlink r:id="rId123">
              <w:r>
                <w:rPr>
                  <w:rFonts w:ascii="Arial" w:cs="Arial" w:eastAsia="Arial" w:hAnsi="Arial"/>
                  <w:sz w:val="17"/>
                  <w:szCs w:val="17"/>
                  <w:color w:val="0000FF"/>
                </w:rPr>
                <w:t>dated November 15, 2010.</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6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2.7</w:t>
            </w:r>
          </w:p>
        </w:tc>
        <w:tc>
          <w:tcPr>
            <w:tcW w:w="5420" w:type="dxa"/>
            <w:vAlign w:val="bottom"/>
            <w:gridSpan w:val="23"/>
            <w:shd w:val="clear" w:color="auto" w:fill="CCEEFF"/>
          </w:tcPr>
          <w:p>
            <w:pPr>
              <w:spacing w:after="0" w:line="189"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First Amendment to Asset Purchase Agreement among HLC, SurePoint</w:t>
              </w:r>
            </w:hyperlink>
          </w:p>
        </w:tc>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Exhibit 2.1 to the Registrant's Current Report on Form 8-K filed</w:t>
            </w: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4140" w:type="dxa"/>
            <w:vAlign w:val="bottom"/>
            <w:tcBorders>
              <w:top w:val="single" w:sz="8" w:color="0000FF"/>
              <w:bottom w:val="single" w:sz="8" w:color="0000FF"/>
            </w:tcBorders>
            <w:gridSpan w:val="7"/>
            <w:shd w:val="clear" w:color="auto" w:fill="CCEEFF"/>
          </w:tcPr>
          <w:p>
            <w:pPr>
              <w:spacing w:after="0" w:line="168" w:lineRule="exact"/>
              <w:rPr>
                <w:rFonts w:ascii="Arial" w:cs="Arial" w:eastAsia="Arial" w:hAnsi="Arial"/>
                <w:sz w:val="18"/>
                <w:szCs w:val="18"/>
                <w:color w:val="0000FF"/>
                <w:w w:val="88"/>
              </w:rPr>
            </w:pPr>
            <w:hyperlink r:id="rId124">
              <w:r>
                <w:rPr>
                  <w:rFonts w:ascii="Arial" w:cs="Arial" w:eastAsia="Arial" w:hAnsi="Arial"/>
                  <w:sz w:val="18"/>
                  <w:szCs w:val="18"/>
                  <w:color w:val="0000FF"/>
                  <w:w w:val="88"/>
                </w:rPr>
                <w:t>and the shareholders party thereto, dated March 14, 2011.</w:t>
              </w:r>
            </w:hyperlink>
          </w:p>
        </w:tc>
        <w:tc>
          <w:tcPr>
            <w:tcW w:w="124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620" w:type="dxa"/>
            <w:vAlign w:val="bottom"/>
            <w:tcBorders>
              <w:top w:val="single" w:sz="8" w:color="CCEEFF"/>
              <w:bottom w:val="single" w:sz="8" w:color="CCEEFF"/>
            </w:tcBorders>
            <w:shd w:val="clear" w:color="auto" w:fill="CCEEFF"/>
          </w:tcPr>
          <w:p>
            <w:pPr>
              <w:spacing w:after="0" w:line="168" w:lineRule="exact"/>
              <w:rPr>
                <w:sz w:val="20"/>
                <w:szCs w:val="20"/>
                <w:color w:val="auto"/>
              </w:rPr>
            </w:pPr>
            <w:r>
              <w:rPr>
                <w:rFonts w:ascii="Arial" w:cs="Arial" w:eastAsia="Arial" w:hAnsi="Arial"/>
                <w:sz w:val="18"/>
                <w:szCs w:val="18"/>
                <w:color w:val="auto"/>
              </w:rPr>
              <w:t>March 21, 2011</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2.8</w:t>
            </w:r>
          </w:p>
        </w:tc>
        <w:tc>
          <w:tcPr>
            <w:tcW w:w="5420" w:type="dxa"/>
            <w:vAlign w:val="bottom"/>
            <w:gridSpan w:val="23"/>
          </w:tcPr>
          <w:p>
            <w:pPr>
              <w:spacing w:after="0" w:line="189" w:lineRule="exact"/>
              <w:rPr>
                <w:rFonts w:ascii="Arial" w:cs="Arial" w:eastAsia="Arial" w:hAnsi="Arial"/>
                <w:sz w:val="18"/>
                <w:szCs w:val="18"/>
                <w:color w:val="0000FF"/>
                <w:w w:val="98"/>
              </w:rPr>
            </w:pPr>
            <w:hyperlink r:id="rId125">
              <w:r>
                <w:rPr>
                  <w:rFonts w:ascii="Arial" w:cs="Arial" w:eastAsia="Arial" w:hAnsi="Arial"/>
                  <w:sz w:val="18"/>
                  <w:szCs w:val="18"/>
                  <w:color w:val="0000FF"/>
                  <w:w w:val="98"/>
                </w:rPr>
                <w:t>Second  Amendment  to  Asset  Purchase  Agreement  among  HLC,</w:t>
              </w:r>
            </w:hyperlink>
          </w:p>
        </w:tc>
        <w:tc>
          <w:tcPr>
            <w:tcW w:w="4620" w:type="dxa"/>
            <w:vAlign w:val="bottom"/>
          </w:tcPr>
          <w:p>
            <w:pPr>
              <w:spacing w:after="0" w:line="189" w:lineRule="exact"/>
              <w:rPr>
                <w:sz w:val="20"/>
                <w:szCs w:val="20"/>
                <w:color w:val="auto"/>
              </w:rPr>
            </w:pPr>
            <w:r>
              <w:rPr>
                <w:rFonts w:ascii="Arial" w:cs="Arial" w:eastAsia="Arial" w:hAnsi="Arial"/>
                <w:sz w:val="18"/>
                <w:szCs w:val="18"/>
                <w:color w:val="auto"/>
                <w:w w:val="91"/>
              </w:rPr>
              <w:t>Exhibit 2.2 to the Registrant's Current Report on Form 8-K filed</w:t>
            </w:r>
          </w:p>
        </w:tc>
      </w:tr>
      <w:tr>
        <w:trPr>
          <w:trHeight w:val="168"/>
        </w:trPr>
        <w:tc>
          <w:tcPr>
            <w:tcW w:w="1200" w:type="dxa"/>
            <w:vAlign w:val="bottom"/>
          </w:tcPr>
          <w:p>
            <w:pPr>
              <w:spacing w:after="0"/>
              <w:rPr>
                <w:sz w:val="14"/>
                <w:szCs w:val="14"/>
                <w:color w:val="auto"/>
              </w:rPr>
            </w:pPr>
          </w:p>
        </w:tc>
        <w:tc>
          <w:tcPr>
            <w:tcW w:w="5360" w:type="dxa"/>
            <w:vAlign w:val="bottom"/>
            <w:tcBorders>
              <w:top w:val="single" w:sz="8" w:color="0000FF"/>
            </w:tcBorders>
            <w:gridSpan w:val="20"/>
          </w:tcPr>
          <w:p>
            <w:pPr>
              <w:spacing w:after="0" w:line="168" w:lineRule="exact"/>
              <w:rPr>
                <w:rFonts w:ascii="Arial" w:cs="Arial" w:eastAsia="Arial" w:hAnsi="Arial"/>
                <w:sz w:val="18"/>
                <w:szCs w:val="18"/>
                <w:color w:val="0000FF"/>
                <w:w w:val="97"/>
              </w:rPr>
            </w:pPr>
            <w:hyperlink r:id="rId125">
              <w:r>
                <w:rPr>
                  <w:rFonts w:ascii="Arial" w:cs="Arial" w:eastAsia="Arial" w:hAnsi="Arial"/>
                  <w:sz w:val="18"/>
                  <w:szCs w:val="18"/>
                  <w:color w:val="0000FF"/>
                  <w:w w:val="97"/>
                </w:rPr>
                <w:t>SurePoint and the shareholders party thereto, dated March 15, 2011.</w:t>
              </w:r>
            </w:hyperlink>
          </w:p>
        </w:tc>
        <w:tc>
          <w:tcPr>
            <w:tcW w:w="60" w:type="dxa"/>
            <w:vAlign w:val="bottom"/>
            <w:gridSpan w:val="3"/>
          </w:tcPr>
          <w:p>
            <w:pPr>
              <w:spacing w:after="0"/>
              <w:rPr>
                <w:sz w:val="14"/>
                <w:szCs w:val="14"/>
                <w:color w:val="auto"/>
              </w:rPr>
            </w:pPr>
          </w:p>
        </w:tc>
        <w:tc>
          <w:tcPr>
            <w:tcW w:w="4620" w:type="dxa"/>
            <w:vAlign w:val="bottom"/>
          </w:tcPr>
          <w:p>
            <w:pPr>
              <w:spacing w:after="0" w:line="168" w:lineRule="exact"/>
              <w:rPr>
                <w:sz w:val="20"/>
                <w:szCs w:val="20"/>
                <w:color w:val="auto"/>
              </w:rPr>
            </w:pPr>
            <w:r>
              <w:rPr>
                <w:rFonts w:ascii="Arial" w:cs="Arial" w:eastAsia="Arial" w:hAnsi="Arial"/>
                <w:sz w:val="18"/>
                <w:szCs w:val="18"/>
                <w:color w:val="auto"/>
              </w:rPr>
              <w:t>March 21, 2011</w:t>
            </w:r>
          </w:p>
        </w:tc>
      </w:tr>
      <w:tr>
        <w:trPr>
          <w:trHeight w:val="20"/>
        </w:trPr>
        <w:tc>
          <w:tcPr>
            <w:tcW w:w="1200" w:type="dxa"/>
            <w:vAlign w:val="bottom"/>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2.9</w:t>
            </w:r>
          </w:p>
        </w:tc>
        <w:tc>
          <w:tcPr>
            <w:tcW w:w="5420" w:type="dxa"/>
            <w:vAlign w:val="bottom"/>
            <w:gridSpan w:val="23"/>
            <w:shd w:val="clear" w:color="auto" w:fill="CCEEFF"/>
          </w:tcPr>
          <w:p>
            <w:pPr>
              <w:spacing w:after="0" w:line="189" w:lineRule="exact"/>
              <w:rPr>
                <w:rFonts w:ascii="Arial" w:cs="Arial" w:eastAsia="Arial" w:hAnsi="Arial"/>
                <w:sz w:val="18"/>
                <w:szCs w:val="18"/>
                <w:color w:val="0000FF"/>
                <w:w w:val="95"/>
              </w:rPr>
            </w:pPr>
            <w:hyperlink r:id="rId126">
              <w:r>
                <w:rPr>
                  <w:rFonts w:ascii="Arial" w:cs="Arial" w:eastAsia="Arial" w:hAnsi="Arial"/>
                  <w:sz w:val="18"/>
                  <w:szCs w:val="18"/>
                  <w:color w:val="0000FF"/>
                  <w:w w:val="95"/>
                </w:rPr>
                <w:t>Asset Purchase Agreement among Tree.com, Inc., Home Loan Center,</w:t>
              </w:r>
            </w:hyperlink>
          </w:p>
        </w:tc>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Exhibit 2.1 to the Registrant's Current Report on Form 8-K filed</w:t>
            </w:r>
          </w:p>
        </w:tc>
      </w:tr>
      <w:tr>
        <w:trPr>
          <w:trHeight w:val="168"/>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5160" w:type="dxa"/>
            <w:vAlign w:val="bottom"/>
            <w:tcBorders>
              <w:top w:val="single" w:sz="8" w:color="0000FF"/>
              <w:bottom w:val="single" w:sz="8" w:color="0000FF"/>
            </w:tcBorders>
            <w:gridSpan w:val="10"/>
            <w:shd w:val="clear" w:color="auto" w:fill="CCEEFF"/>
          </w:tcPr>
          <w:p>
            <w:pPr>
              <w:spacing w:after="0" w:line="168" w:lineRule="exact"/>
              <w:rPr>
                <w:rFonts w:ascii="Arial" w:cs="Arial" w:eastAsia="Arial" w:hAnsi="Arial"/>
                <w:sz w:val="18"/>
                <w:szCs w:val="18"/>
                <w:color w:val="0000FF"/>
                <w:w w:val="94"/>
              </w:rPr>
            </w:pPr>
            <w:hyperlink r:id="rId126">
              <w:r>
                <w:rPr>
                  <w:rFonts w:ascii="Arial" w:cs="Arial" w:eastAsia="Arial" w:hAnsi="Arial"/>
                  <w:sz w:val="18"/>
                  <w:szCs w:val="18"/>
                  <w:color w:val="0000FF"/>
                  <w:w w:val="94"/>
                </w:rPr>
                <w:t>Inc., LendingTree, LLC, HLC Escrow, Inc. and Discover Bank, dated</w:t>
              </w:r>
            </w:hyperlink>
          </w:p>
        </w:tc>
        <w:tc>
          <w:tcPr>
            <w:tcW w:w="180" w:type="dxa"/>
            <w:vAlign w:val="bottom"/>
            <w:tcBorders>
              <w:top w:val="single" w:sz="8" w:color="CCEEFF"/>
              <w:bottom w:val="single" w:sz="8" w:color="0000FF"/>
            </w:tcBorders>
            <w:gridSpan w:val="9"/>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620" w:type="dxa"/>
            <w:vAlign w:val="bottom"/>
            <w:tcBorders>
              <w:top w:val="single" w:sz="8" w:color="CCEEFF"/>
              <w:bottom w:val="single" w:sz="8" w:color="CCEEFF"/>
            </w:tcBorders>
            <w:shd w:val="clear" w:color="auto" w:fill="CCEEFF"/>
          </w:tcPr>
          <w:p>
            <w:pPr>
              <w:spacing w:after="0" w:line="168" w:lineRule="exact"/>
              <w:rPr>
                <w:sz w:val="20"/>
                <w:szCs w:val="20"/>
                <w:color w:val="auto"/>
              </w:rPr>
            </w:pPr>
            <w:r>
              <w:rPr>
                <w:rFonts w:ascii="Arial" w:cs="Arial" w:eastAsia="Arial" w:hAnsi="Arial"/>
                <w:sz w:val="18"/>
                <w:szCs w:val="18"/>
                <w:color w:val="auto"/>
              </w:rPr>
              <w:t>May 16, 2011</w:t>
            </w:r>
          </w:p>
        </w:tc>
      </w:tr>
      <w:tr>
        <w:trPr>
          <w:trHeight w:val="175"/>
        </w:trPr>
        <w:tc>
          <w:tcPr>
            <w:tcW w:w="1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0000FF"/>
            </w:tcBorders>
            <w:shd w:val="clear" w:color="auto" w:fill="CCEEFF"/>
          </w:tcPr>
          <w:p>
            <w:pPr>
              <w:spacing w:after="0" w:line="154" w:lineRule="exact"/>
              <w:rPr>
                <w:rFonts w:ascii="Arial" w:cs="Arial" w:eastAsia="Arial" w:hAnsi="Arial"/>
                <w:sz w:val="17"/>
                <w:szCs w:val="17"/>
                <w:color w:val="0000FF"/>
                <w:w w:val="99"/>
              </w:rPr>
            </w:pPr>
            <w:hyperlink r:id="rId126">
              <w:r>
                <w:rPr>
                  <w:rFonts w:ascii="Arial" w:cs="Arial" w:eastAsia="Arial" w:hAnsi="Arial"/>
                  <w:sz w:val="17"/>
                  <w:szCs w:val="17"/>
                  <w:color w:val="0000FF"/>
                  <w:w w:val="99"/>
                </w:rPr>
                <w:t>May 12, 2011**</w:t>
              </w:r>
            </w:hyperlink>
          </w:p>
        </w:tc>
        <w:tc>
          <w:tcPr>
            <w:tcW w:w="4160" w:type="dxa"/>
            <w:vAlign w:val="bottom"/>
            <w:tcBorders>
              <w:bottom w:val="single" w:sz="8" w:color="CCEEFF"/>
            </w:tcBorders>
            <w:gridSpan w:val="18"/>
            <w:shd w:val="clear" w:color="auto" w:fill="CCEEFF"/>
          </w:tcPr>
          <w:p>
            <w:pPr>
              <w:spacing w:after="0"/>
              <w:rPr>
                <w:sz w:val="15"/>
                <w:szCs w:val="15"/>
                <w:color w:val="auto"/>
              </w:rPr>
            </w:pPr>
          </w:p>
        </w:tc>
        <w:tc>
          <w:tcPr>
            <w:tcW w:w="80" w:type="dxa"/>
            <w:vAlign w:val="bottom"/>
            <w:tcBorders>
              <w:bottom w:val="single" w:sz="8" w:color="CCEEFF"/>
            </w:tcBorders>
            <w:gridSpan w:val="4"/>
            <w:shd w:val="clear" w:color="auto" w:fill="CCEEFF"/>
          </w:tcPr>
          <w:p>
            <w:pPr>
              <w:spacing w:after="0"/>
              <w:rPr>
                <w:sz w:val="15"/>
                <w:szCs w:val="15"/>
                <w:color w:val="auto"/>
              </w:rPr>
            </w:pPr>
          </w:p>
        </w:tc>
        <w:tc>
          <w:tcPr>
            <w:tcW w:w="4620" w:type="dxa"/>
            <w:vAlign w:val="bottom"/>
            <w:tcBorders>
              <w:bottom w:val="single" w:sz="8" w:color="CCEEFF"/>
            </w:tcBorders>
            <w:shd w:val="clear" w:color="auto" w:fill="CCEEFF"/>
          </w:tcPr>
          <w:p>
            <w:pPr>
              <w:spacing w:after="0"/>
              <w:rPr>
                <w:sz w:val="15"/>
                <w:szCs w:val="15"/>
                <w:color w:val="auto"/>
              </w:rPr>
            </w:pPr>
          </w:p>
        </w:tc>
      </w:tr>
      <w:tr>
        <w:trPr>
          <w:trHeight w:val="860"/>
        </w:trPr>
        <w:tc>
          <w:tcPr>
            <w:tcW w:w="1200" w:type="dxa"/>
            <w:vAlign w:val="bottom"/>
          </w:tcPr>
          <w:p>
            <w:pPr>
              <w:spacing w:after="0"/>
              <w:rPr>
                <w:sz w:val="24"/>
                <w:szCs w:val="24"/>
                <w:color w:val="auto"/>
              </w:rPr>
            </w:pPr>
          </w:p>
        </w:tc>
        <w:tc>
          <w:tcPr>
            <w:tcW w:w="4880" w:type="dxa"/>
            <w:vAlign w:val="bottom"/>
            <w:gridSpan w:val="8"/>
          </w:tcPr>
          <w:p>
            <w:pPr>
              <w:ind w:left="428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gridSpan w:val="34"/>
          </w:tcPr>
          <w:p>
            <w:pPr>
              <w:ind w:left="800"/>
              <w:spacing w:after="0"/>
              <w:rPr>
                <w:sz w:val="20"/>
                <w:szCs w:val="20"/>
                <w:color w:val="auto"/>
              </w:rPr>
            </w:pPr>
            <w:r>
              <w:rPr>
                <w:rFonts w:ascii="Arial" w:cs="Arial" w:eastAsia="Arial" w:hAnsi="Arial"/>
                <w:sz w:val="18"/>
                <w:szCs w:val="18"/>
                <w:b w:val="1"/>
                <w:bCs w:val="1"/>
                <w:color w:val="auto"/>
              </w:rPr>
              <w:t>Description</w:t>
            </w:r>
          </w:p>
        </w:tc>
        <w:tc>
          <w:tcPr>
            <w:tcW w:w="452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Location</w:t>
            </w:r>
          </w:p>
        </w:tc>
      </w:tr>
      <w:tr>
        <w:trPr>
          <w:trHeight w:val="182"/>
        </w:trPr>
        <w:tc>
          <w:tcPr>
            <w:tcW w:w="1200" w:type="dxa"/>
            <w:vAlign w:val="bottom"/>
          </w:tcPr>
          <w:p>
            <w:pPr>
              <w:jc w:val="right"/>
              <w:ind w:right="90"/>
              <w:spacing w:after="0" w:line="182" w:lineRule="exact"/>
              <w:rPr>
                <w:sz w:val="20"/>
                <w:szCs w:val="20"/>
                <w:color w:val="auto"/>
              </w:rPr>
            </w:pPr>
            <w:r>
              <w:rPr>
                <w:rFonts w:ascii="Arial" w:cs="Arial" w:eastAsia="Arial" w:hAnsi="Arial"/>
                <w:sz w:val="18"/>
                <w:szCs w:val="18"/>
                <w:color w:val="auto"/>
              </w:rPr>
              <w:t>2.10</w:t>
            </w:r>
          </w:p>
        </w:tc>
        <w:tc>
          <w:tcPr>
            <w:tcW w:w="5520" w:type="dxa"/>
            <w:vAlign w:val="bottom"/>
            <w:gridSpan w:val="38"/>
          </w:tcPr>
          <w:p>
            <w:pPr>
              <w:spacing w:after="0" w:line="182" w:lineRule="exact"/>
              <w:rPr>
                <w:rFonts w:ascii="Arial" w:cs="Arial" w:eastAsia="Arial" w:hAnsi="Arial"/>
                <w:sz w:val="18"/>
                <w:szCs w:val="18"/>
                <w:color w:val="0000FF"/>
                <w:w w:val="96"/>
              </w:rPr>
            </w:pPr>
            <w:hyperlink r:id="rId129">
              <w:r>
                <w:rPr>
                  <w:rFonts w:ascii="Arial" w:cs="Arial" w:eastAsia="Arial" w:hAnsi="Arial"/>
                  <w:sz w:val="18"/>
                  <w:szCs w:val="18"/>
                  <w:color w:val="0000FF"/>
                  <w:w w:val="96"/>
                </w:rPr>
                <w:t>Asset Purchase Agreement among LendingTree, LLC, RealEstate.com,</w:t>
              </w:r>
            </w:hyperlink>
          </w:p>
        </w:tc>
        <w:tc>
          <w:tcPr>
            <w:tcW w:w="4520" w:type="dxa"/>
            <w:vAlign w:val="bottom"/>
          </w:tcPr>
          <w:p>
            <w:pPr>
              <w:spacing w:after="0" w:line="182" w:lineRule="exact"/>
              <w:rPr>
                <w:sz w:val="20"/>
                <w:szCs w:val="20"/>
                <w:color w:val="auto"/>
              </w:rPr>
            </w:pPr>
            <w:r>
              <w:rPr>
                <w:rFonts w:ascii="Arial" w:cs="Arial" w:eastAsia="Arial" w:hAnsi="Arial"/>
                <w:sz w:val="18"/>
                <w:szCs w:val="18"/>
                <w:color w:val="auto"/>
                <w:w w:val="89"/>
              </w:rPr>
              <w:t>Exhibit 2.1 to the Registrant's Current Report on Form 8-K filed</w:t>
            </w:r>
          </w:p>
        </w:tc>
      </w:tr>
      <w:tr>
        <w:trPr>
          <w:trHeight w:val="155"/>
        </w:trPr>
        <w:tc>
          <w:tcPr>
            <w:tcW w:w="1200" w:type="dxa"/>
            <w:vAlign w:val="bottom"/>
          </w:tcPr>
          <w:p>
            <w:pPr>
              <w:spacing w:after="0"/>
              <w:rPr>
                <w:sz w:val="13"/>
                <w:szCs w:val="13"/>
                <w:color w:val="auto"/>
              </w:rPr>
            </w:pPr>
          </w:p>
        </w:tc>
        <w:tc>
          <w:tcPr>
            <w:tcW w:w="5400" w:type="dxa"/>
            <w:vAlign w:val="bottom"/>
            <w:tcBorders>
              <w:top w:val="single" w:sz="8" w:color="0000FF"/>
            </w:tcBorders>
            <w:gridSpan w:val="32"/>
          </w:tcPr>
          <w:p>
            <w:pPr>
              <w:spacing w:after="0" w:line="154" w:lineRule="exact"/>
              <w:rPr>
                <w:rFonts w:ascii="Arial" w:cs="Arial" w:eastAsia="Arial" w:hAnsi="Arial"/>
                <w:sz w:val="17"/>
                <w:szCs w:val="17"/>
                <w:color w:val="0000FF"/>
              </w:rPr>
            </w:pPr>
            <w:hyperlink r:id="rId129">
              <w:r>
                <w:rPr>
                  <w:rFonts w:ascii="Arial" w:cs="Arial" w:eastAsia="Arial" w:hAnsi="Arial"/>
                  <w:sz w:val="17"/>
                  <w:szCs w:val="17"/>
                  <w:color w:val="0000FF"/>
                </w:rPr>
                <w:t>Inc. and Market Leader, Inc., dated September 15,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line="154" w:lineRule="exact"/>
              <w:rPr>
                <w:sz w:val="20"/>
                <w:szCs w:val="20"/>
                <w:color w:val="auto"/>
              </w:rPr>
            </w:pPr>
            <w:r>
              <w:rPr>
                <w:rFonts w:ascii="Arial" w:cs="Arial" w:eastAsia="Arial" w:hAnsi="Arial"/>
                <w:sz w:val="17"/>
                <w:szCs w:val="17"/>
                <w:color w:val="auto"/>
              </w:rPr>
              <w:t>September 21, 2011</w:t>
            </w:r>
          </w:p>
        </w:tc>
      </w:tr>
      <w:tr>
        <w:trPr>
          <w:trHeight w:val="34"/>
        </w:trPr>
        <w:tc>
          <w:tcPr>
            <w:tcW w:w="12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2.11</w:t>
            </w:r>
          </w:p>
        </w:tc>
        <w:tc>
          <w:tcPr>
            <w:tcW w:w="5520" w:type="dxa"/>
            <w:vAlign w:val="bottom"/>
            <w:gridSpan w:val="38"/>
            <w:shd w:val="clear" w:color="auto" w:fill="CCEEFF"/>
          </w:tcPr>
          <w:p>
            <w:pPr>
              <w:spacing w:after="0" w:line="189" w:lineRule="exact"/>
              <w:rPr>
                <w:rFonts w:ascii="Arial" w:cs="Arial" w:eastAsia="Arial" w:hAnsi="Arial"/>
                <w:sz w:val="18"/>
                <w:szCs w:val="18"/>
                <w:color w:val="0000FF"/>
                <w:w w:val="97"/>
              </w:rPr>
            </w:pPr>
            <w:hyperlink r:id="rId130">
              <w:r>
                <w:rPr>
                  <w:rFonts w:ascii="Arial" w:cs="Arial" w:eastAsia="Arial" w:hAnsi="Arial"/>
                  <w:sz w:val="18"/>
                  <w:szCs w:val="18"/>
                  <w:color w:val="0000FF"/>
                  <w:w w:val="97"/>
                </w:rPr>
                <w:t>Amendment to Asset Purchase Agreement among Home Loan Center,</w:t>
              </w:r>
            </w:hyperlink>
          </w:p>
        </w:tc>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9"/>
              </w:rPr>
              <w:t>Exhibit 2.1 to the Registrant's Current Report on Form 8-K filed</w:t>
            </w: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140" w:type="dxa"/>
            <w:vAlign w:val="bottom"/>
            <w:tcBorders>
              <w:top w:val="single" w:sz="8" w:color="0000FF"/>
              <w:bottom w:val="single" w:sz="8" w:color="0000FF"/>
            </w:tcBorders>
            <w:gridSpan w:val="19"/>
            <w:shd w:val="clear" w:color="auto" w:fill="CCEEFF"/>
          </w:tcPr>
          <w:p>
            <w:pPr>
              <w:spacing w:after="0" w:line="154" w:lineRule="exact"/>
              <w:rPr>
                <w:rFonts w:ascii="Arial" w:cs="Arial" w:eastAsia="Arial" w:hAnsi="Arial"/>
                <w:sz w:val="17"/>
                <w:szCs w:val="17"/>
                <w:color w:val="0000FF"/>
              </w:rPr>
            </w:pPr>
            <w:hyperlink r:id="rId130">
              <w:r>
                <w:rPr>
                  <w:rFonts w:ascii="Arial" w:cs="Arial" w:eastAsia="Arial" w:hAnsi="Arial"/>
                  <w:sz w:val="17"/>
                  <w:szCs w:val="17"/>
                  <w:color w:val="0000FF"/>
                </w:rPr>
                <w:t>Inc., HLC Escrow, Inc., LendingTree, LLC, Tree.com, Inc., Discover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52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February 8, 2012</w:t>
            </w: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4680" w:type="dxa"/>
            <w:vAlign w:val="bottom"/>
            <w:tcBorders>
              <w:bottom w:val="single" w:sz="8" w:color="0000FF"/>
            </w:tcBorders>
            <w:gridSpan w:val="15"/>
            <w:shd w:val="clear" w:color="auto" w:fill="CCEEFF"/>
          </w:tcPr>
          <w:p>
            <w:pPr>
              <w:spacing w:after="0" w:line="168" w:lineRule="exact"/>
              <w:rPr>
                <w:rFonts w:ascii="Arial" w:cs="Arial" w:eastAsia="Arial" w:hAnsi="Arial"/>
                <w:sz w:val="18"/>
                <w:szCs w:val="18"/>
                <w:color w:val="0000FF"/>
                <w:w w:val="90"/>
              </w:rPr>
            </w:pPr>
            <w:hyperlink r:id="rId130">
              <w:r>
                <w:rPr>
                  <w:rFonts w:ascii="Arial" w:cs="Arial" w:eastAsia="Arial" w:hAnsi="Arial"/>
                  <w:sz w:val="18"/>
                  <w:szCs w:val="18"/>
                  <w:color w:val="0000FF"/>
                  <w:w w:val="90"/>
                </w:rPr>
                <w:t>Bank and Discover Financial Services, dated February 7, 2012**</w:t>
              </w:r>
            </w:hyperlink>
          </w:p>
        </w:tc>
        <w:tc>
          <w:tcPr>
            <w:tcW w:w="520" w:type="dxa"/>
            <w:vAlign w:val="bottom"/>
            <w:tcBorders>
              <w:bottom w:val="single" w:sz="8" w:color="CCEEFF"/>
            </w:tcBorders>
            <w:gridSpan w:val="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520" w:type="dxa"/>
            <w:vAlign w:val="bottom"/>
            <w:tcBorders>
              <w:bottom w:val="single" w:sz="8" w:color="CCEEFF"/>
            </w:tcBorders>
            <w:shd w:val="clear" w:color="auto" w:fill="CCEEFF"/>
          </w:tcPr>
          <w:p>
            <w:pPr>
              <w:spacing w:after="0"/>
              <w:rPr>
                <w:sz w:val="16"/>
                <w:szCs w:val="16"/>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2.12</w:t>
            </w:r>
          </w:p>
        </w:tc>
        <w:tc>
          <w:tcPr>
            <w:tcW w:w="5520" w:type="dxa"/>
            <w:vAlign w:val="bottom"/>
            <w:gridSpan w:val="38"/>
          </w:tcPr>
          <w:p>
            <w:pPr>
              <w:spacing w:after="0" w:line="189"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Membership Interest Purchase Agreement, dated as of November 16,</w:t>
              </w:r>
            </w:hyperlink>
          </w:p>
        </w:tc>
        <w:tc>
          <w:tcPr>
            <w:tcW w:w="4520" w:type="dxa"/>
            <w:vAlign w:val="bottom"/>
          </w:tcPr>
          <w:p>
            <w:pPr>
              <w:spacing w:after="0" w:line="189" w:lineRule="exact"/>
              <w:rPr>
                <w:sz w:val="20"/>
                <w:szCs w:val="20"/>
                <w:color w:val="auto"/>
              </w:rPr>
            </w:pPr>
            <w:r>
              <w:rPr>
                <w:rFonts w:ascii="Arial" w:cs="Arial" w:eastAsia="Arial" w:hAnsi="Arial"/>
                <w:sz w:val="18"/>
                <w:szCs w:val="18"/>
                <w:color w:val="auto"/>
                <w:w w:val="89"/>
              </w:rPr>
              <w:t>Exhibit 2.1 to the Registrant's Current Report on Form 8-K filed</w:t>
            </w:r>
          </w:p>
        </w:tc>
      </w:tr>
      <w:tr>
        <w:trPr>
          <w:trHeight w:val="155"/>
        </w:trPr>
        <w:tc>
          <w:tcPr>
            <w:tcW w:w="1200" w:type="dxa"/>
            <w:vAlign w:val="bottom"/>
          </w:tcPr>
          <w:p>
            <w:pPr>
              <w:spacing w:after="0"/>
              <w:rPr>
                <w:sz w:val="13"/>
                <w:szCs w:val="13"/>
                <w:color w:val="auto"/>
              </w:rPr>
            </w:pPr>
          </w:p>
        </w:tc>
        <w:tc>
          <w:tcPr>
            <w:tcW w:w="5180" w:type="dxa"/>
            <w:vAlign w:val="bottom"/>
            <w:tcBorders>
              <w:top w:val="single" w:sz="8" w:color="0000FF"/>
            </w:tcBorders>
            <w:gridSpan w:val="21"/>
          </w:tcPr>
          <w:p>
            <w:pPr>
              <w:spacing w:after="0" w:line="154" w:lineRule="exact"/>
              <w:rPr>
                <w:rFonts w:ascii="Arial" w:cs="Arial" w:eastAsia="Arial" w:hAnsi="Arial"/>
                <w:sz w:val="17"/>
                <w:szCs w:val="17"/>
                <w:color w:val="0000FF"/>
                <w:w w:val="98"/>
              </w:rPr>
            </w:pPr>
            <w:hyperlink r:id="rId131">
              <w:r>
                <w:rPr>
                  <w:rFonts w:ascii="Arial" w:cs="Arial" w:eastAsia="Arial" w:hAnsi="Arial"/>
                  <w:sz w:val="17"/>
                  <w:szCs w:val="17"/>
                  <w:color w:val="0000FF"/>
                  <w:w w:val="98"/>
                </w:rPr>
                <w:t>2016, by and among LendingTree, LLC, Iron Horse Holdings, LLC, all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line="154" w:lineRule="exact"/>
              <w:rPr>
                <w:sz w:val="20"/>
                <w:szCs w:val="20"/>
                <w:color w:val="auto"/>
              </w:rPr>
            </w:pPr>
            <w:r>
              <w:rPr>
                <w:rFonts w:ascii="Arial" w:cs="Arial" w:eastAsia="Arial" w:hAnsi="Arial"/>
                <w:sz w:val="17"/>
                <w:szCs w:val="17"/>
                <w:color w:val="auto"/>
              </w:rPr>
              <w:t>November 22, 2016</w:t>
            </w:r>
          </w:p>
        </w:tc>
      </w:tr>
      <w:tr>
        <w:trPr>
          <w:trHeight w:val="168"/>
        </w:trPr>
        <w:tc>
          <w:tcPr>
            <w:tcW w:w="1200" w:type="dxa"/>
            <w:vAlign w:val="bottom"/>
          </w:tcPr>
          <w:p>
            <w:pPr>
              <w:spacing w:after="0"/>
              <w:rPr>
                <w:sz w:val="14"/>
                <w:szCs w:val="14"/>
                <w:color w:val="auto"/>
              </w:rPr>
            </w:pPr>
          </w:p>
        </w:tc>
        <w:tc>
          <w:tcPr>
            <w:tcW w:w="5160" w:type="dxa"/>
            <w:vAlign w:val="bottom"/>
            <w:tcBorders>
              <w:top w:val="single" w:sz="8" w:color="0000FF"/>
              <w:bottom w:val="single" w:sz="8" w:color="0000FF"/>
            </w:tcBorders>
            <w:gridSpan w:val="20"/>
          </w:tcPr>
          <w:p>
            <w:pPr>
              <w:spacing w:after="0" w:line="168" w:lineRule="exact"/>
              <w:rPr>
                <w:rFonts w:ascii="Arial" w:cs="Arial" w:eastAsia="Arial" w:hAnsi="Arial"/>
                <w:sz w:val="18"/>
                <w:szCs w:val="18"/>
                <w:color w:val="0000FF"/>
              </w:rPr>
            </w:pPr>
            <w:hyperlink r:id="rId131">
              <w:r>
                <w:rPr>
                  <w:rFonts w:ascii="Arial" w:cs="Arial" w:eastAsia="Arial" w:hAnsi="Arial"/>
                  <w:sz w:val="18"/>
                  <w:szCs w:val="18"/>
                  <w:color w:val="0000FF"/>
                </w:rPr>
                <w:t>of the members of Iron Horse Holdings, LLC and Christopher J.</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155"/>
        </w:trPr>
        <w:tc>
          <w:tcPr>
            <w:tcW w:w="1200" w:type="dxa"/>
            <w:vAlign w:val="bottom"/>
          </w:tcPr>
          <w:p>
            <w:pPr>
              <w:spacing w:after="0"/>
              <w:rPr>
                <w:sz w:val="13"/>
                <w:szCs w:val="13"/>
                <w:color w:val="auto"/>
              </w:rPr>
            </w:pPr>
          </w:p>
        </w:tc>
        <w:tc>
          <w:tcPr>
            <w:tcW w:w="5240" w:type="dxa"/>
            <w:vAlign w:val="bottom"/>
            <w:gridSpan w:val="24"/>
          </w:tcPr>
          <w:p>
            <w:pPr>
              <w:spacing w:after="0" w:line="154" w:lineRule="exact"/>
              <w:rPr>
                <w:rFonts w:ascii="Arial" w:cs="Arial" w:eastAsia="Arial" w:hAnsi="Arial"/>
                <w:sz w:val="17"/>
                <w:szCs w:val="17"/>
                <w:color w:val="0000FF"/>
              </w:rPr>
            </w:pPr>
            <w:hyperlink r:id="rId131">
              <w:r>
                <w:rPr>
                  <w:rFonts w:ascii="Arial" w:cs="Arial" w:eastAsia="Arial" w:hAnsi="Arial"/>
                  <w:sz w:val="17"/>
                  <w:szCs w:val="17"/>
                  <w:color w:val="0000FF"/>
                </w:rPr>
                <w:t>Mettler. **</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2.13</w:t>
            </w:r>
          </w:p>
        </w:tc>
        <w:tc>
          <w:tcPr>
            <w:tcW w:w="5520" w:type="dxa"/>
            <w:vAlign w:val="bottom"/>
            <w:gridSpan w:val="38"/>
            <w:shd w:val="clear" w:color="auto" w:fill="CCEEFF"/>
          </w:tcPr>
          <w:p>
            <w:pPr>
              <w:spacing w:after="0" w:line="189" w:lineRule="exact"/>
              <w:rPr>
                <w:rFonts w:ascii="Arial" w:cs="Arial" w:eastAsia="Arial" w:hAnsi="Arial"/>
                <w:sz w:val="18"/>
                <w:szCs w:val="18"/>
                <w:color w:val="0000FF"/>
                <w:w w:val="98"/>
              </w:rPr>
            </w:pPr>
            <w:hyperlink r:id="rId132">
              <w:r>
                <w:rPr>
                  <w:rFonts w:ascii="Arial" w:cs="Arial" w:eastAsia="Arial" w:hAnsi="Arial"/>
                  <w:sz w:val="18"/>
                  <w:szCs w:val="18"/>
                  <w:color w:val="0000FF"/>
                  <w:w w:val="98"/>
                </w:rPr>
                <w:t>Assignment and Assumption Agreement, dated November 2, 2017, by</w:t>
              </w:r>
            </w:hyperlink>
          </w:p>
        </w:tc>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Exhibit 99.7(D) to the Registrant's Current Report on Form SC</w:t>
            </w: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80" w:type="dxa"/>
            <w:vAlign w:val="bottom"/>
            <w:tcBorders>
              <w:top w:val="single" w:sz="8" w:color="0000FF"/>
            </w:tcBorders>
            <w:gridSpan w:val="31"/>
            <w:shd w:val="clear" w:color="auto" w:fill="CCEEFF"/>
          </w:tcPr>
          <w:p>
            <w:pPr>
              <w:spacing w:after="0" w:line="154" w:lineRule="exact"/>
              <w:rPr>
                <w:rFonts w:ascii="Arial" w:cs="Arial" w:eastAsia="Arial" w:hAnsi="Arial"/>
                <w:sz w:val="17"/>
                <w:szCs w:val="17"/>
                <w:color w:val="0000FF"/>
              </w:rPr>
            </w:pPr>
            <w:hyperlink r:id="rId132">
              <w:r>
                <w:rPr>
                  <w:rFonts w:ascii="Arial" w:cs="Arial" w:eastAsia="Arial" w:hAnsi="Arial"/>
                  <w:sz w:val="17"/>
                  <w:szCs w:val="17"/>
                  <w:color w:val="0000FF"/>
                </w:rPr>
                <w:t>and  among  General  Communication,  Inc.,  Liberty  Interactive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52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13D/A filed November 3, 2017</w:t>
            </w:r>
          </w:p>
        </w:tc>
      </w:tr>
      <w:tr>
        <w:trPr>
          <w:trHeight w:val="168"/>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5260" w:type="dxa"/>
            <w:vAlign w:val="bottom"/>
            <w:tcBorders>
              <w:top w:val="single" w:sz="8" w:color="0000FF"/>
              <w:bottom w:val="single" w:sz="8" w:color="0000FF"/>
            </w:tcBorders>
            <w:gridSpan w:val="25"/>
            <w:shd w:val="clear" w:color="auto" w:fill="CCEEFF"/>
          </w:tcPr>
          <w:p>
            <w:pPr>
              <w:spacing w:after="0" w:line="168" w:lineRule="exact"/>
              <w:rPr>
                <w:rFonts w:ascii="Arial" w:cs="Arial" w:eastAsia="Arial" w:hAnsi="Arial"/>
                <w:sz w:val="18"/>
                <w:szCs w:val="18"/>
                <w:color w:val="0000FF"/>
                <w:w w:val="96"/>
              </w:rPr>
            </w:pPr>
            <w:hyperlink r:id="rId132">
              <w:r>
                <w:rPr>
                  <w:rFonts w:ascii="Arial" w:cs="Arial" w:eastAsia="Arial" w:hAnsi="Arial"/>
                  <w:sz w:val="18"/>
                  <w:szCs w:val="18"/>
                  <w:color w:val="0000FF"/>
                  <w:w w:val="96"/>
                </w:rPr>
                <w:t>Corporation, Liberty USA Holdings, LLC, Ventures Holdco, LLC, and</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5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5"/>
        </w:trPr>
        <w:tc>
          <w:tcPr>
            <w:tcW w:w="1200" w:type="dxa"/>
            <w:vAlign w:val="bottom"/>
            <w:shd w:val="clear" w:color="auto" w:fill="CCEEFF"/>
          </w:tcPr>
          <w:p>
            <w:pPr>
              <w:spacing w:after="0"/>
              <w:rPr>
                <w:sz w:val="13"/>
                <w:szCs w:val="13"/>
                <w:color w:val="auto"/>
              </w:rPr>
            </w:pPr>
          </w:p>
        </w:tc>
        <w:tc>
          <w:tcPr>
            <w:tcW w:w="5360" w:type="dxa"/>
            <w:vAlign w:val="bottom"/>
            <w:gridSpan w:val="30"/>
            <w:shd w:val="clear" w:color="auto" w:fill="CCEEFF"/>
          </w:tcPr>
          <w:p>
            <w:pPr>
              <w:spacing w:after="0" w:line="154" w:lineRule="exact"/>
              <w:rPr>
                <w:rFonts w:ascii="Arial" w:cs="Arial" w:eastAsia="Arial" w:hAnsi="Arial"/>
                <w:sz w:val="17"/>
                <w:szCs w:val="17"/>
                <w:color w:val="0000FF"/>
              </w:rPr>
            </w:pPr>
            <w:hyperlink r:id="rId132">
              <w:r>
                <w:rPr>
                  <w:rFonts w:ascii="Arial" w:cs="Arial" w:eastAsia="Arial" w:hAnsi="Arial"/>
                  <w:sz w:val="17"/>
                  <w:szCs w:val="17"/>
                  <w:color w:val="0000FF"/>
                </w:rPr>
                <w:t>LendingTree, Inc.</w:t>
              </w:r>
            </w:hyperlink>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520" w:type="dxa"/>
            <w:vAlign w:val="bottom"/>
            <w:shd w:val="clear" w:color="auto" w:fill="CCEEFF"/>
          </w:tcPr>
          <w:p>
            <w:pPr>
              <w:spacing w:after="0"/>
              <w:rPr>
                <w:sz w:val="13"/>
                <w:szCs w:val="13"/>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2.14</w:t>
            </w:r>
          </w:p>
        </w:tc>
        <w:tc>
          <w:tcPr>
            <w:tcW w:w="5520" w:type="dxa"/>
            <w:vAlign w:val="bottom"/>
            <w:gridSpan w:val="38"/>
          </w:tcPr>
          <w:p>
            <w:pPr>
              <w:spacing w:after="0" w:line="189"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Unit Purchase Agreement dated as of October 4, 2018 by and among</w:t>
              </w:r>
            </w:hyperlink>
          </w:p>
        </w:tc>
        <w:tc>
          <w:tcPr>
            <w:tcW w:w="4520" w:type="dxa"/>
            <w:vAlign w:val="bottom"/>
          </w:tcPr>
          <w:p>
            <w:pPr>
              <w:spacing w:after="0" w:line="189" w:lineRule="exact"/>
              <w:rPr>
                <w:sz w:val="20"/>
                <w:szCs w:val="20"/>
                <w:color w:val="auto"/>
              </w:rPr>
            </w:pPr>
            <w:r>
              <w:rPr>
                <w:rFonts w:ascii="Arial" w:cs="Arial" w:eastAsia="Arial" w:hAnsi="Arial"/>
                <w:sz w:val="18"/>
                <w:szCs w:val="18"/>
                <w:color w:val="auto"/>
                <w:w w:val="93"/>
              </w:rPr>
              <w:t>Exhibit 2.1 to the Registrant’s Current Report on Form 8-K/A</w:t>
            </w:r>
          </w:p>
        </w:tc>
      </w:tr>
      <w:tr>
        <w:trPr>
          <w:trHeight w:val="155"/>
        </w:trPr>
        <w:tc>
          <w:tcPr>
            <w:tcW w:w="1200" w:type="dxa"/>
            <w:vAlign w:val="bottom"/>
          </w:tcPr>
          <w:p>
            <w:pPr>
              <w:spacing w:after="0"/>
              <w:rPr>
                <w:sz w:val="13"/>
                <w:szCs w:val="13"/>
                <w:color w:val="auto"/>
              </w:rPr>
            </w:pPr>
          </w:p>
        </w:tc>
        <w:tc>
          <w:tcPr>
            <w:tcW w:w="5420" w:type="dxa"/>
            <w:vAlign w:val="bottom"/>
            <w:tcBorders>
              <w:top w:val="single" w:sz="8" w:color="0000FF"/>
            </w:tcBorders>
            <w:gridSpan w:val="33"/>
          </w:tcPr>
          <w:p>
            <w:pPr>
              <w:spacing w:after="0" w:line="154" w:lineRule="exact"/>
              <w:rPr>
                <w:rFonts w:ascii="Arial" w:cs="Arial" w:eastAsia="Arial" w:hAnsi="Arial"/>
                <w:sz w:val="17"/>
                <w:szCs w:val="17"/>
                <w:color w:val="0000FF"/>
              </w:rPr>
            </w:pPr>
            <w:hyperlink r:id="rId133">
              <w:r>
                <w:rPr>
                  <w:rFonts w:ascii="Arial" w:cs="Arial" w:eastAsia="Arial" w:hAnsi="Arial"/>
                  <w:sz w:val="17"/>
                  <w:szCs w:val="17"/>
                  <w:color w:val="0000FF"/>
                </w:rPr>
                <w:t>LendingTree, LLC, QuoteWizard.com, LLC, all of the members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line="154" w:lineRule="exact"/>
              <w:rPr>
                <w:sz w:val="20"/>
                <w:szCs w:val="20"/>
                <w:color w:val="auto"/>
              </w:rPr>
            </w:pPr>
            <w:r>
              <w:rPr>
                <w:rFonts w:ascii="Arial" w:cs="Arial" w:eastAsia="Arial" w:hAnsi="Arial"/>
                <w:sz w:val="17"/>
                <w:szCs w:val="17"/>
                <w:color w:val="auto"/>
              </w:rPr>
              <w:t>filed October 12, 2018</w:t>
            </w:r>
          </w:p>
        </w:tc>
      </w:tr>
      <w:tr>
        <w:trPr>
          <w:trHeight w:val="168"/>
        </w:trPr>
        <w:tc>
          <w:tcPr>
            <w:tcW w:w="1200" w:type="dxa"/>
            <w:vAlign w:val="bottom"/>
          </w:tcPr>
          <w:p>
            <w:pPr>
              <w:spacing w:after="0"/>
              <w:rPr>
                <w:sz w:val="14"/>
                <w:szCs w:val="14"/>
                <w:color w:val="auto"/>
              </w:rPr>
            </w:pPr>
          </w:p>
        </w:tc>
        <w:tc>
          <w:tcPr>
            <w:tcW w:w="5320" w:type="dxa"/>
            <w:vAlign w:val="bottom"/>
            <w:tcBorders>
              <w:top w:val="single" w:sz="8" w:color="0000FF"/>
            </w:tcBorders>
            <w:gridSpan w:val="28"/>
          </w:tcPr>
          <w:p>
            <w:pPr>
              <w:spacing w:after="0" w:line="168" w:lineRule="exact"/>
              <w:rPr>
                <w:rFonts w:ascii="Arial" w:cs="Arial" w:eastAsia="Arial" w:hAnsi="Arial"/>
                <w:sz w:val="18"/>
                <w:szCs w:val="18"/>
                <w:color w:val="0000FF"/>
              </w:rPr>
            </w:pPr>
            <w:hyperlink r:id="rId133">
              <w:r>
                <w:rPr>
                  <w:rFonts w:ascii="Arial" w:cs="Arial" w:eastAsia="Arial" w:hAnsi="Arial"/>
                  <w:sz w:val="18"/>
                  <w:szCs w:val="18"/>
                  <w:color w:val="0000FF"/>
                </w:rPr>
                <w:t>QuoteWizard.com, LLC, and Scott Peyree as the Securityholders</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155"/>
        </w:trPr>
        <w:tc>
          <w:tcPr>
            <w:tcW w:w="1200" w:type="dxa"/>
            <w:vAlign w:val="bottom"/>
          </w:tcPr>
          <w:p>
            <w:pPr>
              <w:spacing w:after="0"/>
              <w:rPr>
                <w:sz w:val="13"/>
                <w:szCs w:val="13"/>
                <w:color w:val="auto"/>
              </w:rPr>
            </w:pPr>
          </w:p>
        </w:tc>
        <w:tc>
          <w:tcPr>
            <w:tcW w:w="5180" w:type="dxa"/>
            <w:vAlign w:val="bottom"/>
            <w:tcBorders>
              <w:top w:val="single" w:sz="8" w:color="0000FF"/>
            </w:tcBorders>
            <w:gridSpan w:val="21"/>
          </w:tcPr>
          <w:p>
            <w:pPr>
              <w:spacing w:after="0" w:line="154" w:lineRule="exact"/>
              <w:rPr>
                <w:rFonts w:ascii="Arial" w:cs="Arial" w:eastAsia="Arial" w:hAnsi="Arial"/>
                <w:sz w:val="17"/>
                <w:szCs w:val="17"/>
                <w:color w:val="0000FF"/>
              </w:rPr>
            </w:pPr>
            <w:hyperlink r:id="rId133">
              <w:r>
                <w:rPr>
                  <w:rFonts w:ascii="Arial" w:cs="Arial" w:eastAsia="Arial" w:hAnsi="Arial"/>
                  <w:sz w:val="17"/>
                  <w:szCs w:val="17"/>
                  <w:color w:val="0000FF"/>
                </w:rPr>
                <w:t>Representative. **</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2.15</w:t>
            </w:r>
          </w:p>
        </w:tc>
        <w:tc>
          <w:tcPr>
            <w:tcW w:w="5520" w:type="dxa"/>
            <w:vAlign w:val="bottom"/>
            <w:gridSpan w:val="38"/>
            <w:shd w:val="clear" w:color="auto" w:fill="CCEEFF"/>
          </w:tcPr>
          <w:p>
            <w:pPr>
              <w:spacing w:after="0" w:line="189" w:lineRule="exact"/>
              <w:rPr>
                <w:rFonts w:ascii="Arial" w:cs="Arial" w:eastAsia="Arial" w:hAnsi="Arial"/>
                <w:sz w:val="18"/>
                <w:szCs w:val="18"/>
                <w:color w:val="0000FF"/>
              </w:rPr>
            </w:pPr>
            <w:hyperlink r:id="rId134">
              <w:r>
                <w:rPr>
                  <w:rFonts w:ascii="Arial" w:cs="Arial" w:eastAsia="Arial" w:hAnsi="Arial"/>
                  <w:sz w:val="18"/>
                  <w:szCs w:val="18"/>
                  <w:color w:val="0000FF"/>
                </w:rPr>
                <w:t>Stock Purchase Agreement dated as of December 20, 2018 by and</w:t>
              </w:r>
            </w:hyperlink>
          </w:p>
        </w:tc>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9"/>
              </w:rPr>
              <w:t>Exhibit 2.1 to the Registrant’s Current Report on Form 8-K filed</w:t>
            </w: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220" w:type="dxa"/>
            <w:vAlign w:val="bottom"/>
            <w:tcBorders>
              <w:top w:val="single" w:sz="8" w:color="0000FF"/>
              <w:bottom w:val="single" w:sz="8" w:color="0000FF"/>
            </w:tcBorders>
            <w:gridSpan w:val="23"/>
            <w:shd w:val="clear" w:color="auto" w:fill="CCEEFF"/>
          </w:tcPr>
          <w:p>
            <w:pPr>
              <w:spacing w:after="0" w:line="154" w:lineRule="exact"/>
              <w:rPr>
                <w:rFonts w:ascii="Arial" w:cs="Arial" w:eastAsia="Arial" w:hAnsi="Arial"/>
                <w:sz w:val="17"/>
                <w:szCs w:val="17"/>
                <w:color w:val="0000FF"/>
              </w:rPr>
            </w:pPr>
            <w:hyperlink r:id="rId134">
              <w:r>
                <w:rPr>
                  <w:rFonts w:ascii="Arial" w:cs="Arial" w:eastAsia="Arial" w:hAnsi="Arial"/>
                  <w:sz w:val="17"/>
                  <w:szCs w:val="17"/>
                  <w:color w:val="0000FF"/>
                </w:rPr>
                <w:t>among LendingTree, LLC, Value Holding Inc., all of the shareholders</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52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December 27, 2018</w:t>
            </w:r>
          </w:p>
        </w:tc>
      </w:tr>
      <w:tr>
        <w:trPr>
          <w:trHeight w:val="168"/>
        </w:trPr>
        <w:tc>
          <w:tcPr>
            <w:tcW w:w="1200" w:type="dxa"/>
            <w:vAlign w:val="bottom"/>
            <w:shd w:val="clear" w:color="auto" w:fill="CCEEFF"/>
          </w:tcPr>
          <w:p>
            <w:pPr>
              <w:spacing w:after="0"/>
              <w:rPr>
                <w:sz w:val="14"/>
                <w:szCs w:val="14"/>
                <w:color w:val="auto"/>
              </w:rPr>
            </w:pPr>
          </w:p>
        </w:tc>
        <w:tc>
          <w:tcPr>
            <w:tcW w:w="5480" w:type="dxa"/>
            <w:vAlign w:val="bottom"/>
            <w:gridSpan w:val="36"/>
            <w:shd w:val="clear" w:color="auto" w:fill="CCEEFF"/>
          </w:tcPr>
          <w:p>
            <w:pPr>
              <w:spacing w:after="0" w:line="168" w:lineRule="exact"/>
              <w:rPr>
                <w:rFonts w:ascii="Arial" w:cs="Arial" w:eastAsia="Arial" w:hAnsi="Arial"/>
                <w:sz w:val="18"/>
                <w:szCs w:val="18"/>
                <w:color w:val="0000FF"/>
                <w:w w:val="96"/>
              </w:rPr>
            </w:pPr>
            <w:hyperlink r:id="rId134">
              <w:r>
                <w:rPr>
                  <w:rFonts w:ascii="Arial" w:cs="Arial" w:eastAsia="Arial" w:hAnsi="Arial"/>
                  <w:sz w:val="18"/>
                  <w:szCs w:val="18"/>
                  <w:color w:val="0000FF"/>
                  <w:w w:val="96"/>
                </w:rPr>
                <w:t>of Value Holding Inc., and Jonathan Wu as the Sellers’ Representative.</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520" w:type="dxa"/>
            <w:vAlign w:val="bottom"/>
            <w:shd w:val="clear" w:color="auto" w:fill="CCEEFF"/>
          </w:tcPr>
          <w:p>
            <w:pPr>
              <w:spacing w:after="0"/>
              <w:rPr>
                <w:sz w:val="14"/>
                <w:szCs w:val="14"/>
                <w:color w:val="auto"/>
              </w:rPr>
            </w:pPr>
          </w:p>
        </w:tc>
      </w:tr>
      <w:tr>
        <w:trPr>
          <w:trHeight w:val="180"/>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0000FF"/>
            </w:tcBorders>
            <w:shd w:val="clear" w:color="auto" w:fill="CCEEFF"/>
          </w:tcPr>
          <w:p>
            <w:pPr>
              <w:spacing w:after="0" w:line="154" w:lineRule="exact"/>
              <w:rPr>
                <w:rFonts w:ascii="Arial" w:cs="Arial" w:eastAsia="Arial" w:hAnsi="Arial"/>
                <w:sz w:val="17"/>
                <w:szCs w:val="17"/>
                <w:color w:val="0000FF"/>
              </w:rPr>
            </w:pPr>
            <w:hyperlink r:id="rId134">
              <w:r>
                <w:rPr>
                  <w:rFonts w:ascii="Arial" w:cs="Arial" w:eastAsia="Arial" w:hAnsi="Arial"/>
                  <w:sz w:val="17"/>
                  <w:szCs w:val="17"/>
                  <w:color w:val="0000FF"/>
                </w:rPr>
                <w:t>**</w:t>
              </w:r>
            </w:hyperlink>
          </w:p>
        </w:tc>
        <w:tc>
          <w:tcPr>
            <w:tcW w:w="620" w:type="dxa"/>
            <w:vAlign w:val="bottom"/>
            <w:tcBorders>
              <w:top w:val="single" w:sz="8" w:color="0000FF"/>
              <w:bottom w:val="single" w:sz="8" w:color="CCEEFF"/>
            </w:tcBorders>
            <w:shd w:val="clear" w:color="auto" w:fill="CCEEFF"/>
          </w:tcPr>
          <w:p>
            <w:pPr>
              <w:spacing w:after="0"/>
              <w:rPr>
                <w:sz w:val="15"/>
                <w:szCs w:val="15"/>
                <w:color w:val="auto"/>
              </w:rPr>
            </w:pPr>
          </w:p>
        </w:tc>
        <w:tc>
          <w:tcPr>
            <w:tcW w:w="48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980" w:type="dxa"/>
            <w:vAlign w:val="bottom"/>
            <w:tcBorders>
              <w:top w:val="single" w:sz="8" w:color="0000FF"/>
              <w:bottom w:val="single" w:sz="8" w:color="CCEEFF"/>
            </w:tcBorders>
            <w:shd w:val="clear" w:color="auto" w:fill="CCEEFF"/>
          </w:tcPr>
          <w:p>
            <w:pPr>
              <w:spacing w:after="0"/>
              <w:rPr>
                <w:sz w:val="15"/>
                <w:szCs w:val="15"/>
                <w:color w:val="auto"/>
              </w:rPr>
            </w:pPr>
          </w:p>
        </w:tc>
        <w:tc>
          <w:tcPr>
            <w:tcW w:w="42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36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0000FF"/>
              <w:bottom w:val="single" w:sz="8" w:color="CCEEFF"/>
            </w:tcBorders>
            <w:shd w:val="clear" w:color="auto" w:fill="CCEEFF"/>
          </w:tcPr>
          <w:p>
            <w:pPr>
              <w:spacing w:after="0"/>
              <w:rPr>
                <w:sz w:val="15"/>
                <w:szCs w:val="15"/>
                <w:color w:val="auto"/>
              </w:rPr>
            </w:pPr>
          </w:p>
        </w:tc>
        <w:tc>
          <w:tcPr>
            <w:tcW w:w="50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5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8"/>
        </w:trPr>
        <w:tc>
          <w:tcPr>
            <w:tcW w:w="1200" w:type="dxa"/>
            <w:vAlign w:val="bottom"/>
            <w:tcBorders>
              <w:top w:val="single" w:sz="8" w:color="CCEEFF"/>
            </w:tcBorders>
          </w:tcPr>
          <w:p>
            <w:pPr>
              <w:jc w:val="right"/>
              <w:ind w:right="90"/>
              <w:spacing w:after="0" w:line="189" w:lineRule="exact"/>
              <w:rPr>
                <w:sz w:val="20"/>
                <w:szCs w:val="20"/>
                <w:color w:val="auto"/>
              </w:rPr>
            </w:pPr>
            <w:r>
              <w:rPr>
                <w:rFonts w:ascii="Arial" w:cs="Arial" w:eastAsia="Arial" w:hAnsi="Arial"/>
                <w:sz w:val="18"/>
                <w:szCs w:val="18"/>
                <w:color w:val="auto"/>
              </w:rPr>
              <w:t>3.1</w:t>
            </w:r>
          </w:p>
        </w:tc>
        <w:tc>
          <w:tcPr>
            <w:tcW w:w="5520" w:type="dxa"/>
            <w:vAlign w:val="bottom"/>
            <w:tcBorders>
              <w:top w:val="single" w:sz="8" w:color="CCEEFF"/>
            </w:tcBorders>
            <w:gridSpan w:val="38"/>
          </w:tcPr>
          <w:p>
            <w:pPr>
              <w:spacing w:after="0" w:line="189" w:lineRule="exact"/>
              <w:rPr>
                <w:rFonts w:ascii="Arial" w:cs="Arial" w:eastAsia="Arial" w:hAnsi="Arial"/>
                <w:sz w:val="18"/>
                <w:szCs w:val="18"/>
                <w:color w:val="0000FF"/>
              </w:rPr>
            </w:pPr>
            <w:hyperlink r:id="rId135">
              <w:r>
                <w:rPr>
                  <w:rFonts w:ascii="Arial" w:cs="Arial" w:eastAsia="Arial" w:hAnsi="Arial"/>
                  <w:sz w:val="18"/>
                  <w:szCs w:val="18"/>
                  <w:color w:val="0000FF"/>
                </w:rPr>
                <w:t>Amended   and   Restated   Certificate   of   Incorporation   of</w:t>
              </w:r>
            </w:hyperlink>
          </w:p>
        </w:tc>
        <w:tc>
          <w:tcPr>
            <w:tcW w:w="452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w w:val="89"/>
              </w:rPr>
              <w:t>Exhibit 3.1 to the Registrant's Current Report on Form 8-K filed</w:t>
            </w:r>
          </w:p>
        </w:tc>
      </w:tr>
      <w:tr>
        <w:trPr>
          <w:trHeight w:val="155"/>
        </w:trPr>
        <w:tc>
          <w:tcPr>
            <w:tcW w:w="1200" w:type="dxa"/>
            <w:vAlign w:val="bottom"/>
          </w:tcPr>
          <w:p>
            <w:pPr>
              <w:spacing w:after="0"/>
              <w:rPr>
                <w:sz w:val="13"/>
                <w:szCs w:val="13"/>
                <w:color w:val="auto"/>
              </w:rPr>
            </w:pPr>
          </w:p>
        </w:tc>
        <w:tc>
          <w:tcPr>
            <w:tcW w:w="5340" w:type="dxa"/>
            <w:vAlign w:val="bottom"/>
            <w:tcBorders>
              <w:top w:val="single" w:sz="8" w:color="0000FF"/>
            </w:tcBorders>
            <w:gridSpan w:val="29"/>
          </w:tcPr>
          <w:p>
            <w:pPr>
              <w:spacing w:after="0" w:line="154" w:lineRule="exact"/>
              <w:rPr>
                <w:rFonts w:ascii="Arial" w:cs="Arial" w:eastAsia="Arial" w:hAnsi="Arial"/>
                <w:sz w:val="17"/>
                <w:szCs w:val="17"/>
                <w:color w:val="0000FF"/>
              </w:rPr>
            </w:pPr>
            <w:hyperlink r:id="rId135">
              <w:r>
                <w:rPr>
                  <w:rFonts w:ascii="Arial" w:cs="Arial" w:eastAsia="Arial" w:hAnsi="Arial"/>
                  <w:sz w:val="17"/>
                  <w:szCs w:val="17"/>
                  <w:color w:val="0000FF"/>
                </w:rPr>
                <w:t>LendingTree, Inc.</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line="154" w:lineRule="exact"/>
              <w:rPr>
                <w:sz w:val="20"/>
                <w:szCs w:val="20"/>
                <w:color w:val="auto"/>
              </w:rPr>
            </w:pPr>
            <w:r>
              <w:rPr>
                <w:rFonts w:ascii="Arial" w:cs="Arial" w:eastAsia="Arial" w:hAnsi="Arial"/>
                <w:sz w:val="17"/>
                <w:szCs w:val="17"/>
                <w:color w:val="auto"/>
              </w:rPr>
              <w:t>August 25, 2008</w:t>
            </w:r>
          </w:p>
        </w:tc>
      </w:tr>
      <w:tr>
        <w:trPr>
          <w:trHeight w:val="34"/>
        </w:trPr>
        <w:tc>
          <w:tcPr>
            <w:tcW w:w="12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3.2</w:t>
            </w:r>
          </w:p>
        </w:tc>
        <w:tc>
          <w:tcPr>
            <w:tcW w:w="5520" w:type="dxa"/>
            <w:vAlign w:val="bottom"/>
            <w:gridSpan w:val="38"/>
            <w:shd w:val="clear" w:color="auto" w:fill="CCEEFF"/>
          </w:tcPr>
          <w:p>
            <w:pPr>
              <w:spacing w:after="0" w:line="189" w:lineRule="exact"/>
              <w:rPr>
                <w:rFonts w:ascii="Arial" w:cs="Arial" w:eastAsia="Arial" w:hAnsi="Arial"/>
                <w:sz w:val="18"/>
                <w:szCs w:val="18"/>
                <w:color w:val="0000FF"/>
              </w:rPr>
            </w:pPr>
            <w:hyperlink r:id="rId136">
              <w:r>
                <w:rPr>
                  <w:rFonts w:ascii="Arial" w:cs="Arial" w:eastAsia="Arial" w:hAnsi="Arial"/>
                  <w:sz w:val="18"/>
                  <w:szCs w:val="18"/>
                  <w:color w:val="0000FF"/>
                </w:rPr>
                <w:t>Fourth Amended and Restated By-laws of LendingTree, Inc.</w:t>
              </w:r>
            </w:hyperlink>
          </w:p>
        </w:tc>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9"/>
              </w:rPr>
              <w:t>Exhibit 3.1 to the Registrant's Current Report on Form 8-K filed</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15, 2017</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4.1</w:t>
            </w:r>
          </w:p>
        </w:tc>
        <w:tc>
          <w:tcPr>
            <w:tcW w:w="5520" w:type="dxa"/>
            <w:vAlign w:val="bottom"/>
            <w:gridSpan w:val="38"/>
          </w:tcPr>
          <w:p>
            <w:pPr>
              <w:spacing w:after="0" w:line="189" w:lineRule="exact"/>
              <w:rPr>
                <w:rFonts w:ascii="Arial" w:cs="Arial" w:eastAsia="Arial" w:hAnsi="Arial"/>
                <w:sz w:val="18"/>
                <w:szCs w:val="18"/>
                <w:color w:val="0000FF"/>
              </w:rPr>
            </w:pPr>
            <w:hyperlink r:id="rId137">
              <w:r>
                <w:rPr>
                  <w:rFonts w:ascii="Arial" w:cs="Arial" w:eastAsia="Arial" w:hAnsi="Arial"/>
                  <w:sz w:val="18"/>
                  <w:szCs w:val="18"/>
                  <w:color w:val="0000FF"/>
                </w:rPr>
                <w:t>Amended and Restated Restricted Share Grant and Shareholders'</w:t>
              </w:r>
            </w:hyperlink>
          </w:p>
        </w:tc>
        <w:tc>
          <w:tcPr>
            <w:tcW w:w="4520" w:type="dxa"/>
            <w:vAlign w:val="bottom"/>
          </w:tcPr>
          <w:p>
            <w:pPr>
              <w:spacing w:after="0" w:line="189" w:lineRule="exact"/>
              <w:rPr>
                <w:sz w:val="20"/>
                <w:szCs w:val="20"/>
                <w:color w:val="auto"/>
              </w:rPr>
            </w:pPr>
            <w:r>
              <w:rPr>
                <w:rFonts w:ascii="Arial" w:cs="Arial" w:eastAsia="Arial" w:hAnsi="Arial"/>
                <w:sz w:val="18"/>
                <w:szCs w:val="18"/>
                <w:color w:val="auto"/>
                <w:w w:val="91"/>
              </w:rPr>
              <w:t>Exhibit  10.8  to  the  Registrant's  Registration  Statement  on</w:t>
            </w:r>
          </w:p>
        </w:tc>
      </w:tr>
      <w:tr>
        <w:trPr>
          <w:trHeight w:val="155"/>
        </w:trPr>
        <w:tc>
          <w:tcPr>
            <w:tcW w:w="1200" w:type="dxa"/>
            <w:vAlign w:val="bottom"/>
          </w:tcPr>
          <w:p>
            <w:pPr>
              <w:spacing w:after="0"/>
              <w:rPr>
                <w:sz w:val="13"/>
                <w:szCs w:val="13"/>
                <w:color w:val="auto"/>
              </w:rPr>
            </w:pPr>
          </w:p>
        </w:tc>
        <w:tc>
          <w:tcPr>
            <w:tcW w:w="5460" w:type="dxa"/>
            <w:vAlign w:val="bottom"/>
            <w:tcBorders>
              <w:top w:val="single" w:sz="8" w:color="0000FF"/>
            </w:tcBorders>
            <w:gridSpan w:val="35"/>
          </w:tcPr>
          <w:p>
            <w:pPr>
              <w:spacing w:after="0" w:line="154" w:lineRule="exact"/>
              <w:rPr>
                <w:rFonts w:ascii="Arial" w:cs="Arial" w:eastAsia="Arial" w:hAnsi="Arial"/>
                <w:sz w:val="17"/>
                <w:szCs w:val="17"/>
                <w:color w:val="0000FF"/>
              </w:rPr>
            </w:pPr>
            <w:hyperlink r:id="rId137">
              <w:r>
                <w:rPr>
                  <w:rFonts w:ascii="Arial" w:cs="Arial" w:eastAsia="Arial" w:hAnsi="Arial"/>
                  <w:sz w:val="17"/>
                  <w:szCs w:val="17"/>
                  <w:color w:val="0000FF"/>
                </w:rPr>
                <w:t>Agreement,  among  Forest  Merger  Corp.,  LendingTree,  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Pr>
          <w:p>
            <w:pPr>
              <w:spacing w:after="0" w:line="154" w:lineRule="exact"/>
              <w:rPr>
                <w:sz w:val="20"/>
                <w:szCs w:val="20"/>
                <w:color w:val="auto"/>
              </w:rPr>
            </w:pPr>
            <w:r>
              <w:rPr>
                <w:rFonts w:ascii="Arial" w:cs="Arial" w:eastAsia="Arial" w:hAnsi="Arial"/>
                <w:sz w:val="17"/>
                <w:szCs w:val="17"/>
                <w:color w:val="auto"/>
              </w:rPr>
              <w:t>Form S-1 (No. 333-152700), filed August 1, 2008</w:t>
            </w:r>
          </w:p>
        </w:tc>
      </w:tr>
      <w:tr>
        <w:trPr>
          <w:trHeight w:val="168"/>
        </w:trPr>
        <w:tc>
          <w:tcPr>
            <w:tcW w:w="1200" w:type="dxa"/>
            <w:vAlign w:val="bottom"/>
          </w:tcPr>
          <w:p>
            <w:pPr>
              <w:spacing w:after="0"/>
              <w:rPr>
                <w:sz w:val="14"/>
                <w:szCs w:val="14"/>
                <w:color w:val="auto"/>
              </w:rPr>
            </w:pPr>
          </w:p>
        </w:tc>
        <w:tc>
          <w:tcPr>
            <w:tcW w:w="5280" w:type="dxa"/>
            <w:vAlign w:val="bottom"/>
            <w:tcBorders>
              <w:top w:val="single" w:sz="8" w:color="0000FF"/>
            </w:tcBorders>
            <w:gridSpan w:val="26"/>
          </w:tcPr>
          <w:p>
            <w:pPr>
              <w:spacing w:after="0" w:line="168" w:lineRule="exact"/>
              <w:rPr>
                <w:rFonts w:ascii="Arial" w:cs="Arial" w:eastAsia="Arial" w:hAnsi="Arial"/>
                <w:sz w:val="18"/>
                <w:szCs w:val="18"/>
                <w:color w:val="0000FF"/>
                <w:w w:val="95"/>
              </w:rPr>
            </w:pPr>
            <w:hyperlink r:id="rId137">
              <w:r>
                <w:rPr>
                  <w:rFonts w:ascii="Arial" w:cs="Arial" w:eastAsia="Arial" w:hAnsi="Arial"/>
                  <w:sz w:val="18"/>
                  <w:szCs w:val="18"/>
                  <w:color w:val="0000FF"/>
                  <w:w w:val="95"/>
                </w:rPr>
                <w:t>InterActiveCorp and the Grantees named therein, dated July 7, 2003*</w:t>
              </w:r>
            </w:hyperlink>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4.2</w:t>
            </w:r>
          </w:p>
        </w:tc>
        <w:tc>
          <w:tcPr>
            <w:tcW w:w="5520" w:type="dxa"/>
            <w:vAlign w:val="bottom"/>
            <w:gridSpan w:val="38"/>
            <w:shd w:val="clear" w:color="auto" w:fill="CCEEFF"/>
          </w:tcPr>
          <w:p>
            <w:pPr>
              <w:spacing w:after="0" w:line="189" w:lineRule="exact"/>
              <w:rPr>
                <w:rFonts w:ascii="Arial" w:cs="Arial" w:eastAsia="Arial" w:hAnsi="Arial"/>
                <w:sz w:val="18"/>
                <w:szCs w:val="18"/>
                <w:color w:val="0000FF"/>
              </w:rPr>
            </w:pPr>
            <w:hyperlink r:id="rId138">
              <w:r>
                <w:rPr>
                  <w:rFonts w:ascii="Arial" w:cs="Arial" w:eastAsia="Arial" w:hAnsi="Arial"/>
                  <w:sz w:val="18"/>
                  <w:szCs w:val="18"/>
                  <w:color w:val="0000FF"/>
                </w:rPr>
                <w:t>Registration Rights Agreement among Tree.com, Inc., Liberty Media</w:t>
              </w:r>
            </w:hyperlink>
          </w:p>
        </w:tc>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8"/>
              </w:rPr>
              <w:t>Exhibit 10.5 to the Registrant's Current Report on Form 8-K filed</w:t>
            </w: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5040" w:type="dxa"/>
            <w:vAlign w:val="bottom"/>
            <w:tcBorders>
              <w:top w:val="single" w:sz="8" w:color="0000FF"/>
              <w:bottom w:val="single" w:sz="8" w:color="0000FF"/>
            </w:tcBorders>
            <w:gridSpan w:val="18"/>
            <w:shd w:val="clear" w:color="auto" w:fill="CCEEFF"/>
          </w:tcPr>
          <w:p>
            <w:pPr>
              <w:spacing w:after="0" w:line="154" w:lineRule="exact"/>
              <w:rPr>
                <w:rFonts w:ascii="Arial" w:cs="Arial" w:eastAsia="Arial" w:hAnsi="Arial"/>
                <w:sz w:val="17"/>
                <w:szCs w:val="17"/>
                <w:color w:val="0000FF"/>
                <w:w w:val="97"/>
              </w:rPr>
            </w:pPr>
            <w:hyperlink r:id="rId138">
              <w:r>
                <w:rPr>
                  <w:rFonts w:ascii="Arial" w:cs="Arial" w:eastAsia="Arial" w:hAnsi="Arial"/>
                  <w:sz w:val="17"/>
                  <w:szCs w:val="17"/>
                  <w:color w:val="0000FF"/>
                  <w:w w:val="97"/>
                </w:rPr>
                <w:t>Corporation and Liberty USA Holdings, LLC, dated August 20, 2008.</w:t>
              </w:r>
            </w:hyperlink>
          </w:p>
        </w:tc>
        <w:tc>
          <w:tcPr>
            <w:tcW w:w="460" w:type="dxa"/>
            <w:vAlign w:val="bottom"/>
            <w:tcBorders>
              <w:top w:val="single" w:sz="8" w:color="0000FF"/>
              <w:bottom w:val="single" w:sz="8" w:color="CCEEFF"/>
            </w:tcBorders>
            <w:gridSpan w:val="19"/>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52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August 25, 2008</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4.3</w:t>
            </w:r>
          </w:p>
        </w:tc>
        <w:tc>
          <w:tcPr>
            <w:tcW w:w="5520" w:type="dxa"/>
            <w:vAlign w:val="bottom"/>
            <w:gridSpan w:val="38"/>
          </w:tcPr>
          <w:p>
            <w:pPr>
              <w:spacing w:after="0" w:line="189" w:lineRule="exact"/>
              <w:rPr>
                <w:rFonts w:ascii="Arial" w:cs="Arial" w:eastAsia="Arial" w:hAnsi="Arial"/>
                <w:sz w:val="18"/>
                <w:szCs w:val="18"/>
                <w:color w:val="0000FF"/>
              </w:rPr>
            </w:pPr>
            <w:hyperlink r:id="rId139">
              <w:r>
                <w:rPr>
                  <w:rFonts w:ascii="Arial" w:cs="Arial" w:eastAsia="Arial" w:hAnsi="Arial"/>
                  <w:sz w:val="18"/>
                  <w:szCs w:val="18"/>
                  <w:color w:val="0000FF"/>
                </w:rPr>
                <w:t>Indenture for .0625% Convertible Senior Notes due 2022</w:t>
              </w:r>
            </w:hyperlink>
          </w:p>
        </w:tc>
        <w:tc>
          <w:tcPr>
            <w:tcW w:w="4520" w:type="dxa"/>
            <w:vAlign w:val="bottom"/>
          </w:tcPr>
          <w:p>
            <w:pPr>
              <w:spacing w:after="0" w:line="189" w:lineRule="exact"/>
              <w:rPr>
                <w:sz w:val="20"/>
                <w:szCs w:val="20"/>
                <w:color w:val="auto"/>
              </w:rPr>
            </w:pPr>
            <w:r>
              <w:rPr>
                <w:rFonts w:ascii="Arial" w:cs="Arial" w:eastAsia="Arial" w:hAnsi="Arial"/>
                <w:sz w:val="18"/>
                <w:szCs w:val="18"/>
                <w:color w:val="auto"/>
                <w:w w:val="89"/>
              </w:rPr>
              <w:t>Exhibit 4.1 to the Registrant's Current Report on Form 8-K filed</w:t>
            </w:r>
          </w:p>
        </w:tc>
      </w:tr>
      <w:tr>
        <w:trPr>
          <w:trHeight w:val="210"/>
        </w:trPr>
        <w:tc>
          <w:tcPr>
            <w:tcW w:w="1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May 31, 2017</w:t>
            </w:r>
          </w:p>
        </w:tc>
      </w:tr>
      <w:tr>
        <w:trPr>
          <w:trHeight w:val="53"/>
        </w:trPr>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520" w:type="dxa"/>
            <w:vAlign w:val="bottom"/>
          </w:tcPr>
          <w:p>
            <w:pPr>
              <w:spacing w:after="0"/>
              <w:rPr>
                <w:sz w:val="4"/>
                <w:szCs w:val="4"/>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4.4</w:t>
            </w:r>
          </w:p>
        </w:tc>
        <w:tc>
          <w:tcPr>
            <w:tcW w:w="5520" w:type="dxa"/>
            <w:vAlign w:val="bottom"/>
            <w:gridSpan w:val="38"/>
            <w:shd w:val="clear" w:color="auto" w:fill="CCEEFF"/>
          </w:tcPr>
          <w:p>
            <w:pPr>
              <w:spacing w:after="0" w:line="189" w:lineRule="exact"/>
              <w:rPr>
                <w:rFonts w:ascii="Arial" w:cs="Arial" w:eastAsia="Arial" w:hAnsi="Arial"/>
                <w:sz w:val="18"/>
                <w:szCs w:val="18"/>
                <w:color w:val="0000FF"/>
              </w:rPr>
            </w:pPr>
            <w:hyperlink r:id="rId140">
              <w:r>
                <w:rPr>
                  <w:rFonts w:ascii="Arial" w:cs="Arial" w:eastAsia="Arial" w:hAnsi="Arial"/>
                  <w:sz w:val="18"/>
                  <w:szCs w:val="18"/>
                  <w:color w:val="0000FF"/>
                </w:rPr>
                <w:t>Purchase Agreement for .0625% Convertible Senior Notes due 2022</w:t>
              </w:r>
            </w:hyperlink>
          </w:p>
        </w:tc>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8"/>
              </w:rPr>
              <w:t>Exhibit 99.1 to the Registrant's Current Report on Form 8-K filed</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31, 2017</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4.5</w:t>
            </w:r>
          </w:p>
        </w:tc>
        <w:tc>
          <w:tcPr>
            <w:tcW w:w="5520" w:type="dxa"/>
            <w:vAlign w:val="bottom"/>
            <w:gridSpan w:val="38"/>
          </w:tcPr>
          <w:p>
            <w:pPr>
              <w:spacing w:after="0" w:line="189" w:lineRule="exact"/>
              <w:rPr>
                <w:rFonts w:ascii="Arial" w:cs="Arial" w:eastAsia="Arial" w:hAnsi="Arial"/>
                <w:sz w:val="18"/>
                <w:szCs w:val="18"/>
                <w:color w:val="0000FF"/>
              </w:rPr>
            </w:pPr>
            <w:hyperlink r:id="rId141">
              <w:r>
                <w:rPr>
                  <w:rFonts w:ascii="Arial" w:cs="Arial" w:eastAsia="Arial" w:hAnsi="Arial"/>
                  <w:sz w:val="18"/>
                  <w:szCs w:val="18"/>
                  <w:color w:val="0000FF"/>
                </w:rPr>
                <w:t>Base Issuer Warrant Transaction</w:t>
              </w:r>
            </w:hyperlink>
          </w:p>
        </w:tc>
        <w:tc>
          <w:tcPr>
            <w:tcW w:w="4520" w:type="dxa"/>
            <w:vAlign w:val="bottom"/>
          </w:tcPr>
          <w:p>
            <w:pPr>
              <w:spacing w:after="0" w:line="189" w:lineRule="exact"/>
              <w:rPr>
                <w:sz w:val="20"/>
                <w:szCs w:val="20"/>
                <w:color w:val="auto"/>
              </w:rPr>
            </w:pPr>
            <w:r>
              <w:rPr>
                <w:rFonts w:ascii="Arial" w:cs="Arial" w:eastAsia="Arial" w:hAnsi="Arial"/>
                <w:sz w:val="18"/>
                <w:szCs w:val="18"/>
                <w:color w:val="auto"/>
                <w:w w:val="88"/>
              </w:rPr>
              <w:t>Exhibit 99.4 to the Registrant's Current Report on Form 8-K filed</w:t>
            </w:r>
          </w:p>
        </w:tc>
      </w:tr>
      <w:tr>
        <w:trPr>
          <w:trHeight w:val="208"/>
        </w:trPr>
        <w:tc>
          <w:tcPr>
            <w:tcW w:w="1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May 31, 2017</w:t>
            </w: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4.6</w:t>
            </w:r>
          </w:p>
        </w:tc>
        <w:tc>
          <w:tcPr>
            <w:tcW w:w="5520" w:type="dxa"/>
            <w:vAlign w:val="bottom"/>
            <w:gridSpan w:val="38"/>
            <w:shd w:val="clear" w:color="auto" w:fill="CCEEFF"/>
          </w:tcPr>
          <w:p>
            <w:pPr>
              <w:spacing w:after="0" w:line="189" w:lineRule="exact"/>
              <w:rPr>
                <w:rFonts w:ascii="Arial" w:cs="Arial" w:eastAsia="Arial" w:hAnsi="Arial"/>
                <w:sz w:val="18"/>
                <w:szCs w:val="18"/>
                <w:color w:val="0000FF"/>
              </w:rPr>
            </w:pPr>
            <w:hyperlink r:id="rId142">
              <w:r>
                <w:rPr>
                  <w:rFonts w:ascii="Arial" w:cs="Arial" w:eastAsia="Arial" w:hAnsi="Arial"/>
                  <w:sz w:val="18"/>
                  <w:szCs w:val="18"/>
                  <w:color w:val="0000FF"/>
                </w:rPr>
                <w:t>Additional Issuer Warrant Transaction</w:t>
              </w:r>
            </w:hyperlink>
          </w:p>
        </w:tc>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8"/>
              </w:rPr>
              <w:t>Exhibit 99.5 to the Registrant's Current Report on Form 8-K filed</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31, 2017</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4.7</w:t>
            </w:r>
          </w:p>
        </w:tc>
        <w:tc>
          <w:tcPr>
            <w:tcW w:w="5520" w:type="dxa"/>
            <w:vAlign w:val="bottom"/>
            <w:gridSpan w:val="38"/>
          </w:tcPr>
          <w:p>
            <w:pPr>
              <w:spacing w:after="0" w:line="189" w:lineRule="exact"/>
              <w:rPr>
                <w:rFonts w:ascii="Arial" w:cs="Arial" w:eastAsia="Arial" w:hAnsi="Arial"/>
                <w:sz w:val="18"/>
                <w:szCs w:val="18"/>
                <w:color w:val="0000FF"/>
              </w:rPr>
            </w:pPr>
            <w:hyperlink r:id="rId143">
              <w:r>
                <w:rPr>
                  <w:rFonts w:ascii="Arial" w:cs="Arial" w:eastAsia="Arial" w:hAnsi="Arial"/>
                  <w:sz w:val="18"/>
                  <w:szCs w:val="18"/>
                  <w:color w:val="0000FF"/>
                </w:rPr>
                <w:t>Description  of  the  Registrant's  Securities  Registered  Pursuant  to</w:t>
              </w:r>
            </w:hyperlink>
          </w:p>
        </w:tc>
        <w:tc>
          <w:tcPr>
            <w:tcW w:w="4520" w:type="dxa"/>
            <w:vAlign w:val="bottom"/>
          </w:tcPr>
          <w:p>
            <w:pPr>
              <w:spacing w:after="0" w:line="189" w:lineRule="exact"/>
              <w:rPr>
                <w:sz w:val="20"/>
                <w:szCs w:val="20"/>
                <w:color w:val="auto"/>
              </w:rPr>
            </w:pPr>
            <w:r>
              <w:rPr>
                <w:rFonts w:ascii="Arial" w:cs="Arial" w:eastAsia="Arial" w:hAnsi="Arial"/>
                <w:sz w:val="18"/>
                <w:szCs w:val="18"/>
                <w:color w:val="auto"/>
                <w:w w:val="88"/>
              </w:rPr>
              <w:t>Exhibit 4.7 to the Registrant's Annual Report on Form 10-K filed</w:t>
            </w:r>
          </w:p>
        </w:tc>
      </w:tr>
      <w:tr>
        <w:trPr>
          <w:trHeight w:val="155"/>
        </w:trPr>
        <w:tc>
          <w:tcPr>
            <w:tcW w:w="1200" w:type="dxa"/>
            <w:vAlign w:val="bottom"/>
          </w:tcPr>
          <w:p>
            <w:pPr>
              <w:spacing w:after="0"/>
              <w:rPr>
                <w:sz w:val="13"/>
                <w:szCs w:val="13"/>
                <w:color w:val="auto"/>
              </w:rPr>
            </w:pPr>
          </w:p>
        </w:tc>
        <w:tc>
          <w:tcPr>
            <w:tcW w:w="5300" w:type="dxa"/>
            <w:vAlign w:val="bottom"/>
            <w:tcBorders>
              <w:top w:val="single" w:sz="8" w:color="0000FF"/>
            </w:tcBorders>
            <w:gridSpan w:val="27"/>
          </w:tcPr>
          <w:p>
            <w:pPr>
              <w:spacing w:after="0" w:line="154" w:lineRule="exact"/>
              <w:rPr>
                <w:rFonts w:ascii="Arial" w:cs="Arial" w:eastAsia="Arial" w:hAnsi="Arial"/>
                <w:sz w:val="17"/>
                <w:szCs w:val="17"/>
                <w:color w:val="0000FF"/>
              </w:rPr>
            </w:pPr>
            <w:hyperlink r:id="rId143">
              <w:r>
                <w:rPr>
                  <w:rFonts w:ascii="Arial" w:cs="Arial" w:eastAsia="Arial" w:hAnsi="Arial"/>
                  <w:sz w:val="17"/>
                  <w:szCs w:val="17"/>
                  <w:color w:val="0000FF"/>
                </w:rPr>
                <w:t>Section 12 of the Securities Exchange Act of 1934</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4520" w:type="dxa"/>
            <w:vAlign w:val="bottom"/>
          </w:tcPr>
          <w:p>
            <w:pPr>
              <w:spacing w:after="0" w:line="154" w:lineRule="exact"/>
              <w:rPr>
                <w:sz w:val="20"/>
                <w:szCs w:val="20"/>
                <w:color w:val="auto"/>
              </w:rPr>
            </w:pPr>
            <w:r>
              <w:rPr>
                <w:rFonts w:ascii="Arial" w:cs="Arial" w:eastAsia="Arial" w:hAnsi="Arial"/>
                <w:sz w:val="17"/>
                <w:szCs w:val="17"/>
                <w:color w:val="auto"/>
              </w:rPr>
              <w:t>February 27, 2020</w:t>
            </w:r>
          </w:p>
        </w:tc>
      </w:tr>
      <w:tr>
        <w:trPr>
          <w:trHeight w:val="34"/>
        </w:trPr>
        <w:tc>
          <w:tcPr>
            <w:tcW w:w="12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88"/>
        </w:trPr>
        <w:tc>
          <w:tcPr>
            <w:tcW w:w="1200" w:type="dxa"/>
            <w:vAlign w:val="bottom"/>
            <w:tcBorders>
              <w:bottom w:val="single" w:sz="8" w:color="CCEEFF"/>
            </w:tcBorders>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4.8</w:t>
            </w:r>
          </w:p>
        </w:tc>
        <w:tc>
          <w:tcPr>
            <w:tcW w:w="5520" w:type="dxa"/>
            <w:vAlign w:val="bottom"/>
            <w:tcBorders>
              <w:bottom w:val="single" w:sz="8" w:color="0000FF"/>
            </w:tcBorders>
            <w:gridSpan w:val="38"/>
            <w:shd w:val="clear" w:color="auto" w:fill="CCEEFF"/>
          </w:tcPr>
          <w:p>
            <w:pPr>
              <w:spacing w:after="0" w:line="189" w:lineRule="exact"/>
              <w:rPr>
                <w:rFonts w:ascii="Arial" w:cs="Arial" w:eastAsia="Arial" w:hAnsi="Arial"/>
                <w:sz w:val="18"/>
                <w:szCs w:val="18"/>
                <w:color w:val="0000FF"/>
              </w:rPr>
            </w:pPr>
            <w:hyperlink r:id="rId144">
              <w:r>
                <w:rPr>
                  <w:rFonts w:ascii="Arial" w:cs="Arial" w:eastAsia="Arial" w:hAnsi="Arial"/>
                  <w:sz w:val="18"/>
                  <w:szCs w:val="18"/>
                  <w:color w:val="0000FF"/>
                </w:rPr>
                <w:t>Indenture, dated as of July 24, 2020, between LendingTree, Inc. and</w:t>
              </w:r>
            </w:hyperlink>
          </w:p>
        </w:tc>
        <w:tc>
          <w:tcPr>
            <w:tcW w:w="452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Exhibit 4.1 to the Registrant’s Current Report on Form 8-K filed</w:t>
            </w: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2880" w:type="dxa"/>
            <w:vAlign w:val="bottom"/>
            <w:tcBorders>
              <w:bottom w:val="single" w:sz="8" w:color="0000FF"/>
            </w:tcBorders>
            <w:gridSpan w:val="7"/>
            <w:shd w:val="clear" w:color="auto" w:fill="CCEEFF"/>
          </w:tcPr>
          <w:p>
            <w:pPr>
              <w:spacing w:after="0" w:line="154" w:lineRule="exact"/>
              <w:rPr>
                <w:rFonts w:ascii="Arial" w:cs="Arial" w:eastAsia="Arial" w:hAnsi="Arial"/>
                <w:sz w:val="17"/>
                <w:szCs w:val="17"/>
                <w:color w:val="0000FF"/>
                <w:w w:val="98"/>
              </w:rPr>
            </w:pPr>
            <w:hyperlink r:id="rId144">
              <w:r>
                <w:rPr>
                  <w:rFonts w:ascii="Arial" w:cs="Arial" w:eastAsia="Arial" w:hAnsi="Arial"/>
                  <w:sz w:val="17"/>
                  <w:szCs w:val="17"/>
                  <w:color w:val="0000FF"/>
                  <w:w w:val="98"/>
                </w:rPr>
                <w:t>Wilmington Trust, National Association</w:t>
              </w:r>
            </w:hyperlink>
          </w:p>
        </w:tc>
        <w:tc>
          <w:tcPr>
            <w:tcW w:w="2640" w:type="dxa"/>
            <w:vAlign w:val="bottom"/>
            <w:tcBorders>
              <w:bottom w:val="single" w:sz="8" w:color="CCEEFF"/>
            </w:tcBorders>
            <w:gridSpan w:val="31"/>
            <w:shd w:val="clear" w:color="auto" w:fill="CCEEFF"/>
          </w:tcPr>
          <w:p>
            <w:pPr>
              <w:spacing w:after="0"/>
              <w:rPr>
                <w:sz w:val="16"/>
                <w:szCs w:val="16"/>
                <w:color w:val="auto"/>
              </w:rPr>
            </w:pPr>
          </w:p>
        </w:tc>
        <w:tc>
          <w:tcPr>
            <w:tcW w:w="4520" w:type="dxa"/>
            <w:vAlign w:val="bottom"/>
            <w:tcBorders>
              <w:bottom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on July 24, 2020</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10.1</w:t>
            </w:r>
          </w:p>
        </w:tc>
        <w:tc>
          <w:tcPr>
            <w:tcW w:w="5520" w:type="dxa"/>
            <w:vAlign w:val="bottom"/>
            <w:gridSpan w:val="38"/>
          </w:tcPr>
          <w:p>
            <w:pPr>
              <w:spacing w:after="0" w:line="189" w:lineRule="exact"/>
              <w:rPr>
                <w:rFonts w:ascii="Arial" w:cs="Arial" w:eastAsia="Arial" w:hAnsi="Arial"/>
                <w:sz w:val="18"/>
                <w:szCs w:val="18"/>
                <w:color w:val="0000FF"/>
              </w:rPr>
            </w:pPr>
            <w:hyperlink r:id="rId145">
              <w:r>
                <w:rPr>
                  <w:rFonts w:ascii="Arial" w:cs="Arial" w:eastAsia="Arial" w:hAnsi="Arial"/>
                  <w:sz w:val="18"/>
                  <w:szCs w:val="18"/>
                  <w:color w:val="0000FF"/>
                </w:rPr>
                <w:t>Employment Agreement between Douglas Lebda, the Company and</w:t>
              </w:r>
            </w:hyperlink>
          </w:p>
        </w:tc>
        <w:tc>
          <w:tcPr>
            <w:tcW w:w="4520" w:type="dxa"/>
            <w:vAlign w:val="bottom"/>
          </w:tcPr>
          <w:p>
            <w:pPr>
              <w:spacing w:after="0" w:line="189" w:lineRule="exact"/>
              <w:rPr>
                <w:sz w:val="20"/>
                <w:szCs w:val="20"/>
                <w:color w:val="auto"/>
              </w:rPr>
            </w:pPr>
            <w:r>
              <w:rPr>
                <w:rFonts w:ascii="Arial" w:cs="Arial" w:eastAsia="Arial" w:hAnsi="Arial"/>
                <w:sz w:val="18"/>
                <w:szCs w:val="18"/>
                <w:color w:val="auto"/>
                <w:w w:val="92"/>
              </w:rPr>
              <w:t>Exhibit 10.2 to Registrant's Annual Report on Form 10-K filed</w:t>
            </w:r>
          </w:p>
        </w:tc>
      </w:tr>
      <w:tr>
        <w:trPr>
          <w:trHeight w:val="155"/>
        </w:trPr>
        <w:tc>
          <w:tcPr>
            <w:tcW w:w="1200" w:type="dxa"/>
            <w:vAlign w:val="bottom"/>
          </w:tcPr>
          <w:p>
            <w:pPr>
              <w:spacing w:after="0"/>
              <w:rPr>
                <w:sz w:val="13"/>
                <w:szCs w:val="13"/>
                <w:color w:val="auto"/>
              </w:rPr>
            </w:pPr>
          </w:p>
        </w:tc>
        <w:tc>
          <w:tcPr>
            <w:tcW w:w="5440" w:type="dxa"/>
            <w:vAlign w:val="bottom"/>
            <w:tcBorders>
              <w:top w:val="single" w:sz="8" w:color="0000FF"/>
            </w:tcBorders>
            <w:gridSpan w:val="34"/>
          </w:tcPr>
          <w:p>
            <w:pPr>
              <w:spacing w:after="0" w:line="154" w:lineRule="exact"/>
              <w:rPr>
                <w:rFonts w:ascii="Arial" w:cs="Arial" w:eastAsia="Arial" w:hAnsi="Arial"/>
                <w:sz w:val="17"/>
                <w:szCs w:val="17"/>
                <w:color w:val="0000FF"/>
              </w:rPr>
            </w:pPr>
            <w:hyperlink r:id="rId145">
              <w:r>
                <w:rPr>
                  <w:rFonts w:ascii="Arial" w:cs="Arial" w:eastAsia="Arial" w:hAnsi="Arial"/>
                  <w:sz w:val="17"/>
                  <w:szCs w:val="17"/>
                  <w:color w:val="0000FF"/>
                </w:rPr>
                <w:t>LendingTree, LLC, dated November 30, 2020*</w:t>
              </w:r>
            </w:hyperlink>
          </w:p>
        </w:tc>
        <w:tc>
          <w:tcPr>
            <w:tcW w:w="80" w:type="dxa"/>
            <w:vAlign w:val="bottom"/>
            <w:gridSpan w:val="4"/>
          </w:tcPr>
          <w:p>
            <w:pPr>
              <w:spacing w:after="0"/>
              <w:rPr>
                <w:sz w:val="13"/>
                <w:szCs w:val="13"/>
                <w:color w:val="auto"/>
              </w:rPr>
            </w:pPr>
          </w:p>
        </w:tc>
        <w:tc>
          <w:tcPr>
            <w:tcW w:w="4520" w:type="dxa"/>
            <w:vAlign w:val="bottom"/>
          </w:tcPr>
          <w:p>
            <w:pPr>
              <w:spacing w:after="0" w:line="154" w:lineRule="exact"/>
              <w:rPr>
                <w:sz w:val="20"/>
                <w:szCs w:val="20"/>
                <w:color w:val="auto"/>
              </w:rPr>
            </w:pPr>
            <w:r>
              <w:rPr>
                <w:rFonts w:ascii="Arial" w:cs="Arial" w:eastAsia="Arial" w:hAnsi="Arial"/>
                <w:sz w:val="17"/>
                <w:szCs w:val="17"/>
                <w:color w:val="auto"/>
              </w:rPr>
              <w:t>March 1, 2021</w:t>
            </w:r>
          </w:p>
        </w:tc>
      </w:tr>
      <w:tr>
        <w:trPr>
          <w:trHeight w:val="34"/>
        </w:trPr>
        <w:tc>
          <w:tcPr>
            <w:tcW w:w="12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10.2</w:t>
            </w:r>
          </w:p>
        </w:tc>
        <w:tc>
          <w:tcPr>
            <w:tcW w:w="5520" w:type="dxa"/>
            <w:vAlign w:val="bottom"/>
            <w:gridSpan w:val="38"/>
            <w:shd w:val="clear" w:color="auto" w:fill="CCEEFF"/>
          </w:tcPr>
          <w:p>
            <w:pPr>
              <w:spacing w:after="0" w:line="189" w:lineRule="exact"/>
              <w:rPr>
                <w:rFonts w:ascii="Arial" w:cs="Arial" w:eastAsia="Arial" w:hAnsi="Arial"/>
                <w:sz w:val="18"/>
                <w:szCs w:val="18"/>
                <w:color w:val="0000FF"/>
              </w:rPr>
            </w:pPr>
            <w:hyperlink r:id="rId146">
              <w:r>
                <w:rPr>
                  <w:rFonts w:ascii="Arial" w:cs="Arial" w:eastAsia="Arial" w:hAnsi="Arial"/>
                  <w:sz w:val="18"/>
                  <w:szCs w:val="18"/>
                  <w:color w:val="0000FF"/>
                </w:rPr>
                <w:t>LendingTree, Inc. 2017 Inducement Grant Plan*</w:t>
              </w:r>
            </w:hyperlink>
          </w:p>
        </w:tc>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Exhibit 4.4(A) to the Registrant's Registration Statement on</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S-8 (No. 333-218747), filed June 14, 2017</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10.3</w:t>
            </w:r>
          </w:p>
        </w:tc>
        <w:tc>
          <w:tcPr>
            <w:tcW w:w="5520" w:type="dxa"/>
            <w:vAlign w:val="bottom"/>
            <w:gridSpan w:val="38"/>
          </w:tcPr>
          <w:p>
            <w:pPr>
              <w:spacing w:after="0" w:line="189" w:lineRule="exact"/>
              <w:rPr>
                <w:rFonts w:ascii="Arial" w:cs="Arial" w:eastAsia="Arial" w:hAnsi="Arial"/>
                <w:sz w:val="18"/>
                <w:szCs w:val="18"/>
                <w:color w:val="0000FF"/>
              </w:rPr>
            </w:pPr>
            <w:hyperlink r:id="rId147">
              <w:r>
                <w:rPr>
                  <w:rFonts w:ascii="Arial" w:cs="Arial" w:eastAsia="Arial" w:hAnsi="Arial"/>
                  <w:sz w:val="18"/>
                  <w:szCs w:val="18"/>
                  <w:color w:val="0000FF"/>
                </w:rPr>
                <w:t>Notice  of  Restricted  Stock  Unit  Award  Granted  Under  the</w:t>
              </w:r>
            </w:hyperlink>
          </w:p>
        </w:tc>
        <w:tc>
          <w:tcPr>
            <w:tcW w:w="4520" w:type="dxa"/>
            <w:vAlign w:val="bottom"/>
          </w:tcPr>
          <w:p>
            <w:pPr>
              <w:spacing w:after="0" w:line="189" w:lineRule="exact"/>
              <w:rPr>
                <w:sz w:val="20"/>
                <w:szCs w:val="20"/>
                <w:color w:val="auto"/>
              </w:rPr>
            </w:pPr>
            <w:r>
              <w:rPr>
                <w:rFonts w:ascii="Arial" w:cs="Arial" w:eastAsia="Arial" w:hAnsi="Arial"/>
                <w:sz w:val="18"/>
                <w:szCs w:val="18"/>
                <w:color w:val="auto"/>
                <w:w w:val="95"/>
              </w:rPr>
              <w:t>Exhibit 4.4(B) to the Registrant's Registration Statement on</w:t>
            </w:r>
          </w:p>
        </w:tc>
      </w:tr>
      <w:tr>
        <w:trPr>
          <w:trHeight w:val="155"/>
        </w:trPr>
        <w:tc>
          <w:tcPr>
            <w:tcW w:w="120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8"/>
          </w:tcPr>
          <w:p>
            <w:pPr>
              <w:spacing w:after="0" w:line="154" w:lineRule="exact"/>
              <w:rPr>
                <w:rFonts w:ascii="Arial" w:cs="Arial" w:eastAsia="Arial" w:hAnsi="Arial"/>
                <w:sz w:val="17"/>
                <w:szCs w:val="17"/>
                <w:color w:val="0000FF"/>
                <w:w w:val="96"/>
              </w:rPr>
            </w:pPr>
            <w:hyperlink r:id="rId147">
              <w:r>
                <w:rPr>
                  <w:rFonts w:ascii="Arial" w:cs="Arial" w:eastAsia="Arial" w:hAnsi="Arial"/>
                  <w:sz w:val="17"/>
                  <w:szCs w:val="17"/>
                  <w:color w:val="0000FF"/>
                  <w:w w:val="96"/>
                </w:rPr>
                <w:t>LendingTree, Inc. 2017 Inducement Plan*</w:t>
              </w:r>
            </w:hyperlink>
          </w:p>
        </w:tc>
        <w:tc>
          <w:tcPr>
            <w:tcW w:w="2300" w:type="dxa"/>
            <w:vAlign w:val="bottom"/>
            <w:tcBorders>
              <w:top w:val="single" w:sz="8" w:color="0000FF"/>
            </w:tcBorders>
            <w:gridSpan w:val="21"/>
          </w:tcPr>
          <w:p>
            <w:pPr>
              <w:spacing w:after="0"/>
              <w:rPr>
                <w:sz w:val="13"/>
                <w:szCs w:val="13"/>
                <w:color w:val="auto"/>
              </w:rPr>
            </w:pPr>
          </w:p>
        </w:tc>
        <w:tc>
          <w:tcPr>
            <w:tcW w:w="180" w:type="dxa"/>
            <w:vAlign w:val="bottom"/>
            <w:gridSpan w:val="9"/>
          </w:tcPr>
          <w:p>
            <w:pPr>
              <w:spacing w:after="0"/>
              <w:rPr>
                <w:sz w:val="13"/>
                <w:szCs w:val="13"/>
                <w:color w:val="auto"/>
              </w:rPr>
            </w:pPr>
          </w:p>
        </w:tc>
        <w:tc>
          <w:tcPr>
            <w:tcW w:w="4520" w:type="dxa"/>
            <w:vAlign w:val="bottom"/>
          </w:tcPr>
          <w:p>
            <w:pPr>
              <w:spacing w:after="0" w:line="154" w:lineRule="exact"/>
              <w:rPr>
                <w:sz w:val="20"/>
                <w:szCs w:val="20"/>
                <w:color w:val="auto"/>
              </w:rPr>
            </w:pPr>
            <w:r>
              <w:rPr>
                <w:rFonts w:ascii="Arial" w:cs="Arial" w:eastAsia="Arial" w:hAnsi="Arial"/>
                <w:sz w:val="17"/>
                <w:szCs w:val="17"/>
                <w:color w:val="auto"/>
              </w:rPr>
              <w:t>Form S-8 (No. 333-218747), filed June 14, 2017</w:t>
            </w:r>
          </w:p>
        </w:tc>
      </w:tr>
      <w:tr>
        <w:trPr>
          <w:trHeight w:val="894"/>
        </w:trPr>
        <w:tc>
          <w:tcPr>
            <w:tcW w:w="1200" w:type="dxa"/>
            <w:vAlign w:val="bottom"/>
          </w:tcPr>
          <w:p>
            <w:pPr>
              <w:spacing w:after="0"/>
              <w:rPr>
                <w:sz w:val="24"/>
                <w:szCs w:val="24"/>
                <w:color w:val="auto"/>
              </w:rPr>
            </w:pPr>
          </w:p>
        </w:tc>
        <w:tc>
          <w:tcPr>
            <w:tcW w:w="4680" w:type="dxa"/>
            <w:vAlign w:val="bottom"/>
            <w:gridSpan w:val="15"/>
          </w:tcPr>
          <w:p>
            <w:pPr>
              <w:ind w:left="42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27"/>
          </w:tcPr>
          <w:p>
            <w:pPr>
              <w:ind w:left="440"/>
              <w:spacing w:after="0"/>
              <w:rPr>
                <w:sz w:val="20"/>
                <w:szCs w:val="20"/>
                <w:color w:val="auto"/>
              </w:rPr>
            </w:pPr>
            <w:r>
              <w:rPr>
                <w:rFonts w:ascii="Arial" w:cs="Arial" w:eastAsia="Arial" w:hAnsi="Arial"/>
                <w:sz w:val="18"/>
                <w:szCs w:val="18"/>
                <w:b w:val="1"/>
                <w:bCs w:val="1"/>
                <w:color w:val="auto"/>
              </w:rPr>
              <w:t>Description</w:t>
            </w:r>
          </w:p>
        </w:tc>
        <w:tc>
          <w:tcPr>
            <w:tcW w:w="470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Location</w:t>
            </w: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10.4</w:t>
            </w:r>
          </w:p>
        </w:tc>
        <w:tc>
          <w:tcPr>
            <w:tcW w:w="5340" w:type="dxa"/>
            <w:vAlign w:val="bottom"/>
            <w:gridSpan w:val="32"/>
            <w:shd w:val="clear" w:color="auto" w:fill="CCEEFF"/>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Restricted Stock Award Agreement*</w:t>
              </w:r>
            </w:hyperlink>
          </w:p>
        </w:tc>
        <w:tc>
          <w:tcPr>
            <w:tcW w:w="4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Exhibit 4.4(C) to the Registrant's Registration Statement on</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S-8 (No. 333-218747), filed June 14, 2017</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10.5</w:t>
            </w:r>
          </w:p>
        </w:tc>
        <w:tc>
          <w:tcPr>
            <w:tcW w:w="5340" w:type="dxa"/>
            <w:vAlign w:val="bottom"/>
            <w:gridSpan w:val="32"/>
          </w:tcPr>
          <w:p>
            <w:pPr>
              <w:spacing w:after="0" w:line="189" w:lineRule="exact"/>
              <w:rPr>
                <w:rFonts w:ascii="Arial" w:cs="Arial" w:eastAsia="Arial" w:hAnsi="Arial"/>
                <w:sz w:val="18"/>
                <w:szCs w:val="18"/>
                <w:color w:val="0000FF"/>
              </w:rPr>
            </w:pPr>
            <w:hyperlink r:id="rId151">
              <w:r>
                <w:rPr>
                  <w:rFonts w:ascii="Arial" w:cs="Arial" w:eastAsia="Arial" w:hAnsi="Arial"/>
                  <w:sz w:val="18"/>
                  <w:szCs w:val="18"/>
                  <w:color w:val="0000FF"/>
                </w:rPr>
                <w:t>2011 Deferred Compensation Plan for Non-Employee Directors*</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3"/>
              </w:rPr>
              <w:t>Exhibit 10.2 to the Registrant's Quarterly Report on Form 10-Q</w:t>
            </w: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filed April 30, 2015</w:t>
            </w: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10.6</w:t>
            </w:r>
          </w:p>
        </w:tc>
        <w:tc>
          <w:tcPr>
            <w:tcW w:w="5340" w:type="dxa"/>
            <w:vAlign w:val="bottom"/>
            <w:gridSpan w:val="32"/>
            <w:shd w:val="clear" w:color="auto" w:fill="CCEEFF"/>
          </w:tcPr>
          <w:p>
            <w:pPr>
              <w:spacing w:after="0" w:line="189" w:lineRule="exact"/>
              <w:rPr>
                <w:rFonts w:ascii="Arial" w:cs="Arial" w:eastAsia="Arial" w:hAnsi="Arial"/>
                <w:sz w:val="18"/>
                <w:szCs w:val="18"/>
                <w:color w:val="0000FF"/>
              </w:rPr>
            </w:pPr>
            <w:hyperlink r:id="rId152">
              <w:r>
                <w:rPr>
                  <w:rFonts w:ascii="Arial" w:cs="Arial" w:eastAsia="Arial" w:hAnsi="Arial"/>
                  <w:sz w:val="18"/>
                  <w:szCs w:val="18"/>
                  <w:color w:val="0000FF"/>
                </w:rPr>
                <w:t>Deferred Compensation Plan for Non-Employee Directors*</w:t>
              </w:r>
            </w:hyperlink>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Exhibit  10.15  to  the  Registrant's  Registration  Statement  on</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S-1 (No. 333-152700), filed August 1, 2008</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10.7</w:t>
            </w:r>
          </w:p>
        </w:tc>
        <w:tc>
          <w:tcPr>
            <w:tcW w:w="5340" w:type="dxa"/>
            <w:vAlign w:val="bottom"/>
            <w:gridSpan w:val="32"/>
          </w:tcPr>
          <w:p>
            <w:pPr>
              <w:spacing w:after="0" w:line="189" w:lineRule="exact"/>
              <w:rPr>
                <w:rFonts w:ascii="Arial" w:cs="Arial" w:eastAsia="Arial" w:hAnsi="Arial"/>
                <w:sz w:val="18"/>
                <w:szCs w:val="18"/>
                <w:color w:val="0000FF"/>
                <w:w w:val="97"/>
              </w:rPr>
            </w:pPr>
            <w:hyperlink r:id="rId153">
              <w:r>
                <w:rPr>
                  <w:rFonts w:ascii="Arial" w:cs="Arial" w:eastAsia="Arial" w:hAnsi="Arial"/>
                  <w:sz w:val="18"/>
                  <w:szCs w:val="18"/>
                  <w:color w:val="0000FF"/>
                  <w:w w:val="97"/>
                </w:rPr>
                <w:t>Standard Terms and Conditions to Restricted Stock Award Letters of</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1"/>
              </w:rPr>
              <w:t>Exhibit 10.2 to the Registrant's Current Report on Form 8-K filed</w:t>
            </w:r>
          </w:p>
        </w:tc>
      </w:tr>
      <w:tr>
        <w:trPr>
          <w:trHeight w:val="155"/>
        </w:trPr>
        <w:tc>
          <w:tcPr>
            <w:tcW w:w="1200" w:type="dxa"/>
            <w:vAlign w:val="bottom"/>
          </w:tcPr>
          <w:p>
            <w:pPr>
              <w:spacing w:after="0"/>
              <w:rPr>
                <w:sz w:val="13"/>
                <w:szCs w:val="13"/>
                <w:color w:val="auto"/>
              </w:rPr>
            </w:pPr>
          </w:p>
        </w:tc>
        <w:tc>
          <w:tcPr>
            <w:tcW w:w="5300" w:type="dxa"/>
            <w:vAlign w:val="bottom"/>
            <w:tcBorders>
              <w:top w:val="single" w:sz="8" w:color="0000FF"/>
            </w:tcBorders>
            <w:gridSpan w:val="30"/>
          </w:tcPr>
          <w:p>
            <w:pPr>
              <w:spacing w:after="0" w:line="154" w:lineRule="exact"/>
              <w:rPr>
                <w:rFonts w:ascii="Arial" w:cs="Arial" w:eastAsia="Arial" w:hAnsi="Arial"/>
                <w:sz w:val="17"/>
                <w:szCs w:val="17"/>
                <w:color w:val="0000FF"/>
              </w:rPr>
            </w:pPr>
            <w:hyperlink r:id="rId153">
              <w:r>
                <w:rPr>
                  <w:rFonts w:ascii="Arial" w:cs="Arial" w:eastAsia="Arial" w:hAnsi="Arial"/>
                  <w:sz w:val="17"/>
                  <w:szCs w:val="17"/>
                  <w:color w:val="0000FF"/>
                </w:rPr>
                <w:t>Tree.com BU Holding Company,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Pr>
          <w:p>
            <w:pPr>
              <w:spacing w:after="0" w:line="154" w:lineRule="exact"/>
              <w:rPr>
                <w:sz w:val="20"/>
                <w:szCs w:val="20"/>
                <w:color w:val="auto"/>
              </w:rPr>
            </w:pPr>
            <w:r>
              <w:rPr>
                <w:rFonts w:ascii="Arial" w:cs="Arial" w:eastAsia="Arial" w:hAnsi="Arial"/>
                <w:sz w:val="17"/>
                <w:szCs w:val="17"/>
                <w:color w:val="auto"/>
              </w:rPr>
              <w:t>February 3, 2011</w:t>
            </w:r>
          </w:p>
        </w:tc>
      </w:tr>
      <w:tr>
        <w:trPr>
          <w:trHeight w:val="34"/>
        </w:trPr>
        <w:tc>
          <w:tcPr>
            <w:tcW w:w="12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10.8</w:t>
            </w:r>
          </w:p>
        </w:tc>
        <w:tc>
          <w:tcPr>
            <w:tcW w:w="5340" w:type="dxa"/>
            <w:vAlign w:val="bottom"/>
            <w:gridSpan w:val="32"/>
            <w:shd w:val="clear" w:color="auto" w:fill="CCEEFF"/>
          </w:tcPr>
          <w:p>
            <w:pPr>
              <w:spacing w:after="0" w:line="189" w:lineRule="exact"/>
              <w:rPr>
                <w:rFonts w:ascii="Arial" w:cs="Arial" w:eastAsia="Arial" w:hAnsi="Arial"/>
                <w:sz w:val="18"/>
                <w:szCs w:val="18"/>
                <w:color w:val="0000FF"/>
              </w:rPr>
            </w:pPr>
            <w:hyperlink r:id="rId154">
              <w:r>
                <w:rPr>
                  <w:rFonts w:ascii="Arial" w:cs="Arial" w:eastAsia="Arial" w:hAnsi="Arial"/>
                  <w:sz w:val="18"/>
                  <w:szCs w:val="18"/>
                  <w:color w:val="0000FF"/>
                </w:rPr>
                <w:t>Base Convertible Bond Hedge Transaction</w:t>
              </w:r>
            </w:hyperlink>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Exhibit 99.2 to the Registrant's Current Report on Form 8-K filed</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31, 2017</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10.9</w:t>
            </w:r>
          </w:p>
        </w:tc>
        <w:tc>
          <w:tcPr>
            <w:tcW w:w="5340" w:type="dxa"/>
            <w:vAlign w:val="bottom"/>
            <w:gridSpan w:val="32"/>
          </w:tcPr>
          <w:p>
            <w:pPr>
              <w:spacing w:after="0" w:line="189" w:lineRule="exact"/>
              <w:rPr>
                <w:rFonts w:ascii="Arial" w:cs="Arial" w:eastAsia="Arial" w:hAnsi="Arial"/>
                <w:sz w:val="18"/>
                <w:szCs w:val="18"/>
                <w:color w:val="0000FF"/>
              </w:rPr>
            </w:pPr>
            <w:hyperlink r:id="rId155">
              <w:r>
                <w:rPr>
                  <w:rFonts w:ascii="Arial" w:cs="Arial" w:eastAsia="Arial" w:hAnsi="Arial"/>
                  <w:sz w:val="18"/>
                  <w:szCs w:val="18"/>
                  <w:color w:val="0000FF"/>
                </w:rPr>
                <w:t>Additional Convertible Bond Hedge Transaction</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1"/>
              </w:rPr>
              <w:t>Exhibit 99.3 to the Registrant's Current Report on Form 8-K filed</w:t>
            </w: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May 31, 2017</w:t>
            </w: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10.10</w:t>
            </w:r>
          </w:p>
        </w:tc>
        <w:tc>
          <w:tcPr>
            <w:tcW w:w="5340" w:type="dxa"/>
            <w:vAlign w:val="bottom"/>
            <w:gridSpan w:val="32"/>
            <w:shd w:val="clear" w:color="auto" w:fill="CCEEFF"/>
          </w:tcPr>
          <w:p>
            <w:pPr>
              <w:spacing w:after="0" w:line="189" w:lineRule="exact"/>
              <w:rPr>
                <w:rFonts w:ascii="Arial" w:cs="Arial" w:eastAsia="Arial" w:hAnsi="Arial"/>
                <w:sz w:val="18"/>
                <w:szCs w:val="18"/>
                <w:color w:val="0000FF"/>
              </w:rPr>
            </w:pPr>
            <w:hyperlink r:id="rId156">
              <w:r>
                <w:rPr>
                  <w:rFonts w:ascii="Arial" w:cs="Arial" w:eastAsia="Arial" w:hAnsi="Arial"/>
                  <w:sz w:val="18"/>
                  <w:szCs w:val="18"/>
                  <w:color w:val="0000FF"/>
                </w:rPr>
                <w:t>Credit Agreement, dated as of September 15, 2021</w:t>
              </w:r>
            </w:hyperlink>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Exhibit 99.1 to the Registrant's Current Report on Form 8-K filed</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16, 2021</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10.11</w:t>
            </w:r>
          </w:p>
        </w:tc>
        <w:tc>
          <w:tcPr>
            <w:tcW w:w="5340" w:type="dxa"/>
            <w:vAlign w:val="bottom"/>
            <w:tcBorders>
              <w:bottom w:val="single" w:sz="8" w:color="0000FF"/>
            </w:tcBorders>
            <w:gridSpan w:val="32"/>
          </w:tcPr>
          <w:p>
            <w:pPr>
              <w:spacing w:after="0" w:line="189"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Agreement of Purchase and Sale, by and among LendingTree, LLC and</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5"/>
              </w:rPr>
              <w:t>Exhibit 10.31 to the Registrant's Annual Report on Form 10-K</w:t>
            </w:r>
          </w:p>
        </w:tc>
      </w:tr>
      <w:tr>
        <w:trPr>
          <w:trHeight w:val="155"/>
        </w:trPr>
        <w:tc>
          <w:tcPr>
            <w:tcW w:w="1200" w:type="dxa"/>
            <w:vAlign w:val="bottom"/>
          </w:tcPr>
          <w:p>
            <w:pPr>
              <w:spacing w:after="0"/>
              <w:rPr>
                <w:sz w:val="13"/>
                <w:szCs w:val="13"/>
                <w:color w:val="auto"/>
              </w:rPr>
            </w:pPr>
          </w:p>
        </w:tc>
        <w:tc>
          <w:tcPr>
            <w:tcW w:w="5340" w:type="dxa"/>
            <w:vAlign w:val="bottom"/>
            <w:gridSpan w:val="32"/>
          </w:tcPr>
          <w:p>
            <w:pPr>
              <w:spacing w:after="0" w:line="154" w:lineRule="exact"/>
              <w:rPr>
                <w:rFonts w:ascii="Arial" w:cs="Arial" w:eastAsia="Arial" w:hAnsi="Arial"/>
                <w:sz w:val="17"/>
                <w:szCs w:val="17"/>
                <w:color w:val="0000FF"/>
                <w:w w:val="98"/>
              </w:rPr>
            </w:pPr>
            <w:hyperlink r:id="rId157">
              <w:r>
                <w:rPr>
                  <w:rFonts w:ascii="Arial" w:cs="Arial" w:eastAsia="Arial" w:hAnsi="Arial"/>
                  <w:sz w:val="17"/>
                  <w:szCs w:val="17"/>
                  <w:color w:val="0000FF"/>
                  <w:w w:val="98"/>
                </w:rPr>
                <w:t>an affiliate of Greenstreet Real Estate Partners, L.P., dated October 17,</w:t>
              </w:r>
            </w:hyperlink>
          </w:p>
        </w:tc>
        <w:tc>
          <w:tcPr>
            <w:tcW w:w="4700" w:type="dxa"/>
            <w:vAlign w:val="bottom"/>
          </w:tcPr>
          <w:p>
            <w:pPr>
              <w:spacing w:after="0" w:line="154" w:lineRule="exact"/>
              <w:rPr>
                <w:sz w:val="20"/>
                <w:szCs w:val="20"/>
                <w:color w:val="auto"/>
              </w:rPr>
            </w:pPr>
            <w:r>
              <w:rPr>
                <w:rFonts w:ascii="Arial" w:cs="Arial" w:eastAsia="Arial" w:hAnsi="Arial"/>
                <w:sz w:val="17"/>
                <w:szCs w:val="17"/>
                <w:color w:val="auto"/>
              </w:rPr>
              <w:t>filed February 28, 2017</w:t>
            </w:r>
          </w:p>
        </w:tc>
      </w:tr>
      <w:tr>
        <w:trPr>
          <w:trHeight w:val="168"/>
        </w:trPr>
        <w:tc>
          <w:tcPr>
            <w:tcW w:w="1200" w:type="dxa"/>
            <w:vAlign w:val="bottom"/>
          </w:tcPr>
          <w:p>
            <w:pPr>
              <w:spacing w:after="0"/>
              <w:rPr>
                <w:sz w:val="14"/>
                <w:szCs w:val="14"/>
                <w:color w:val="auto"/>
              </w:rPr>
            </w:pPr>
          </w:p>
        </w:tc>
        <w:tc>
          <w:tcPr>
            <w:tcW w:w="720" w:type="dxa"/>
            <w:vAlign w:val="bottom"/>
            <w:tcBorders>
              <w:top w:val="single" w:sz="8" w:color="0000FF"/>
            </w:tcBorders>
            <w:gridSpan w:val="2"/>
          </w:tcPr>
          <w:p>
            <w:pPr>
              <w:spacing w:after="0" w:line="168" w:lineRule="exact"/>
              <w:rPr>
                <w:rFonts w:ascii="Arial" w:cs="Arial" w:eastAsia="Arial" w:hAnsi="Arial"/>
                <w:sz w:val="18"/>
                <w:szCs w:val="18"/>
                <w:color w:val="0000FF"/>
              </w:rPr>
            </w:pPr>
            <w:hyperlink r:id="rId157">
              <w:r>
                <w:rPr>
                  <w:rFonts w:ascii="Arial" w:cs="Arial" w:eastAsia="Arial" w:hAnsi="Arial"/>
                  <w:sz w:val="18"/>
                  <w:szCs w:val="18"/>
                  <w:color w:val="0000FF"/>
                </w:rPr>
                <w:t>2016</w:t>
              </w:r>
            </w:hyperlink>
          </w:p>
        </w:tc>
        <w:tc>
          <w:tcPr>
            <w:tcW w:w="4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10.12</w:t>
            </w:r>
          </w:p>
        </w:tc>
        <w:tc>
          <w:tcPr>
            <w:tcW w:w="5340" w:type="dxa"/>
            <w:vAlign w:val="bottom"/>
            <w:gridSpan w:val="32"/>
            <w:shd w:val="clear" w:color="auto" w:fill="CCEEFF"/>
          </w:tcPr>
          <w:p>
            <w:pPr>
              <w:spacing w:after="0" w:line="189"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First Amendment to Purchase and Sale, by and among LendingTree,</w:t>
              </w:r>
            </w:hyperlink>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Exhibit 10.32 to the Registrant's Annual Report on Form 10-K</w:t>
            </w: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220" w:type="dxa"/>
            <w:vAlign w:val="bottom"/>
            <w:tcBorders>
              <w:top w:val="single" w:sz="8" w:color="0000FF"/>
              <w:bottom w:val="single" w:sz="8" w:color="0000FF"/>
            </w:tcBorders>
            <w:gridSpan w:val="26"/>
            <w:shd w:val="clear" w:color="auto" w:fill="CCEEFF"/>
          </w:tcPr>
          <w:p>
            <w:pPr>
              <w:spacing w:after="0" w:line="154" w:lineRule="exact"/>
              <w:rPr>
                <w:rFonts w:ascii="Arial" w:cs="Arial" w:eastAsia="Arial" w:hAnsi="Arial"/>
                <w:sz w:val="17"/>
                <w:szCs w:val="17"/>
                <w:color w:val="0000FF"/>
              </w:rPr>
            </w:pPr>
            <w:hyperlink r:id="rId158">
              <w:r>
                <w:rPr>
                  <w:rFonts w:ascii="Arial" w:cs="Arial" w:eastAsia="Arial" w:hAnsi="Arial"/>
                  <w:sz w:val="17"/>
                  <w:szCs w:val="17"/>
                  <w:color w:val="0000FF"/>
                </w:rPr>
                <w:t>LLC and an affiliate of Greenstreet Real Estate Partners, L.P., dated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70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filed February 28, 2017</w:t>
            </w: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0000FF"/>
            </w:tcBorders>
            <w:gridSpan w:val="4"/>
            <w:shd w:val="clear" w:color="auto" w:fill="CCEEFF"/>
          </w:tcPr>
          <w:p>
            <w:pPr>
              <w:spacing w:after="0" w:line="168" w:lineRule="exact"/>
              <w:rPr>
                <w:rFonts w:ascii="Arial" w:cs="Arial" w:eastAsia="Arial" w:hAnsi="Arial"/>
                <w:sz w:val="18"/>
                <w:szCs w:val="18"/>
                <w:color w:val="0000FF"/>
                <w:w w:val="89"/>
              </w:rPr>
            </w:pPr>
            <w:hyperlink r:id="rId158">
              <w:r>
                <w:rPr>
                  <w:rFonts w:ascii="Arial" w:cs="Arial" w:eastAsia="Arial" w:hAnsi="Arial"/>
                  <w:sz w:val="18"/>
                  <w:szCs w:val="18"/>
                  <w:color w:val="0000FF"/>
                  <w:w w:val="89"/>
                </w:rPr>
                <w:t>November 28, 2016</w:t>
              </w:r>
            </w:hyperlink>
          </w:p>
        </w:tc>
        <w:tc>
          <w:tcPr>
            <w:tcW w:w="3800" w:type="dxa"/>
            <w:vAlign w:val="bottom"/>
            <w:tcBorders>
              <w:bottom w:val="single" w:sz="8" w:color="CCEEFF"/>
            </w:tcBorders>
            <w:gridSpan w:val="2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700" w:type="dxa"/>
            <w:vAlign w:val="bottom"/>
            <w:tcBorders>
              <w:bottom w:val="single" w:sz="8" w:color="CCEEFF"/>
            </w:tcBorders>
            <w:shd w:val="clear" w:color="auto" w:fill="CCEEFF"/>
          </w:tcPr>
          <w:p>
            <w:pPr>
              <w:spacing w:after="0"/>
              <w:rPr>
                <w:sz w:val="16"/>
                <w:szCs w:val="16"/>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10.13</w:t>
            </w:r>
          </w:p>
        </w:tc>
        <w:tc>
          <w:tcPr>
            <w:tcW w:w="5340" w:type="dxa"/>
            <w:vAlign w:val="bottom"/>
            <w:gridSpan w:val="32"/>
          </w:tcPr>
          <w:p>
            <w:pPr>
              <w:spacing w:after="0" w:line="189" w:lineRule="exact"/>
              <w:rPr>
                <w:rFonts w:ascii="Arial" w:cs="Arial" w:eastAsia="Arial" w:hAnsi="Arial"/>
                <w:sz w:val="18"/>
                <w:szCs w:val="18"/>
                <w:color w:val="0000FF"/>
                <w:w w:val="93"/>
              </w:rPr>
            </w:pPr>
            <w:hyperlink r:id="rId159">
              <w:r>
                <w:rPr>
                  <w:rFonts w:ascii="Arial" w:cs="Arial" w:eastAsia="Arial" w:hAnsi="Arial"/>
                  <w:sz w:val="18"/>
                  <w:szCs w:val="18"/>
                  <w:color w:val="0000FF"/>
                  <w:w w:val="93"/>
                </w:rPr>
                <w:t>Employment Agreement dated December 21, 2017, among John David</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3"/>
              </w:rPr>
              <w:t>Exhibit 10.1 to the Registrant’s Quarterly Report on Form 10-Q</w:t>
            </w:r>
          </w:p>
        </w:tc>
      </w:tr>
      <w:tr>
        <w:trPr>
          <w:trHeight w:val="155"/>
        </w:trPr>
        <w:tc>
          <w:tcPr>
            <w:tcW w:w="1200" w:type="dxa"/>
            <w:vAlign w:val="bottom"/>
          </w:tcPr>
          <w:p>
            <w:pPr>
              <w:spacing w:after="0"/>
              <w:rPr>
                <w:sz w:val="13"/>
                <w:szCs w:val="13"/>
                <w:color w:val="auto"/>
              </w:rPr>
            </w:pPr>
          </w:p>
        </w:tc>
        <w:tc>
          <w:tcPr>
            <w:tcW w:w="5260" w:type="dxa"/>
            <w:vAlign w:val="bottom"/>
            <w:tcBorders>
              <w:top w:val="single" w:sz="8" w:color="0000FF"/>
            </w:tcBorders>
            <w:gridSpan w:val="28"/>
          </w:tcPr>
          <w:p>
            <w:pPr>
              <w:spacing w:after="0" w:line="154" w:lineRule="exact"/>
              <w:rPr>
                <w:rFonts w:ascii="Arial" w:cs="Arial" w:eastAsia="Arial" w:hAnsi="Arial"/>
                <w:sz w:val="17"/>
                <w:szCs w:val="17"/>
                <w:color w:val="0000FF"/>
              </w:rPr>
            </w:pPr>
            <w:hyperlink r:id="rId159">
              <w:r>
                <w:rPr>
                  <w:rFonts w:ascii="Arial" w:cs="Arial" w:eastAsia="Arial" w:hAnsi="Arial"/>
                  <w:sz w:val="17"/>
                  <w:szCs w:val="17"/>
                  <w:color w:val="0000FF"/>
                </w:rPr>
                <w:t>Moriarty, LendingTree, Inc., and LendingTree, LLC.*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Pr>
          <w:p>
            <w:pPr>
              <w:spacing w:after="0" w:line="154" w:lineRule="exact"/>
              <w:rPr>
                <w:sz w:val="20"/>
                <w:szCs w:val="20"/>
                <w:color w:val="auto"/>
              </w:rPr>
            </w:pPr>
            <w:r>
              <w:rPr>
                <w:rFonts w:ascii="Arial" w:cs="Arial" w:eastAsia="Arial" w:hAnsi="Arial"/>
                <w:sz w:val="17"/>
                <w:szCs w:val="17"/>
                <w:color w:val="auto"/>
              </w:rPr>
              <w:t>filed April 27, 2018</w:t>
            </w:r>
          </w:p>
        </w:tc>
      </w:tr>
      <w:tr>
        <w:trPr>
          <w:trHeight w:val="34"/>
        </w:trPr>
        <w:tc>
          <w:tcPr>
            <w:tcW w:w="12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10.14</w:t>
            </w:r>
          </w:p>
        </w:tc>
        <w:tc>
          <w:tcPr>
            <w:tcW w:w="5340" w:type="dxa"/>
            <w:vAlign w:val="bottom"/>
            <w:gridSpan w:val="32"/>
            <w:shd w:val="clear" w:color="auto" w:fill="CCEEFF"/>
          </w:tcPr>
          <w:p>
            <w:pPr>
              <w:spacing w:after="0" w:line="189" w:lineRule="exact"/>
              <w:rPr>
                <w:rFonts w:ascii="Arial" w:cs="Arial" w:eastAsia="Arial" w:hAnsi="Arial"/>
                <w:sz w:val="18"/>
                <w:szCs w:val="18"/>
                <w:color w:val="0000FF"/>
                <w:w w:val="97"/>
              </w:rPr>
            </w:pPr>
            <w:hyperlink r:id="rId160">
              <w:r>
                <w:rPr>
                  <w:rFonts w:ascii="Arial" w:cs="Arial" w:eastAsia="Arial" w:hAnsi="Arial"/>
                  <w:sz w:val="18"/>
                  <w:szCs w:val="18"/>
                  <w:color w:val="0000FF"/>
                  <w:w w:val="97"/>
                </w:rPr>
                <w:t>Seventh Amended and Restated LendingTree, Inc. 2008 Stock Plan*</w:t>
              </w:r>
            </w:hyperlink>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Incorporated by reference from Appendix C to the Registrant's</w:t>
            </w:r>
          </w:p>
        </w:tc>
      </w:tr>
      <w:tr>
        <w:trPr>
          <w:trHeight w:val="154"/>
        </w:trPr>
        <w:tc>
          <w:tcPr>
            <w:tcW w:w="12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70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Definitive Proxy Statement on Schedule 14A, filed on April 29,</w:t>
            </w:r>
          </w:p>
        </w:tc>
      </w:tr>
      <w:tr>
        <w:trPr>
          <w:trHeight w:val="229"/>
        </w:trPr>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10.15</w:t>
            </w:r>
          </w:p>
        </w:tc>
        <w:tc>
          <w:tcPr>
            <w:tcW w:w="5340" w:type="dxa"/>
            <w:vAlign w:val="bottom"/>
            <w:gridSpan w:val="32"/>
          </w:tcPr>
          <w:p>
            <w:pPr>
              <w:spacing w:after="0" w:line="189" w:lineRule="exact"/>
              <w:rPr>
                <w:rFonts w:ascii="Arial" w:cs="Arial" w:eastAsia="Arial" w:hAnsi="Arial"/>
                <w:sz w:val="18"/>
                <w:szCs w:val="18"/>
                <w:color w:val="0000FF"/>
              </w:rPr>
            </w:pPr>
            <w:hyperlink r:id="rId161">
              <w:r>
                <w:rPr>
                  <w:rFonts w:ascii="Arial" w:cs="Arial" w:eastAsia="Arial" w:hAnsi="Arial"/>
                  <w:sz w:val="18"/>
                  <w:szCs w:val="18"/>
                  <w:color w:val="0000FF"/>
                </w:rPr>
                <w:t>Form  of  Notice  of  Stock  Option  Award  Granted  Under  the</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3"/>
              </w:rPr>
              <w:t>Exhibit 10.1 to the Registrant’s Quarterly Report on Form 10-Q</w:t>
            </w:r>
          </w:p>
        </w:tc>
      </w:tr>
      <w:tr>
        <w:trPr>
          <w:trHeight w:val="155"/>
        </w:trPr>
        <w:tc>
          <w:tcPr>
            <w:tcW w:w="1200" w:type="dxa"/>
            <w:vAlign w:val="bottom"/>
          </w:tcPr>
          <w:p>
            <w:pPr>
              <w:spacing w:after="0"/>
              <w:rPr>
                <w:sz w:val="13"/>
                <w:szCs w:val="13"/>
                <w:color w:val="auto"/>
              </w:rPr>
            </w:pPr>
          </w:p>
        </w:tc>
        <w:tc>
          <w:tcPr>
            <w:tcW w:w="5160" w:type="dxa"/>
            <w:vAlign w:val="bottom"/>
            <w:tcBorders>
              <w:top w:val="single" w:sz="8" w:color="0000FF"/>
            </w:tcBorders>
            <w:gridSpan w:val="23"/>
          </w:tcPr>
          <w:p>
            <w:pPr>
              <w:spacing w:after="0" w:line="154" w:lineRule="exact"/>
              <w:rPr>
                <w:rFonts w:ascii="Arial" w:cs="Arial" w:eastAsia="Arial" w:hAnsi="Arial"/>
                <w:sz w:val="17"/>
                <w:szCs w:val="17"/>
                <w:color w:val="0000FF"/>
              </w:rPr>
            </w:pPr>
            <w:hyperlink r:id="rId161">
              <w:r>
                <w:rPr>
                  <w:rFonts w:ascii="Arial" w:cs="Arial" w:eastAsia="Arial" w:hAnsi="Arial"/>
                  <w:sz w:val="17"/>
                  <w:szCs w:val="17"/>
                  <w:color w:val="0000FF"/>
                </w:rPr>
                <w:t>LendingTree, Inc. 2008 Stock and Annual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Pr>
          <w:p>
            <w:pPr>
              <w:spacing w:after="0" w:line="154" w:lineRule="exact"/>
              <w:rPr>
                <w:sz w:val="20"/>
                <w:szCs w:val="20"/>
                <w:color w:val="auto"/>
              </w:rPr>
            </w:pPr>
            <w:r>
              <w:rPr>
                <w:rFonts w:ascii="Arial" w:cs="Arial" w:eastAsia="Arial" w:hAnsi="Arial"/>
                <w:sz w:val="17"/>
                <w:szCs w:val="17"/>
                <w:color w:val="auto"/>
              </w:rPr>
              <w:t>filed August 4, 2020</w:t>
            </w:r>
          </w:p>
        </w:tc>
      </w:tr>
      <w:tr>
        <w:trPr>
          <w:trHeight w:val="34"/>
        </w:trPr>
        <w:tc>
          <w:tcPr>
            <w:tcW w:w="12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10.16</w:t>
            </w:r>
          </w:p>
        </w:tc>
        <w:tc>
          <w:tcPr>
            <w:tcW w:w="534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Form of Notice of Restricted Stock Unit Award Granted Under the</w:t>
            </w:r>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24"/>
            <w:shd w:val="clear" w:color="auto" w:fill="CCEEFF"/>
          </w:tcPr>
          <w:p>
            <w:pPr>
              <w:spacing w:after="0" w:line="154" w:lineRule="exact"/>
              <w:rPr>
                <w:sz w:val="20"/>
                <w:szCs w:val="20"/>
                <w:color w:val="auto"/>
              </w:rPr>
            </w:pPr>
            <w:r>
              <w:rPr>
                <w:rFonts w:ascii="Arial" w:cs="Arial" w:eastAsia="Arial" w:hAnsi="Arial"/>
                <w:sz w:val="17"/>
                <w:szCs w:val="17"/>
                <w:color w:val="0000FF"/>
              </w:rPr>
              <w:t>LendingTree, Inc. 2008 Stock and Annual Incentive Plan*</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700" w:type="dxa"/>
            <w:vAlign w:val="bottom"/>
            <w:tcBorders>
              <w:top w:val="single" w:sz="8" w:color="CCEEFF"/>
            </w:tcBorders>
            <w:shd w:val="clear" w:color="auto" w:fill="CCEEFF"/>
          </w:tcPr>
          <w:p>
            <w:pPr>
              <w:spacing w:after="0"/>
              <w:rPr>
                <w:sz w:val="13"/>
                <w:szCs w:val="13"/>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700" w:type="dxa"/>
            <w:vAlign w:val="bottom"/>
            <w:tcBorders>
              <w:top w:val="single" w:sz="8" w:color="CCEEFF"/>
            </w:tcBorders>
            <w:shd w:val="clear" w:color="auto" w:fill="CCEEFF"/>
          </w:tcPr>
          <w:p>
            <w:pPr>
              <w:spacing w:after="0"/>
              <w:rPr>
                <w:sz w:val="2"/>
                <w:szCs w:val="2"/>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10.17</w:t>
            </w:r>
          </w:p>
        </w:tc>
        <w:tc>
          <w:tcPr>
            <w:tcW w:w="5340" w:type="dxa"/>
            <w:vAlign w:val="bottom"/>
            <w:gridSpan w:val="32"/>
          </w:tcPr>
          <w:p>
            <w:pPr>
              <w:spacing w:after="0" w:line="189" w:lineRule="exact"/>
              <w:rPr>
                <w:rFonts w:ascii="Arial" w:cs="Arial" w:eastAsia="Arial" w:hAnsi="Arial"/>
                <w:sz w:val="18"/>
                <w:szCs w:val="18"/>
                <w:color w:val="0000FF"/>
              </w:rPr>
            </w:pPr>
            <w:hyperlink r:id="rId162">
              <w:r>
                <w:rPr>
                  <w:rFonts w:ascii="Arial" w:cs="Arial" w:eastAsia="Arial" w:hAnsi="Arial"/>
                  <w:sz w:val="18"/>
                  <w:szCs w:val="18"/>
                  <w:color w:val="0000FF"/>
                </w:rPr>
                <w:t>Form of Notice of Stock Option Award Granted to Non- Employee</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3"/>
              </w:rPr>
              <w:t>Exhibit 10.3 to the Registrant’s Quarterly Report on Form 10-Q</w:t>
            </w:r>
          </w:p>
        </w:tc>
      </w:tr>
      <w:tr>
        <w:trPr>
          <w:trHeight w:val="155"/>
        </w:trPr>
        <w:tc>
          <w:tcPr>
            <w:tcW w:w="1200" w:type="dxa"/>
            <w:vAlign w:val="bottom"/>
          </w:tcPr>
          <w:p>
            <w:pPr>
              <w:spacing w:after="0"/>
              <w:rPr>
                <w:sz w:val="13"/>
                <w:szCs w:val="13"/>
                <w:color w:val="auto"/>
              </w:rPr>
            </w:pPr>
          </w:p>
        </w:tc>
        <w:tc>
          <w:tcPr>
            <w:tcW w:w="5280" w:type="dxa"/>
            <w:vAlign w:val="bottom"/>
            <w:tcBorders>
              <w:top w:val="single" w:sz="8" w:color="0000FF"/>
            </w:tcBorders>
            <w:gridSpan w:val="29"/>
          </w:tcPr>
          <w:p>
            <w:pPr>
              <w:spacing w:after="0" w:line="154" w:lineRule="exact"/>
              <w:rPr>
                <w:rFonts w:ascii="Arial" w:cs="Arial" w:eastAsia="Arial" w:hAnsi="Arial"/>
                <w:sz w:val="17"/>
                <w:szCs w:val="17"/>
                <w:color w:val="0000FF"/>
              </w:rPr>
            </w:pPr>
            <w:hyperlink r:id="rId162">
              <w:r>
                <w:rPr>
                  <w:rFonts w:ascii="Arial" w:cs="Arial" w:eastAsia="Arial" w:hAnsi="Arial"/>
                  <w:sz w:val="17"/>
                  <w:szCs w:val="17"/>
                  <w:color w:val="0000FF"/>
                </w:rPr>
                <w:t>Directors  Under  the  LendingTree,  Inc.  2008  Stock  and  Annual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Pr>
          <w:p>
            <w:pPr>
              <w:spacing w:after="0" w:line="154" w:lineRule="exact"/>
              <w:rPr>
                <w:sz w:val="20"/>
                <w:szCs w:val="20"/>
                <w:color w:val="auto"/>
              </w:rPr>
            </w:pPr>
            <w:r>
              <w:rPr>
                <w:rFonts w:ascii="Arial" w:cs="Arial" w:eastAsia="Arial" w:hAnsi="Arial"/>
                <w:sz w:val="17"/>
                <w:szCs w:val="17"/>
                <w:color w:val="auto"/>
              </w:rPr>
              <w:t>filed August 4, 2020</w:t>
            </w:r>
          </w:p>
        </w:tc>
      </w:tr>
      <w:tr>
        <w:trPr>
          <w:trHeight w:val="168"/>
        </w:trPr>
        <w:tc>
          <w:tcPr>
            <w:tcW w:w="1200" w:type="dxa"/>
            <w:vAlign w:val="bottom"/>
          </w:tcPr>
          <w:p>
            <w:pPr>
              <w:spacing w:after="0"/>
              <w:rPr>
                <w:sz w:val="14"/>
                <w:szCs w:val="14"/>
                <w:color w:val="auto"/>
              </w:rPr>
            </w:pPr>
          </w:p>
        </w:tc>
        <w:tc>
          <w:tcPr>
            <w:tcW w:w="5140" w:type="dxa"/>
            <w:vAlign w:val="bottom"/>
            <w:tcBorders>
              <w:top w:val="single" w:sz="8" w:color="0000FF"/>
            </w:tcBorders>
            <w:gridSpan w:val="22"/>
          </w:tcPr>
          <w:p>
            <w:pPr>
              <w:spacing w:after="0" w:line="168" w:lineRule="exact"/>
              <w:rPr>
                <w:rFonts w:ascii="Arial" w:cs="Arial" w:eastAsia="Arial" w:hAnsi="Arial"/>
                <w:sz w:val="18"/>
                <w:szCs w:val="18"/>
                <w:color w:val="0000FF"/>
              </w:rPr>
            </w:pPr>
            <w:hyperlink r:id="rId162">
              <w:r>
                <w:rPr>
                  <w:rFonts w:ascii="Arial" w:cs="Arial" w:eastAsia="Arial" w:hAnsi="Arial"/>
                  <w:sz w:val="18"/>
                  <w:szCs w:val="18"/>
                  <w:color w:val="0000FF"/>
                </w:rPr>
                <w:t>Incentive Plan*</w:t>
              </w:r>
            </w:hyperlink>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10.18</w:t>
            </w:r>
          </w:p>
        </w:tc>
        <w:tc>
          <w:tcPr>
            <w:tcW w:w="5340" w:type="dxa"/>
            <w:vAlign w:val="bottom"/>
            <w:gridSpan w:val="32"/>
            <w:shd w:val="clear" w:color="auto" w:fill="CCEEFF"/>
          </w:tcPr>
          <w:p>
            <w:pPr>
              <w:spacing w:after="0" w:line="189" w:lineRule="exact"/>
              <w:rPr>
                <w:rFonts w:ascii="Arial" w:cs="Arial" w:eastAsia="Arial" w:hAnsi="Arial"/>
                <w:sz w:val="18"/>
                <w:szCs w:val="18"/>
                <w:color w:val="0000FF"/>
              </w:rPr>
            </w:pPr>
            <w:hyperlink r:id="rId163">
              <w:r>
                <w:rPr>
                  <w:rFonts w:ascii="Arial" w:cs="Arial" w:eastAsia="Arial" w:hAnsi="Arial"/>
                  <w:sz w:val="18"/>
                  <w:szCs w:val="18"/>
                  <w:color w:val="0000FF"/>
                </w:rPr>
                <w:t>Form of Notice of Restricted Stock Unit Award Granted to Non-</w:t>
              </w:r>
            </w:hyperlink>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Exhibit 10.4 to the Registrant’s Quarterly Report on Form 10-Q</w:t>
            </w: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200" w:type="dxa"/>
            <w:vAlign w:val="bottom"/>
            <w:tcBorders>
              <w:top w:val="single" w:sz="8" w:color="0000FF"/>
              <w:bottom w:val="single" w:sz="8" w:color="0000FF"/>
            </w:tcBorders>
            <w:gridSpan w:val="25"/>
            <w:shd w:val="clear" w:color="auto" w:fill="CCEEFF"/>
          </w:tcPr>
          <w:p>
            <w:pPr>
              <w:spacing w:after="0" w:line="154" w:lineRule="exact"/>
              <w:rPr>
                <w:rFonts w:ascii="Arial" w:cs="Arial" w:eastAsia="Arial" w:hAnsi="Arial"/>
                <w:sz w:val="17"/>
                <w:szCs w:val="17"/>
                <w:color w:val="0000FF"/>
              </w:rPr>
            </w:pPr>
            <w:hyperlink r:id="rId163">
              <w:r>
                <w:rPr>
                  <w:rFonts w:ascii="Arial" w:cs="Arial" w:eastAsia="Arial" w:hAnsi="Arial"/>
                  <w:sz w:val="17"/>
                  <w:szCs w:val="17"/>
                  <w:color w:val="0000FF"/>
                </w:rPr>
                <w:t>Employee Directors Under the LendingTree, Inc. 2008 Stock and</w:t>
              </w:r>
            </w:hyperlink>
          </w:p>
        </w:tc>
        <w:tc>
          <w:tcPr>
            <w:tcW w:w="120" w:type="dxa"/>
            <w:vAlign w:val="bottom"/>
            <w:tcBorders>
              <w:top w:val="single" w:sz="8" w:color="CCEEFF"/>
              <w:bottom w:val="single" w:sz="8" w:color="0000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70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filed August 4, 2020</w:t>
            </w: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0000FF"/>
            </w:tcBorders>
            <w:gridSpan w:val="5"/>
            <w:shd w:val="clear" w:color="auto" w:fill="CCEEFF"/>
          </w:tcPr>
          <w:p>
            <w:pPr>
              <w:spacing w:after="0" w:line="168"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Annual Incentive Plan*</w:t>
              </w:r>
            </w:hyperlink>
          </w:p>
        </w:tc>
        <w:tc>
          <w:tcPr>
            <w:tcW w:w="3620" w:type="dxa"/>
            <w:vAlign w:val="bottom"/>
            <w:tcBorders>
              <w:bottom w:val="single" w:sz="8" w:color="CCEEFF"/>
            </w:tcBorders>
            <w:gridSpan w:val="2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700" w:type="dxa"/>
            <w:vAlign w:val="bottom"/>
            <w:tcBorders>
              <w:bottom w:val="single" w:sz="8" w:color="CCEEFF"/>
            </w:tcBorders>
            <w:shd w:val="clear" w:color="auto" w:fill="CCEEFF"/>
          </w:tcPr>
          <w:p>
            <w:pPr>
              <w:spacing w:after="0"/>
              <w:rPr>
                <w:sz w:val="16"/>
                <w:szCs w:val="16"/>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10.19</w:t>
            </w:r>
          </w:p>
        </w:tc>
        <w:tc>
          <w:tcPr>
            <w:tcW w:w="5340" w:type="dxa"/>
            <w:vAlign w:val="bottom"/>
            <w:gridSpan w:val="32"/>
          </w:tcPr>
          <w:p>
            <w:pPr>
              <w:spacing w:after="0" w:line="189" w:lineRule="exact"/>
              <w:rPr>
                <w:rFonts w:ascii="Arial" w:cs="Arial" w:eastAsia="Arial" w:hAnsi="Arial"/>
                <w:sz w:val="18"/>
                <w:szCs w:val="18"/>
                <w:color w:val="0000FF"/>
              </w:rPr>
            </w:pPr>
            <w:hyperlink r:id="rId164">
              <w:r>
                <w:rPr>
                  <w:rFonts w:ascii="Arial" w:cs="Arial" w:eastAsia="Arial" w:hAnsi="Arial"/>
                  <w:sz w:val="18"/>
                  <w:szCs w:val="18"/>
                  <w:color w:val="0000FF"/>
                </w:rPr>
                <w:t>Form of Base Convertible Note Hedge Confirmation</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1"/>
              </w:rPr>
              <w:t>Exhibit 99.2 to the Registrant’s Current Report on Form 8-K filed</w:t>
            </w: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July 24, 2020</w:t>
            </w: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10.19</w:t>
            </w:r>
          </w:p>
        </w:tc>
        <w:tc>
          <w:tcPr>
            <w:tcW w:w="5340" w:type="dxa"/>
            <w:vAlign w:val="bottom"/>
            <w:gridSpan w:val="32"/>
            <w:shd w:val="clear" w:color="auto" w:fill="CCEEFF"/>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Form of Additional Convertible Note Hedge Confirmation</w:t>
              </w:r>
            </w:hyperlink>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Exhibit 99.3 to the Registrant’s Current Report on Form 8-K filed</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24, 2020</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10.21</w:t>
            </w:r>
          </w:p>
        </w:tc>
        <w:tc>
          <w:tcPr>
            <w:tcW w:w="5340" w:type="dxa"/>
            <w:vAlign w:val="bottom"/>
            <w:gridSpan w:val="32"/>
          </w:tcPr>
          <w:p>
            <w:pPr>
              <w:spacing w:after="0" w:line="189" w:lineRule="exact"/>
              <w:rPr>
                <w:rFonts w:ascii="Arial" w:cs="Arial" w:eastAsia="Arial" w:hAnsi="Arial"/>
                <w:sz w:val="18"/>
                <w:szCs w:val="18"/>
                <w:color w:val="0000FF"/>
              </w:rPr>
            </w:pPr>
            <w:hyperlink r:id="rId166">
              <w:r>
                <w:rPr>
                  <w:rFonts w:ascii="Arial" w:cs="Arial" w:eastAsia="Arial" w:hAnsi="Arial"/>
                  <w:sz w:val="18"/>
                  <w:szCs w:val="18"/>
                  <w:color w:val="0000FF"/>
                </w:rPr>
                <w:t>Form of Base Warrant Confirmation</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1"/>
              </w:rPr>
              <w:t>Exhibit 99.4 to the Registrant’s Current Report on Form 8-K filed</w:t>
            </w: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July 24, 2020</w:t>
            </w: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10.22</w:t>
            </w:r>
          </w:p>
        </w:tc>
        <w:tc>
          <w:tcPr>
            <w:tcW w:w="5340" w:type="dxa"/>
            <w:vAlign w:val="bottom"/>
            <w:gridSpan w:val="32"/>
            <w:shd w:val="clear" w:color="auto" w:fill="CCEEFF"/>
          </w:tcPr>
          <w:p>
            <w:pPr>
              <w:spacing w:after="0" w:line="189" w:lineRule="exact"/>
              <w:rPr>
                <w:rFonts w:ascii="Arial" w:cs="Arial" w:eastAsia="Arial" w:hAnsi="Arial"/>
                <w:sz w:val="18"/>
                <w:szCs w:val="18"/>
                <w:color w:val="0000FF"/>
              </w:rPr>
            </w:pPr>
            <w:hyperlink r:id="rId167">
              <w:r>
                <w:rPr>
                  <w:rFonts w:ascii="Arial" w:cs="Arial" w:eastAsia="Arial" w:hAnsi="Arial"/>
                  <w:sz w:val="18"/>
                  <w:szCs w:val="18"/>
                  <w:color w:val="0000FF"/>
                </w:rPr>
                <w:t>Form of Additional Warrant Confirmation</w:t>
              </w:r>
            </w:hyperlink>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Exhibit 99.5 to the Registrant’s Current Report on Form 8-K filed</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24, 2020</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10.23</w:t>
            </w:r>
          </w:p>
        </w:tc>
        <w:tc>
          <w:tcPr>
            <w:tcW w:w="5340" w:type="dxa"/>
            <w:vAlign w:val="bottom"/>
            <w:gridSpan w:val="32"/>
          </w:tcPr>
          <w:p>
            <w:pPr>
              <w:spacing w:after="0" w:line="189" w:lineRule="exact"/>
              <w:rPr>
                <w:rFonts w:ascii="Arial" w:cs="Arial" w:eastAsia="Arial" w:hAnsi="Arial"/>
                <w:sz w:val="18"/>
                <w:szCs w:val="18"/>
                <w:color w:val="0000FF"/>
              </w:rPr>
            </w:pPr>
            <w:hyperlink r:id="rId168">
              <w:r>
                <w:rPr>
                  <w:rFonts w:ascii="Arial" w:cs="Arial" w:eastAsia="Arial" w:hAnsi="Arial"/>
                  <w:sz w:val="18"/>
                  <w:szCs w:val="18"/>
                  <w:color w:val="0000FF"/>
                </w:rPr>
                <w:t>LendingTree Executive Severance Pay Plan*</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5"/>
              </w:rPr>
              <w:t>Exhibit 10.41 to the Registrant's Annual Report on Form 10-K</w:t>
            </w: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filed March 03, 2021</w:t>
            </w: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10.24</w:t>
            </w:r>
          </w:p>
        </w:tc>
        <w:tc>
          <w:tcPr>
            <w:tcW w:w="5340" w:type="dxa"/>
            <w:vAlign w:val="bottom"/>
            <w:gridSpan w:val="32"/>
            <w:shd w:val="clear" w:color="auto" w:fill="CCEEFF"/>
          </w:tcPr>
          <w:p>
            <w:pPr>
              <w:spacing w:after="0" w:line="189" w:lineRule="exact"/>
              <w:rPr>
                <w:rFonts w:ascii="Arial" w:cs="Arial" w:eastAsia="Arial" w:hAnsi="Arial"/>
                <w:sz w:val="18"/>
                <w:szCs w:val="18"/>
                <w:color w:val="0000FF"/>
                <w:w w:val="96"/>
              </w:rPr>
            </w:pPr>
            <w:hyperlink r:id="rId169">
              <w:r>
                <w:rPr>
                  <w:rFonts w:ascii="Arial" w:cs="Arial" w:eastAsia="Arial" w:hAnsi="Arial"/>
                  <w:sz w:val="18"/>
                  <w:szCs w:val="18"/>
                  <w:color w:val="0000FF"/>
                  <w:w w:val="96"/>
                </w:rPr>
                <w:t>Memorandum on compensation changes for Trent Ziegler, dated May</w:t>
              </w:r>
            </w:hyperlink>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Exhibit 10.4 to the Registrant’s Quarterly Report on Form 10-Q</w:t>
            </w: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0000FF"/>
            </w:tcBorders>
            <w:gridSpan w:val="3"/>
            <w:shd w:val="clear" w:color="auto" w:fill="CCEEFF"/>
          </w:tcPr>
          <w:p>
            <w:pPr>
              <w:spacing w:after="0" w:line="154" w:lineRule="exact"/>
              <w:rPr>
                <w:rFonts w:ascii="Arial" w:cs="Arial" w:eastAsia="Arial" w:hAnsi="Arial"/>
                <w:sz w:val="17"/>
                <w:szCs w:val="17"/>
                <w:color w:val="0000FF"/>
              </w:rPr>
            </w:pPr>
            <w:hyperlink r:id="rId169">
              <w:r>
                <w:rPr>
                  <w:rFonts w:ascii="Arial" w:cs="Arial" w:eastAsia="Arial" w:hAnsi="Arial"/>
                  <w:sz w:val="17"/>
                  <w:szCs w:val="17"/>
                  <w:color w:val="0000FF"/>
                </w:rPr>
                <w:t>12, 2021*</w:t>
              </w:r>
            </w:hyperlink>
          </w:p>
        </w:tc>
        <w:tc>
          <w:tcPr>
            <w:tcW w:w="32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70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filed August 4, 2021</w:t>
            </w: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700" w:type="dxa"/>
            <w:vAlign w:val="bottom"/>
            <w:tcBorders>
              <w:top w:val="single" w:sz="8" w:color="CCEEFF"/>
            </w:tcBorders>
            <w:shd w:val="clear" w:color="auto" w:fill="CCEEFF"/>
          </w:tcPr>
          <w:p>
            <w:pPr>
              <w:spacing w:after="0"/>
              <w:rPr>
                <w:sz w:val="2"/>
                <w:szCs w:val="2"/>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10.25</w:t>
            </w:r>
          </w:p>
        </w:tc>
        <w:tc>
          <w:tcPr>
            <w:tcW w:w="5340" w:type="dxa"/>
            <w:vAlign w:val="bottom"/>
            <w:gridSpan w:val="32"/>
          </w:tcPr>
          <w:p>
            <w:pPr>
              <w:spacing w:after="0" w:line="189" w:lineRule="exact"/>
              <w:rPr>
                <w:rFonts w:ascii="Arial" w:cs="Arial" w:eastAsia="Arial" w:hAnsi="Arial"/>
                <w:sz w:val="18"/>
                <w:szCs w:val="18"/>
                <w:color w:val="0000FF"/>
              </w:rPr>
            </w:pPr>
            <w:hyperlink r:id="rId160">
              <w:r>
                <w:rPr>
                  <w:rFonts w:ascii="Arial" w:cs="Arial" w:eastAsia="Arial" w:hAnsi="Arial"/>
                  <w:sz w:val="18"/>
                  <w:szCs w:val="18"/>
                  <w:color w:val="0000FF"/>
                </w:rPr>
                <w:t>LendingTree, Inc. Employee Stock Purchase Plan*</w:t>
              </w:r>
            </w:hyperlink>
          </w:p>
        </w:tc>
        <w:tc>
          <w:tcPr>
            <w:tcW w:w="4700" w:type="dxa"/>
            <w:vAlign w:val="bottom"/>
          </w:tcPr>
          <w:p>
            <w:pPr>
              <w:spacing w:after="0" w:line="189" w:lineRule="exact"/>
              <w:rPr>
                <w:sz w:val="20"/>
                <w:szCs w:val="20"/>
                <w:color w:val="auto"/>
              </w:rPr>
            </w:pPr>
            <w:r>
              <w:rPr>
                <w:rFonts w:ascii="Arial" w:cs="Arial" w:eastAsia="Arial" w:hAnsi="Arial"/>
                <w:sz w:val="18"/>
                <w:szCs w:val="18"/>
                <w:color w:val="auto"/>
                <w:w w:val="94"/>
              </w:rPr>
              <w:t>Incorporated by reference from Appendix B to the Registrant's</w:t>
            </w:r>
          </w:p>
        </w:tc>
      </w:tr>
      <w:tr>
        <w:trPr>
          <w:trHeight w:val="154"/>
        </w:trPr>
        <w:tc>
          <w:tcPr>
            <w:tcW w:w="120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Pr>
          <w:p>
            <w:pPr>
              <w:spacing w:after="0" w:line="154" w:lineRule="exact"/>
              <w:rPr>
                <w:sz w:val="20"/>
                <w:szCs w:val="20"/>
                <w:color w:val="auto"/>
              </w:rPr>
            </w:pPr>
            <w:r>
              <w:rPr>
                <w:rFonts w:ascii="Arial" w:cs="Arial" w:eastAsia="Arial" w:hAnsi="Arial"/>
                <w:sz w:val="17"/>
                <w:szCs w:val="17"/>
                <w:color w:val="auto"/>
              </w:rPr>
              <w:t>Definitive Proxy Statement on Schedule 14A, filed on April 29,</w:t>
            </w:r>
          </w:p>
        </w:tc>
      </w:tr>
      <w:tr>
        <w:trPr>
          <w:trHeight w:val="230"/>
        </w:trPr>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2021</w:t>
            </w:r>
          </w:p>
        </w:tc>
      </w:tr>
      <w:tr>
        <w:trPr>
          <w:trHeight w:val="860"/>
        </w:trPr>
        <w:tc>
          <w:tcPr>
            <w:tcW w:w="1200" w:type="dxa"/>
            <w:vAlign w:val="bottom"/>
          </w:tcPr>
          <w:p>
            <w:pPr>
              <w:spacing w:after="0"/>
              <w:rPr>
                <w:sz w:val="24"/>
                <w:szCs w:val="24"/>
                <w:color w:val="auto"/>
              </w:rPr>
            </w:pPr>
          </w:p>
        </w:tc>
        <w:tc>
          <w:tcPr>
            <w:tcW w:w="4680" w:type="dxa"/>
            <w:vAlign w:val="bottom"/>
            <w:gridSpan w:val="20"/>
          </w:tcPr>
          <w:p>
            <w:pPr>
              <w:ind w:left="428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11"/>
          </w:tcPr>
          <w:p>
            <w:pPr>
              <w:ind w:left="460"/>
              <w:spacing w:after="0"/>
              <w:rPr>
                <w:sz w:val="20"/>
                <w:szCs w:val="20"/>
                <w:color w:val="auto"/>
              </w:rPr>
            </w:pPr>
            <w:r>
              <w:rPr>
                <w:rFonts w:ascii="Arial" w:cs="Arial" w:eastAsia="Arial" w:hAnsi="Arial"/>
                <w:sz w:val="18"/>
                <w:szCs w:val="18"/>
                <w:b w:val="1"/>
                <w:bCs w:val="1"/>
                <w:color w:val="auto"/>
              </w:rPr>
              <w:t>Description</w:t>
            </w:r>
          </w:p>
        </w:tc>
        <w:tc>
          <w:tcPr>
            <w:tcW w:w="476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Location</w:t>
            </w: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10.26</w:t>
            </w:r>
          </w:p>
        </w:tc>
        <w:tc>
          <w:tcPr>
            <w:tcW w:w="5280" w:type="dxa"/>
            <w:vAlign w:val="bottom"/>
            <w:gridSpan w:val="15"/>
            <w:shd w:val="clear" w:color="auto" w:fill="CCEEFF"/>
          </w:tcPr>
          <w:p>
            <w:pPr>
              <w:spacing w:after="0" w:line="182"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First Amendment to LendingTree, Inc. Employee Stock Purchase Plan*</w:t>
              </w:r>
            </w:hyperlink>
          </w:p>
        </w:tc>
        <w:tc>
          <w:tcPr>
            <w:tcW w:w="4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Exhibit  99.3  to  the  Registrant's  Registration  Statement  on</w:t>
            </w: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17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S-8 (No. 333-258391), filed August 3, 2021</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10.27</w:t>
            </w:r>
          </w:p>
        </w:tc>
        <w:tc>
          <w:tcPr>
            <w:tcW w:w="5280" w:type="dxa"/>
            <w:vAlign w:val="bottom"/>
            <w:gridSpan w:val="15"/>
          </w:tcPr>
          <w:p>
            <w:pPr>
              <w:spacing w:after="0" w:line="189"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Employment Agreement between Jill Olmstead and the Company,</w:t>
              </w:r>
            </w:hyperlink>
          </w:p>
        </w:tc>
        <w:tc>
          <w:tcPr>
            <w:tcW w:w="4760" w:type="dxa"/>
            <w:vAlign w:val="bottom"/>
          </w:tcPr>
          <w:p>
            <w:pPr>
              <w:spacing w:after="0" w:line="189" w:lineRule="exact"/>
              <w:rPr>
                <w:sz w:val="20"/>
                <w:szCs w:val="20"/>
                <w:color w:val="auto"/>
              </w:rPr>
            </w:pPr>
            <w:r>
              <w:rPr>
                <w:rFonts w:ascii="Arial" w:cs="Arial" w:eastAsia="Arial" w:hAnsi="Arial"/>
                <w:sz w:val="18"/>
                <w:szCs w:val="18"/>
                <w:color w:val="auto"/>
                <w:w w:val="96"/>
              </w:rPr>
              <w:t>Exhibit 10.39 to the Registrant's Annual Report on Form 10-K</w:t>
            </w:r>
          </w:p>
        </w:tc>
      </w:tr>
      <w:tr>
        <w:trPr>
          <w:trHeight w:val="155"/>
        </w:trPr>
        <w:tc>
          <w:tcPr>
            <w:tcW w:w="1200" w:type="dxa"/>
            <w:vAlign w:val="bottom"/>
          </w:tcPr>
          <w:p>
            <w:pPr>
              <w:spacing w:after="0"/>
              <w:rPr>
                <w:sz w:val="13"/>
                <w:szCs w:val="13"/>
                <w:color w:val="auto"/>
              </w:rPr>
            </w:pPr>
          </w:p>
        </w:tc>
        <w:tc>
          <w:tcPr>
            <w:tcW w:w="5220" w:type="dxa"/>
            <w:vAlign w:val="bottom"/>
            <w:tcBorders>
              <w:top w:val="single" w:sz="8" w:color="0000FF"/>
            </w:tcBorders>
            <w:gridSpan w:val="12"/>
          </w:tcPr>
          <w:p>
            <w:pPr>
              <w:spacing w:after="0" w:line="154" w:lineRule="exact"/>
              <w:rPr>
                <w:rFonts w:ascii="Arial" w:cs="Arial" w:eastAsia="Arial" w:hAnsi="Arial"/>
                <w:sz w:val="17"/>
                <w:szCs w:val="17"/>
                <w:color w:val="0000FF"/>
              </w:rPr>
            </w:pPr>
            <w:hyperlink r:id="rId173">
              <w:r>
                <w:rPr>
                  <w:rFonts w:ascii="Arial" w:cs="Arial" w:eastAsia="Arial" w:hAnsi="Arial"/>
                  <w:sz w:val="17"/>
                  <w:szCs w:val="17"/>
                  <w:color w:val="0000FF"/>
                </w:rPr>
                <w:t>dated October 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Pr>
          <w:p>
            <w:pPr>
              <w:spacing w:after="0" w:line="154" w:lineRule="exact"/>
              <w:rPr>
                <w:sz w:val="20"/>
                <w:szCs w:val="20"/>
                <w:color w:val="auto"/>
              </w:rPr>
            </w:pPr>
            <w:r>
              <w:rPr>
                <w:rFonts w:ascii="Arial" w:cs="Arial" w:eastAsia="Arial" w:hAnsi="Arial"/>
                <w:sz w:val="17"/>
                <w:szCs w:val="17"/>
                <w:color w:val="auto"/>
              </w:rPr>
              <w:t>filed March 1, 2022</w:t>
            </w:r>
          </w:p>
        </w:tc>
      </w:tr>
      <w:tr>
        <w:trPr>
          <w:trHeight w:val="34"/>
        </w:trPr>
        <w:tc>
          <w:tcPr>
            <w:tcW w:w="120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10.28</w:t>
            </w:r>
          </w:p>
        </w:tc>
        <w:tc>
          <w:tcPr>
            <w:tcW w:w="5280" w:type="dxa"/>
            <w:vAlign w:val="bottom"/>
            <w:gridSpan w:val="15"/>
            <w:shd w:val="clear" w:color="auto" w:fill="CCEEFF"/>
          </w:tcPr>
          <w:p>
            <w:pPr>
              <w:spacing w:after="0" w:line="189"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Separation Agreement between Neil Salvage and the Company, dated</w:t>
              </w:r>
            </w:hyperlink>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Exhibit 10.40 to the Registrant's Annual Report on Form 10-K</w:t>
            </w: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0000FF"/>
              <w:bottom w:val="single" w:sz="8" w:color="0000FF"/>
            </w:tcBorders>
            <w:gridSpan w:val="3"/>
            <w:shd w:val="clear" w:color="auto" w:fill="CCEEFF"/>
          </w:tcPr>
          <w:p>
            <w:pPr>
              <w:spacing w:after="0" w:line="154" w:lineRule="exact"/>
              <w:rPr>
                <w:rFonts w:ascii="Arial" w:cs="Arial" w:eastAsia="Arial" w:hAnsi="Arial"/>
                <w:sz w:val="17"/>
                <w:szCs w:val="17"/>
                <w:color w:val="0000FF"/>
                <w:w w:val="94"/>
              </w:rPr>
            </w:pPr>
            <w:hyperlink r:id="rId174">
              <w:r>
                <w:rPr>
                  <w:rFonts w:ascii="Arial" w:cs="Arial" w:eastAsia="Arial" w:hAnsi="Arial"/>
                  <w:sz w:val="17"/>
                  <w:szCs w:val="17"/>
                  <w:color w:val="0000FF"/>
                  <w:w w:val="94"/>
                </w:rPr>
                <w:t>January 1, 2022*</w:t>
              </w:r>
            </w:hyperlink>
          </w:p>
        </w:tc>
        <w:tc>
          <w:tcPr>
            <w:tcW w:w="400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76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filed March 1, 2022</w:t>
            </w: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21.1</w:t>
            </w:r>
          </w:p>
        </w:tc>
        <w:tc>
          <w:tcPr>
            <w:tcW w:w="5280" w:type="dxa"/>
            <w:vAlign w:val="bottom"/>
            <w:gridSpan w:val="15"/>
          </w:tcPr>
          <w:p>
            <w:pPr>
              <w:spacing w:after="0" w:line="189" w:lineRule="exact"/>
              <w:rPr>
                <w:sz w:val="20"/>
                <w:szCs w:val="20"/>
                <w:color w:val="auto"/>
              </w:rPr>
            </w:pPr>
            <w:r>
              <w:rPr>
                <w:rFonts w:ascii="Arial" w:cs="Arial" w:eastAsia="Arial" w:hAnsi="Arial"/>
                <w:sz w:val="18"/>
                <w:szCs w:val="18"/>
                <w:color w:val="0000FF"/>
              </w:rPr>
              <w:t>Subsidiaries of LendingTree, Inc.</w:t>
            </w:r>
          </w:p>
        </w:tc>
        <w:tc>
          <w:tcPr>
            <w:tcW w:w="4760" w:type="dxa"/>
            <w:vAlign w:val="bottom"/>
          </w:tcPr>
          <w:p>
            <w:pPr>
              <w:spacing w:after="0" w:line="189" w:lineRule="exact"/>
              <w:rPr>
                <w:sz w:val="20"/>
                <w:szCs w:val="20"/>
                <w:color w:val="auto"/>
              </w:rPr>
            </w:pPr>
            <w:r>
              <w:rPr>
                <w:rFonts w:ascii="Arial" w:cs="Arial" w:eastAsia="Arial" w:hAnsi="Arial"/>
                <w:sz w:val="18"/>
                <w:szCs w:val="18"/>
                <w:color w:val="auto"/>
              </w:rPr>
              <w:t>†</w:t>
            </w:r>
          </w:p>
        </w:tc>
      </w:tr>
      <w:tr>
        <w:trPr>
          <w:trHeight w:val="20"/>
        </w:trPr>
        <w:tc>
          <w:tcPr>
            <w:tcW w:w="120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23.1</w:t>
            </w:r>
          </w:p>
        </w:tc>
        <w:tc>
          <w:tcPr>
            <w:tcW w:w="52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Consent of independent registered public accounting firm.</w:t>
            </w: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24.1</w:t>
            </w:r>
          </w:p>
        </w:tc>
        <w:tc>
          <w:tcPr>
            <w:tcW w:w="5280" w:type="dxa"/>
            <w:vAlign w:val="bottom"/>
            <w:gridSpan w:val="15"/>
          </w:tcPr>
          <w:p>
            <w:pPr>
              <w:spacing w:after="0" w:line="189" w:lineRule="exact"/>
              <w:rPr>
                <w:sz w:val="20"/>
                <w:szCs w:val="20"/>
                <w:color w:val="auto"/>
              </w:rPr>
            </w:pPr>
            <w:r>
              <w:rPr>
                <w:rFonts w:ascii="Arial" w:cs="Arial" w:eastAsia="Arial" w:hAnsi="Arial"/>
                <w:sz w:val="18"/>
                <w:szCs w:val="18"/>
                <w:color w:val="0000FF"/>
                <w:w w:val="96"/>
              </w:rPr>
              <w:t>Power of Attorney (included on signature page of this Annual Report</w:t>
            </w:r>
          </w:p>
        </w:tc>
        <w:tc>
          <w:tcPr>
            <w:tcW w:w="4760" w:type="dxa"/>
            <w:vAlign w:val="bottom"/>
          </w:tcPr>
          <w:p>
            <w:pPr>
              <w:spacing w:after="0" w:line="189" w:lineRule="exact"/>
              <w:rPr>
                <w:sz w:val="20"/>
                <w:szCs w:val="20"/>
                <w:color w:val="auto"/>
              </w:rPr>
            </w:pPr>
            <w:r>
              <w:rPr>
                <w:rFonts w:ascii="Arial" w:cs="Arial" w:eastAsia="Arial" w:hAnsi="Arial"/>
                <w:sz w:val="18"/>
                <w:szCs w:val="18"/>
                <w:color w:val="auto"/>
              </w:rPr>
              <w:t>†</w:t>
            </w:r>
          </w:p>
        </w:tc>
      </w:tr>
      <w:tr>
        <w:trPr>
          <w:trHeight w:val="155"/>
        </w:trPr>
        <w:tc>
          <w:tcPr>
            <w:tcW w:w="1200" w:type="dxa"/>
            <w:vAlign w:val="bottom"/>
          </w:tcPr>
          <w:p>
            <w:pPr>
              <w:spacing w:after="0"/>
              <w:rPr>
                <w:sz w:val="13"/>
                <w:szCs w:val="13"/>
                <w:color w:val="auto"/>
              </w:rPr>
            </w:pPr>
          </w:p>
        </w:tc>
        <w:tc>
          <w:tcPr>
            <w:tcW w:w="5160" w:type="dxa"/>
            <w:vAlign w:val="bottom"/>
            <w:tcBorders>
              <w:top w:val="single" w:sz="8" w:color="0000FF"/>
            </w:tcBorders>
            <w:gridSpan w:val="9"/>
          </w:tcPr>
          <w:p>
            <w:pPr>
              <w:spacing w:after="0" w:line="154" w:lineRule="exact"/>
              <w:rPr>
                <w:sz w:val="20"/>
                <w:szCs w:val="20"/>
                <w:color w:val="auto"/>
              </w:rPr>
            </w:pPr>
            <w:r>
              <w:rPr>
                <w:rFonts w:ascii="Arial" w:cs="Arial" w:eastAsia="Arial" w:hAnsi="Arial"/>
                <w:sz w:val="17"/>
                <w:szCs w:val="17"/>
                <w:color w:val="0000FF"/>
              </w:rPr>
              <w:t>on Form 10-K)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r>
      <w:tr>
        <w:trPr>
          <w:trHeight w:val="34"/>
        </w:trPr>
        <w:tc>
          <w:tcPr>
            <w:tcW w:w="120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31.1</w:t>
            </w:r>
          </w:p>
        </w:tc>
        <w:tc>
          <w:tcPr>
            <w:tcW w:w="52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w w:val="95"/>
              </w:rPr>
              <w:t>Certification of the Chief Executive Officer pursuant to Rule 13a-14(a)</w:t>
            </w: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260" w:type="dxa"/>
            <w:vAlign w:val="bottom"/>
            <w:tcBorders>
              <w:top w:val="single" w:sz="8" w:color="0000FF"/>
              <w:bottom w:val="single" w:sz="8" w:color="0000FF"/>
            </w:tcBorders>
            <w:gridSpan w:val="14"/>
            <w:shd w:val="clear" w:color="auto" w:fill="CCEEFF"/>
          </w:tcPr>
          <w:p>
            <w:pPr>
              <w:spacing w:after="0" w:line="154" w:lineRule="exact"/>
              <w:rPr>
                <w:sz w:val="20"/>
                <w:szCs w:val="20"/>
                <w:color w:val="auto"/>
              </w:rPr>
            </w:pPr>
            <w:r>
              <w:rPr>
                <w:rFonts w:ascii="Arial" w:cs="Arial" w:eastAsia="Arial" w:hAnsi="Arial"/>
                <w:sz w:val="17"/>
                <w:szCs w:val="17"/>
                <w:color w:val="0000FF"/>
              </w:rPr>
              <w:t>or Rule 15d-14(a) of the Securities Exchange Act of 1934 as adopted</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7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4260" w:type="dxa"/>
            <w:vAlign w:val="bottom"/>
            <w:tcBorders>
              <w:bottom w:val="single" w:sz="8" w:color="0000FF"/>
            </w:tcBorders>
            <w:gridSpan w:val="7"/>
            <w:shd w:val="clear" w:color="auto" w:fill="CCEEFF"/>
          </w:tcPr>
          <w:p>
            <w:pPr>
              <w:spacing w:after="0" w:line="168"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1020" w:type="dxa"/>
            <w:vAlign w:val="bottom"/>
            <w:tcBorders>
              <w:bottom w:val="single" w:sz="8" w:color="CCEEFF"/>
            </w:tcBorders>
            <w:gridSpan w:val="8"/>
            <w:shd w:val="clear" w:color="auto" w:fill="CCEEFF"/>
          </w:tcPr>
          <w:p>
            <w:pPr>
              <w:spacing w:after="0"/>
              <w:rPr>
                <w:sz w:val="16"/>
                <w:szCs w:val="16"/>
                <w:color w:val="auto"/>
              </w:rPr>
            </w:pPr>
          </w:p>
        </w:tc>
        <w:tc>
          <w:tcPr>
            <w:tcW w:w="4760" w:type="dxa"/>
            <w:vAlign w:val="bottom"/>
            <w:tcBorders>
              <w:bottom w:val="single" w:sz="8" w:color="CCEEFF"/>
            </w:tcBorders>
            <w:shd w:val="clear" w:color="auto" w:fill="CCEEFF"/>
          </w:tcPr>
          <w:p>
            <w:pPr>
              <w:spacing w:after="0"/>
              <w:rPr>
                <w:sz w:val="16"/>
                <w:szCs w:val="16"/>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31.2</w:t>
            </w:r>
          </w:p>
        </w:tc>
        <w:tc>
          <w:tcPr>
            <w:tcW w:w="5280" w:type="dxa"/>
            <w:vAlign w:val="bottom"/>
            <w:gridSpan w:val="15"/>
          </w:tcPr>
          <w:p>
            <w:pPr>
              <w:spacing w:after="0" w:line="189" w:lineRule="exact"/>
              <w:rPr>
                <w:sz w:val="20"/>
                <w:szCs w:val="20"/>
                <w:color w:val="auto"/>
              </w:rPr>
            </w:pPr>
            <w:r>
              <w:rPr>
                <w:rFonts w:ascii="Arial" w:cs="Arial" w:eastAsia="Arial" w:hAnsi="Arial"/>
                <w:sz w:val="18"/>
                <w:szCs w:val="18"/>
                <w:color w:val="0000FF"/>
                <w:w w:val="96"/>
              </w:rPr>
              <w:t>Certification of the Chief Financial Officer pursuant to Rule 13a-14(a)</w:t>
            </w:r>
          </w:p>
        </w:tc>
        <w:tc>
          <w:tcPr>
            <w:tcW w:w="4760" w:type="dxa"/>
            <w:vAlign w:val="bottom"/>
          </w:tcPr>
          <w:p>
            <w:pPr>
              <w:spacing w:after="0" w:line="189" w:lineRule="exact"/>
              <w:rPr>
                <w:sz w:val="20"/>
                <w:szCs w:val="20"/>
                <w:color w:val="auto"/>
              </w:rPr>
            </w:pPr>
            <w:r>
              <w:rPr>
                <w:rFonts w:ascii="Arial" w:cs="Arial" w:eastAsia="Arial" w:hAnsi="Arial"/>
                <w:sz w:val="18"/>
                <w:szCs w:val="18"/>
                <w:color w:val="auto"/>
              </w:rPr>
              <w:t>†</w:t>
            </w:r>
          </w:p>
        </w:tc>
      </w:tr>
      <w:tr>
        <w:trPr>
          <w:trHeight w:val="155"/>
        </w:trPr>
        <w:tc>
          <w:tcPr>
            <w:tcW w:w="120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10"/>
          </w:tcPr>
          <w:p>
            <w:pPr>
              <w:spacing w:after="0" w:line="154" w:lineRule="exact"/>
              <w:rPr>
                <w:sz w:val="20"/>
                <w:szCs w:val="20"/>
                <w:color w:val="auto"/>
              </w:rPr>
            </w:pPr>
            <w:r>
              <w:rPr>
                <w:rFonts w:ascii="Arial" w:cs="Arial" w:eastAsia="Arial" w:hAnsi="Arial"/>
                <w:sz w:val="17"/>
                <w:szCs w:val="17"/>
                <w:color w:val="0000FF"/>
                <w:w w:val="99"/>
              </w:rPr>
              <w:t>or Rule 15d-14(a) of the Securities Exchange Act of 1934 as adopted</w:t>
            </w: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760" w:type="dxa"/>
            <w:vAlign w:val="bottom"/>
          </w:tcPr>
          <w:p>
            <w:pPr>
              <w:spacing w:after="0"/>
              <w:rPr>
                <w:sz w:val="13"/>
                <w:szCs w:val="13"/>
                <w:color w:val="auto"/>
              </w:rPr>
            </w:pPr>
          </w:p>
        </w:tc>
      </w:tr>
      <w:tr>
        <w:trPr>
          <w:trHeight w:val="168"/>
        </w:trPr>
        <w:tc>
          <w:tcPr>
            <w:tcW w:w="1200" w:type="dxa"/>
            <w:vAlign w:val="bottom"/>
          </w:tcPr>
          <w:p>
            <w:pPr>
              <w:spacing w:after="0"/>
              <w:rPr>
                <w:sz w:val="14"/>
                <w:szCs w:val="14"/>
                <w:color w:val="auto"/>
              </w:rPr>
            </w:pPr>
          </w:p>
        </w:tc>
        <w:tc>
          <w:tcPr>
            <w:tcW w:w="5280" w:type="dxa"/>
            <w:vAlign w:val="bottom"/>
            <w:gridSpan w:val="15"/>
          </w:tcPr>
          <w:p>
            <w:pPr>
              <w:spacing w:after="0" w:line="168" w:lineRule="exact"/>
              <w:rPr>
                <w:sz w:val="20"/>
                <w:szCs w:val="20"/>
                <w:color w:val="auto"/>
              </w:rPr>
            </w:pPr>
            <w:r>
              <w:rPr>
                <w:rFonts w:ascii="Arial" w:cs="Arial" w:eastAsia="Arial" w:hAnsi="Arial"/>
                <w:sz w:val="18"/>
                <w:szCs w:val="18"/>
                <w:color w:val="0000FF"/>
              </w:rPr>
              <w:t>pursuant to Section 302 of the Sarbanes-Oxley Act of 2002</w:t>
            </w:r>
          </w:p>
        </w:tc>
        <w:tc>
          <w:tcPr>
            <w:tcW w:w="476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32.1</w:t>
            </w:r>
          </w:p>
        </w:tc>
        <w:tc>
          <w:tcPr>
            <w:tcW w:w="52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Certification of the Chief Executive Officer pursuant to 18 U.S.C.</w:t>
            </w: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140" w:type="dxa"/>
            <w:vAlign w:val="bottom"/>
            <w:tcBorders>
              <w:top w:val="single" w:sz="8" w:color="0000FF"/>
            </w:tcBorders>
            <w:gridSpan w:val="8"/>
            <w:shd w:val="clear" w:color="auto" w:fill="CCEEFF"/>
          </w:tcPr>
          <w:p>
            <w:pPr>
              <w:spacing w:after="0" w:line="154" w:lineRule="exact"/>
              <w:rPr>
                <w:sz w:val="20"/>
                <w:szCs w:val="20"/>
                <w:color w:val="auto"/>
              </w:rPr>
            </w:pPr>
            <w:r>
              <w:rPr>
                <w:rFonts w:ascii="Arial" w:cs="Arial" w:eastAsia="Arial" w:hAnsi="Arial"/>
                <w:sz w:val="17"/>
                <w:szCs w:val="17"/>
                <w:color w:val="0000FF"/>
                <w:w w:val="93"/>
              </w:rPr>
              <w:t>Section 1350 as adopted pursuant to Section 906 of the Sarbanes-Oxley</w:t>
            </w:r>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760" w:type="dxa"/>
            <w:vAlign w:val="bottom"/>
            <w:tcBorders>
              <w:top w:val="single" w:sz="8" w:color="CCEEFF"/>
            </w:tcBorders>
            <w:shd w:val="clear" w:color="auto" w:fill="CCEEFF"/>
          </w:tcPr>
          <w:p>
            <w:pPr>
              <w:spacing w:after="0"/>
              <w:rPr>
                <w:sz w:val="13"/>
                <w:szCs w:val="13"/>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12"/>
            <w:shd w:val="clear" w:color="auto" w:fill="CCEEFF"/>
          </w:tcPr>
          <w:p>
            <w:pPr>
              <w:spacing w:after="0" w:line="168" w:lineRule="exact"/>
              <w:rPr>
                <w:sz w:val="20"/>
                <w:szCs w:val="20"/>
                <w:color w:val="auto"/>
              </w:rPr>
            </w:pPr>
            <w:r>
              <w:rPr>
                <w:rFonts w:ascii="Arial" w:cs="Arial" w:eastAsia="Arial" w:hAnsi="Arial"/>
                <w:sz w:val="18"/>
                <w:szCs w:val="18"/>
                <w:color w:val="0000FF"/>
              </w:rPr>
              <w:t>Act of 2002</w:t>
            </w:r>
          </w:p>
        </w:tc>
        <w:tc>
          <w:tcPr>
            <w:tcW w:w="60" w:type="dxa"/>
            <w:vAlign w:val="bottom"/>
            <w:tcBorders>
              <w:top w:val="single" w:sz="8" w:color="CCEEFF"/>
            </w:tcBorders>
            <w:gridSpan w:val="3"/>
            <w:shd w:val="clear" w:color="auto" w:fill="CCEEFF"/>
          </w:tcPr>
          <w:p>
            <w:pPr>
              <w:spacing w:after="0"/>
              <w:rPr>
                <w:sz w:val="14"/>
                <w:szCs w:val="14"/>
                <w:color w:val="auto"/>
              </w:rPr>
            </w:pPr>
          </w:p>
        </w:tc>
        <w:tc>
          <w:tcPr>
            <w:tcW w:w="4760" w:type="dxa"/>
            <w:vAlign w:val="bottom"/>
            <w:tcBorders>
              <w:top w:val="single" w:sz="8" w:color="CCEEFF"/>
            </w:tcBorders>
            <w:shd w:val="clear" w:color="auto" w:fill="CCEEFF"/>
          </w:tcPr>
          <w:p>
            <w:pPr>
              <w:spacing w:after="0"/>
              <w:rPr>
                <w:sz w:val="14"/>
                <w:szCs w:val="14"/>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32.2</w:t>
            </w:r>
          </w:p>
        </w:tc>
        <w:tc>
          <w:tcPr>
            <w:tcW w:w="5280" w:type="dxa"/>
            <w:vAlign w:val="bottom"/>
            <w:gridSpan w:val="15"/>
          </w:tcPr>
          <w:p>
            <w:pPr>
              <w:spacing w:after="0" w:line="189" w:lineRule="exact"/>
              <w:rPr>
                <w:sz w:val="20"/>
                <w:szCs w:val="20"/>
                <w:color w:val="auto"/>
              </w:rPr>
            </w:pPr>
            <w:r>
              <w:rPr>
                <w:rFonts w:ascii="Arial" w:cs="Arial" w:eastAsia="Arial" w:hAnsi="Arial"/>
                <w:sz w:val="18"/>
                <w:szCs w:val="18"/>
                <w:color w:val="0000FF"/>
              </w:rPr>
              <w:t>Certification of the Chief Financial Officer pursuant to 18 U.S.C.</w:t>
            </w:r>
          </w:p>
        </w:tc>
        <w:tc>
          <w:tcPr>
            <w:tcW w:w="4760" w:type="dxa"/>
            <w:vAlign w:val="bottom"/>
          </w:tcPr>
          <w:p>
            <w:pPr>
              <w:spacing w:after="0" w:line="189" w:lineRule="exact"/>
              <w:rPr>
                <w:sz w:val="20"/>
                <w:szCs w:val="20"/>
                <w:color w:val="auto"/>
              </w:rPr>
            </w:pPr>
            <w:r>
              <w:rPr>
                <w:rFonts w:ascii="Arial" w:cs="Arial" w:eastAsia="Arial" w:hAnsi="Arial"/>
                <w:sz w:val="18"/>
                <w:szCs w:val="18"/>
                <w:color w:val="auto"/>
              </w:rPr>
              <w:t>††</w:t>
            </w:r>
          </w:p>
        </w:tc>
      </w:tr>
      <w:tr>
        <w:trPr>
          <w:trHeight w:val="155"/>
        </w:trPr>
        <w:tc>
          <w:tcPr>
            <w:tcW w:w="1200" w:type="dxa"/>
            <w:vAlign w:val="bottom"/>
          </w:tcPr>
          <w:p>
            <w:pPr>
              <w:spacing w:after="0"/>
              <w:rPr>
                <w:sz w:val="13"/>
                <w:szCs w:val="13"/>
                <w:color w:val="auto"/>
              </w:rPr>
            </w:pPr>
          </w:p>
        </w:tc>
        <w:tc>
          <w:tcPr>
            <w:tcW w:w="5200" w:type="dxa"/>
            <w:vAlign w:val="bottom"/>
            <w:tcBorders>
              <w:top w:val="single" w:sz="8" w:color="0000FF"/>
            </w:tcBorders>
            <w:gridSpan w:val="11"/>
          </w:tcPr>
          <w:p>
            <w:pPr>
              <w:spacing w:after="0" w:line="154" w:lineRule="exact"/>
              <w:rPr>
                <w:sz w:val="20"/>
                <w:szCs w:val="20"/>
                <w:color w:val="auto"/>
              </w:rPr>
            </w:pPr>
            <w:r>
              <w:rPr>
                <w:rFonts w:ascii="Arial" w:cs="Arial" w:eastAsia="Arial" w:hAnsi="Arial"/>
                <w:sz w:val="17"/>
                <w:szCs w:val="17"/>
                <w:color w:val="0000FF"/>
                <w:w w:val="94"/>
              </w:rPr>
              <w:t>Section 1350 as adopted pursuant to Section 906 of the Sarbanes-Oxley</w:t>
            </w:r>
          </w:p>
        </w:tc>
        <w:tc>
          <w:tcPr>
            <w:tcW w:w="80" w:type="dxa"/>
            <w:vAlign w:val="bottom"/>
            <w:gridSpan w:val="4"/>
          </w:tcPr>
          <w:p>
            <w:pPr>
              <w:spacing w:after="0"/>
              <w:rPr>
                <w:sz w:val="13"/>
                <w:szCs w:val="13"/>
                <w:color w:val="auto"/>
              </w:rPr>
            </w:pPr>
          </w:p>
        </w:tc>
        <w:tc>
          <w:tcPr>
            <w:tcW w:w="4760" w:type="dxa"/>
            <w:vAlign w:val="bottom"/>
          </w:tcPr>
          <w:p>
            <w:pPr>
              <w:spacing w:after="0"/>
              <w:rPr>
                <w:sz w:val="13"/>
                <w:szCs w:val="13"/>
                <w:color w:val="auto"/>
              </w:rPr>
            </w:pPr>
          </w:p>
        </w:tc>
      </w:tr>
      <w:tr>
        <w:trPr>
          <w:trHeight w:val="168"/>
        </w:trPr>
        <w:tc>
          <w:tcPr>
            <w:tcW w:w="1200" w:type="dxa"/>
            <w:vAlign w:val="bottom"/>
          </w:tcPr>
          <w:p>
            <w:pPr>
              <w:spacing w:after="0"/>
              <w:rPr>
                <w:sz w:val="14"/>
                <w:szCs w:val="14"/>
                <w:color w:val="auto"/>
              </w:rPr>
            </w:pPr>
          </w:p>
        </w:tc>
        <w:tc>
          <w:tcPr>
            <w:tcW w:w="5220" w:type="dxa"/>
            <w:vAlign w:val="bottom"/>
            <w:tcBorders>
              <w:top w:val="single" w:sz="8" w:color="0000FF"/>
            </w:tcBorders>
            <w:gridSpan w:val="12"/>
          </w:tcPr>
          <w:p>
            <w:pPr>
              <w:spacing w:after="0" w:line="168" w:lineRule="exact"/>
              <w:rPr>
                <w:sz w:val="20"/>
                <w:szCs w:val="20"/>
                <w:color w:val="auto"/>
              </w:rPr>
            </w:pPr>
            <w:r>
              <w:rPr>
                <w:rFonts w:ascii="Arial" w:cs="Arial" w:eastAsia="Arial" w:hAnsi="Arial"/>
                <w:sz w:val="18"/>
                <w:szCs w:val="18"/>
                <w:color w:val="0000FF"/>
              </w:rPr>
              <w:t>Act of 2002</w:t>
            </w:r>
          </w:p>
        </w:tc>
        <w:tc>
          <w:tcPr>
            <w:tcW w:w="60" w:type="dxa"/>
            <w:vAlign w:val="bottom"/>
            <w:gridSpan w:val="3"/>
          </w:tcPr>
          <w:p>
            <w:pPr>
              <w:spacing w:after="0"/>
              <w:rPr>
                <w:sz w:val="14"/>
                <w:szCs w:val="14"/>
                <w:color w:val="auto"/>
              </w:rPr>
            </w:pPr>
          </w:p>
        </w:tc>
        <w:tc>
          <w:tcPr>
            <w:tcW w:w="476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28"/>
        </w:trPr>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101.CAL</w:t>
            </w:r>
          </w:p>
        </w:tc>
        <w:tc>
          <w:tcPr>
            <w:tcW w:w="52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28"/>
        </w:trPr>
        <w:tc>
          <w:tcPr>
            <w:tcW w:w="1200" w:type="dxa"/>
            <w:vAlign w:val="bottom"/>
          </w:tcPr>
          <w:p>
            <w:pPr>
              <w:jc w:val="right"/>
              <w:ind w:right="30"/>
              <w:spacing w:after="0"/>
              <w:rPr>
                <w:sz w:val="20"/>
                <w:szCs w:val="20"/>
                <w:color w:val="auto"/>
              </w:rPr>
            </w:pPr>
            <w:r>
              <w:rPr>
                <w:rFonts w:ascii="Arial" w:cs="Arial" w:eastAsia="Arial" w:hAnsi="Arial"/>
                <w:sz w:val="18"/>
                <w:szCs w:val="18"/>
                <w:color w:val="auto"/>
              </w:rPr>
              <w:t>101.DEF</w:t>
            </w:r>
          </w:p>
        </w:tc>
        <w:tc>
          <w:tcPr>
            <w:tcW w:w="528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760" w:type="dxa"/>
            <w:vAlign w:val="bottom"/>
          </w:tcPr>
          <w:p>
            <w:pPr>
              <w:spacing w:after="0"/>
              <w:rPr>
                <w:sz w:val="20"/>
                <w:szCs w:val="20"/>
                <w:color w:val="auto"/>
              </w:rPr>
            </w:pPr>
            <w:r>
              <w:rPr>
                <w:rFonts w:ascii="Arial" w:cs="Arial" w:eastAsia="Arial" w:hAnsi="Arial"/>
                <w:sz w:val="18"/>
                <w:szCs w:val="18"/>
                <w:color w:val="auto"/>
              </w:rPr>
              <w:t>†††</w:t>
            </w:r>
          </w:p>
        </w:tc>
      </w:tr>
      <w:tr>
        <w:trPr>
          <w:trHeight w:val="175"/>
        </w:trPr>
        <w:tc>
          <w:tcPr>
            <w:tcW w:w="1200" w:type="dxa"/>
            <w:vAlign w:val="bottom"/>
            <w:shd w:val="clear" w:color="auto" w:fill="CCEEFF"/>
          </w:tcPr>
          <w:p>
            <w:pPr>
              <w:jc w:val="right"/>
              <w:ind w:right="30"/>
              <w:spacing w:after="0" w:line="175" w:lineRule="exact"/>
              <w:rPr>
                <w:sz w:val="20"/>
                <w:szCs w:val="20"/>
                <w:color w:val="auto"/>
              </w:rPr>
            </w:pPr>
            <w:r>
              <w:rPr>
                <w:rFonts w:ascii="Arial" w:cs="Arial" w:eastAsia="Arial" w:hAnsi="Arial"/>
                <w:sz w:val="18"/>
                <w:szCs w:val="18"/>
                <w:color w:val="auto"/>
              </w:rPr>
              <w:t>101.INS</w:t>
            </w:r>
          </w:p>
        </w:tc>
        <w:tc>
          <w:tcPr>
            <w:tcW w:w="5280" w:type="dxa"/>
            <w:vAlign w:val="bottom"/>
            <w:gridSpan w:val="15"/>
            <w:shd w:val="clear" w:color="auto" w:fill="CCEEFF"/>
          </w:tcPr>
          <w:p>
            <w:pPr>
              <w:spacing w:after="0" w:line="175" w:lineRule="exact"/>
              <w:rPr>
                <w:sz w:val="20"/>
                <w:szCs w:val="20"/>
                <w:color w:val="auto"/>
              </w:rPr>
            </w:pPr>
            <w:r>
              <w:rPr>
                <w:rFonts w:ascii="Arial" w:cs="Arial" w:eastAsia="Arial" w:hAnsi="Arial"/>
                <w:sz w:val="18"/>
                <w:szCs w:val="18"/>
                <w:color w:val="auto"/>
                <w:w w:val="94"/>
              </w:rPr>
              <w:t>XBRL Instance Document — The instance document does not appear</w:t>
            </w:r>
          </w:p>
        </w:tc>
        <w:tc>
          <w:tcPr>
            <w:tcW w:w="476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w:t>
            </w:r>
          </w:p>
        </w:tc>
      </w:tr>
      <w:tr>
        <w:trPr>
          <w:trHeight w:val="187"/>
        </w:trPr>
        <w:tc>
          <w:tcPr>
            <w:tcW w:w="1200" w:type="dxa"/>
            <w:vAlign w:val="bottom"/>
            <w:shd w:val="clear" w:color="auto" w:fill="CCEEFF"/>
          </w:tcPr>
          <w:p>
            <w:pPr>
              <w:spacing w:after="0"/>
              <w:rPr>
                <w:sz w:val="16"/>
                <w:szCs w:val="16"/>
                <w:color w:val="auto"/>
              </w:rPr>
            </w:pPr>
          </w:p>
        </w:tc>
        <w:tc>
          <w:tcPr>
            <w:tcW w:w="5280" w:type="dxa"/>
            <w:vAlign w:val="bottom"/>
            <w:gridSpan w:val="15"/>
            <w:shd w:val="clear" w:color="auto" w:fill="CCEEFF"/>
          </w:tcPr>
          <w:p>
            <w:pPr>
              <w:spacing w:after="0" w:line="188" w:lineRule="exact"/>
              <w:rPr>
                <w:sz w:val="20"/>
                <w:szCs w:val="20"/>
                <w:color w:val="auto"/>
              </w:rPr>
            </w:pPr>
            <w:r>
              <w:rPr>
                <w:rFonts w:ascii="Arial" w:cs="Arial" w:eastAsia="Arial" w:hAnsi="Arial"/>
                <w:sz w:val="18"/>
                <w:szCs w:val="18"/>
                <w:color w:val="auto"/>
                <w:w w:val="92"/>
              </w:rPr>
              <w:t>in the Interactive Data File because its XBRL tags are embedded within</w:t>
            </w:r>
          </w:p>
        </w:tc>
        <w:tc>
          <w:tcPr>
            <w:tcW w:w="4760" w:type="dxa"/>
            <w:vAlign w:val="bottom"/>
            <w:shd w:val="clear" w:color="auto" w:fill="CCEEFF"/>
          </w:tcPr>
          <w:p>
            <w:pPr>
              <w:spacing w:after="0"/>
              <w:rPr>
                <w:sz w:val="16"/>
                <w:szCs w:val="16"/>
                <w:color w:val="auto"/>
              </w:rPr>
            </w:pPr>
          </w:p>
        </w:tc>
      </w:tr>
      <w:tr>
        <w:trPr>
          <w:trHeight w:val="229"/>
        </w:trPr>
        <w:tc>
          <w:tcPr>
            <w:tcW w:w="1200" w:type="dxa"/>
            <w:vAlign w:val="bottom"/>
            <w:shd w:val="clear" w:color="auto" w:fill="CCEEFF"/>
          </w:tcPr>
          <w:p>
            <w:pPr>
              <w:spacing w:after="0"/>
              <w:rPr>
                <w:sz w:val="19"/>
                <w:szCs w:val="19"/>
                <w:color w:val="auto"/>
              </w:rPr>
            </w:pPr>
          </w:p>
        </w:tc>
        <w:tc>
          <w:tcPr>
            <w:tcW w:w="52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4760" w:type="dxa"/>
            <w:vAlign w:val="bottom"/>
            <w:shd w:val="clear" w:color="auto" w:fill="CCEEFF"/>
          </w:tcPr>
          <w:p>
            <w:pPr>
              <w:spacing w:after="0"/>
              <w:rPr>
                <w:sz w:val="19"/>
                <w:szCs w:val="19"/>
                <w:color w:val="auto"/>
              </w:rPr>
            </w:pPr>
          </w:p>
        </w:tc>
      </w:tr>
      <w:tr>
        <w:trPr>
          <w:trHeight w:val="228"/>
        </w:trPr>
        <w:tc>
          <w:tcPr>
            <w:tcW w:w="1200" w:type="dxa"/>
            <w:vAlign w:val="bottom"/>
          </w:tcPr>
          <w:p>
            <w:pPr>
              <w:jc w:val="right"/>
              <w:ind w:right="30"/>
              <w:spacing w:after="0"/>
              <w:rPr>
                <w:sz w:val="20"/>
                <w:szCs w:val="20"/>
                <w:color w:val="auto"/>
              </w:rPr>
            </w:pPr>
            <w:r>
              <w:rPr>
                <w:rFonts w:ascii="Arial" w:cs="Arial" w:eastAsia="Arial" w:hAnsi="Arial"/>
                <w:sz w:val="18"/>
                <w:szCs w:val="18"/>
                <w:color w:val="auto"/>
              </w:rPr>
              <w:t>101.LAB</w:t>
            </w:r>
          </w:p>
        </w:tc>
        <w:tc>
          <w:tcPr>
            <w:tcW w:w="528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4760" w:type="dxa"/>
            <w:vAlign w:val="bottom"/>
          </w:tcPr>
          <w:p>
            <w:pPr>
              <w:spacing w:after="0"/>
              <w:rPr>
                <w:sz w:val="20"/>
                <w:szCs w:val="20"/>
                <w:color w:val="auto"/>
              </w:rPr>
            </w:pPr>
            <w:r>
              <w:rPr>
                <w:rFonts w:ascii="Arial" w:cs="Arial" w:eastAsia="Arial" w:hAnsi="Arial"/>
                <w:sz w:val="18"/>
                <w:szCs w:val="18"/>
                <w:color w:val="auto"/>
              </w:rPr>
              <w:t>†††</w:t>
            </w:r>
          </w:p>
        </w:tc>
      </w:tr>
      <w:tr>
        <w:trPr>
          <w:trHeight w:val="228"/>
        </w:trPr>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101.PRE</w:t>
            </w:r>
          </w:p>
        </w:tc>
        <w:tc>
          <w:tcPr>
            <w:tcW w:w="52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30"/>
        </w:trPr>
        <w:tc>
          <w:tcPr>
            <w:tcW w:w="1200" w:type="dxa"/>
            <w:vAlign w:val="bottom"/>
          </w:tcPr>
          <w:p>
            <w:pPr>
              <w:jc w:val="right"/>
              <w:ind w:right="30"/>
              <w:spacing w:after="0"/>
              <w:rPr>
                <w:sz w:val="20"/>
                <w:szCs w:val="20"/>
                <w:color w:val="auto"/>
              </w:rPr>
            </w:pPr>
            <w:r>
              <w:rPr>
                <w:rFonts w:ascii="Arial" w:cs="Arial" w:eastAsia="Arial" w:hAnsi="Arial"/>
                <w:sz w:val="18"/>
                <w:szCs w:val="18"/>
                <w:color w:val="auto"/>
              </w:rPr>
              <w:t>101.SCH</w:t>
            </w:r>
          </w:p>
        </w:tc>
        <w:tc>
          <w:tcPr>
            <w:tcW w:w="528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47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2955" cy="2647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ind w:left="1200" w:hanging="391"/>
        <w:spacing w:after="0" w:line="218"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w:t>
      </w:r>
    </w:p>
    <w:p>
      <w:pPr>
        <w:ind w:left="1200"/>
        <w:spacing w:after="0"/>
        <w:rPr>
          <w:rFonts w:ascii="Arial" w:cs="Arial" w:eastAsia="Arial" w:hAnsi="Arial"/>
          <w:sz w:val="18"/>
          <w:szCs w:val="18"/>
          <w:color w:val="auto"/>
        </w:rPr>
      </w:pPr>
      <w:r>
        <w:rPr>
          <w:rFonts w:ascii="Arial" w:cs="Arial" w:eastAsia="Arial" w:hAnsi="Arial"/>
          <w:sz w:val="18"/>
          <w:szCs w:val="18"/>
          <w:color w:val="auto"/>
        </w:rPr>
        <w:t>document contained in Exhibit 101)</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6" w:lineRule="exact"/>
        <w:rPr>
          <w:sz w:val="20"/>
          <w:szCs w:val="20"/>
          <w:color w:val="auto"/>
        </w:rPr>
      </w:pPr>
    </w:p>
    <w:p>
      <w:pPr>
        <w:jc w:val="both"/>
        <w:ind w:firstLine="7"/>
        <w:spacing w:after="0" w:line="262" w:lineRule="auto"/>
        <w:tabs>
          <w:tab w:leader="none" w:pos="2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1" w:lineRule="exact"/>
        <w:rPr>
          <w:sz w:val="20"/>
          <w:szCs w:val="20"/>
          <w:color w:val="auto"/>
        </w:rPr>
      </w:pPr>
    </w:p>
    <w:p>
      <w:pPr>
        <w:jc w:val="both"/>
        <w:ind w:firstLine="7"/>
        <w:spacing w:after="0" w:line="284" w:lineRule="auto"/>
        <w:tabs>
          <w:tab w:leader="none" w:pos="406" w:val="left"/>
        </w:tabs>
        <w:numPr>
          <w:ilvl w:val="0"/>
          <w:numId w:val="46"/>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compensation plan or arrangement.</w:t>
      </w:r>
    </w:p>
    <w:p>
      <w:pPr>
        <w:spacing w:after="0" w:line="156" w:lineRule="exact"/>
        <w:rPr>
          <w:sz w:val="20"/>
          <w:szCs w:val="20"/>
          <w:color w:val="auto"/>
        </w:rPr>
      </w:pPr>
    </w:p>
    <w:p>
      <w:pPr>
        <w:ind w:firstLine="7"/>
        <w:spacing w:after="0" w:line="275" w:lineRule="auto"/>
        <w:tabs>
          <w:tab w:leader="none" w:pos="226"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 Portions of this exhibit have been omitted pursuant to a request for confidential treatment and this exhibit has been submitted separately to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60"/>
          </w:cols>
          <w:pgMar w:left="320" w:top="1039" w:right="8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2023</w:t>
      </w:r>
    </w:p>
    <w:p>
      <w:pPr>
        <w:spacing w:after="0" w:line="4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LendingTree, Inc.</w:t>
      </w:r>
    </w:p>
    <w:p>
      <w:pPr>
        <w:spacing w:after="0" w:line="246" w:lineRule="exact"/>
        <w:rPr>
          <w:sz w:val="20"/>
          <w:szCs w:val="20"/>
          <w:color w:val="auto"/>
        </w:rPr>
      </w:pPr>
    </w:p>
    <w:p>
      <w:pPr>
        <w:ind w:left="552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16510</wp:posOffset>
            </wp:positionV>
            <wp:extent cx="32080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1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each of Trent Ziegler and Lisa Young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2022,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125" w:lineRule="exact"/>
        <w:rPr>
          <w:sz w:val="20"/>
          <w:szCs w:val="20"/>
          <w:color w:val="auto"/>
        </w:rPr>
      </w:pPr>
    </w:p>
    <w:p>
      <w:pPr>
        <w:jc w:val="both"/>
        <w:ind w:firstLine="444"/>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860" w:type="dxa"/>
            <w:vAlign w:val="bottom"/>
            <w:gridSpan w:val="3"/>
          </w:tcPr>
          <w:p>
            <w:pPr>
              <w:ind w:left="13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DOUGLAS R. LEBDA</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Chairman, Chief Executive Officer and Director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82"/>
        </w:trPr>
        <w:tc>
          <w:tcPr>
            <w:tcW w:w="17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40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980" w:type="dxa"/>
            <w:vAlign w:val="bottom"/>
            <w:gridSpan w:val="3"/>
            <w:vMerge w:val="restart"/>
          </w:tcPr>
          <w:p>
            <w:pPr>
              <w:ind w:left="220"/>
              <w:spacing w:after="0"/>
              <w:rPr>
                <w:sz w:val="20"/>
                <w:szCs w:val="20"/>
                <w:color w:val="auto"/>
              </w:rPr>
            </w:pPr>
            <w:r>
              <w:rPr>
                <w:rFonts w:ascii="Arial" w:cs="Arial" w:eastAsia="Arial" w:hAnsi="Arial"/>
                <w:sz w:val="18"/>
                <w:szCs w:val="18"/>
                <w:color w:val="auto"/>
              </w:rPr>
              <w:t>Douglas R. Lebda</w:t>
            </w:r>
          </w:p>
        </w:tc>
        <w:tc>
          <w:tcPr>
            <w:tcW w:w="440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98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4"/>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TRENT ZIEGLER</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82"/>
        </w:trPr>
        <w:tc>
          <w:tcPr>
            <w:tcW w:w="17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40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980" w:type="dxa"/>
            <w:vAlign w:val="bottom"/>
            <w:gridSpan w:val="3"/>
            <w:vMerge w:val="restart"/>
          </w:tcPr>
          <w:p>
            <w:pPr>
              <w:ind w:left="220"/>
              <w:spacing w:after="0"/>
              <w:rPr>
                <w:sz w:val="20"/>
                <w:szCs w:val="20"/>
                <w:color w:val="auto"/>
              </w:rPr>
            </w:pPr>
            <w:r>
              <w:rPr>
                <w:rFonts w:ascii="Arial" w:cs="Arial" w:eastAsia="Arial" w:hAnsi="Arial"/>
                <w:sz w:val="18"/>
                <w:szCs w:val="18"/>
                <w:color w:val="auto"/>
              </w:rPr>
              <w:t>Trent Ziegler</w:t>
            </w:r>
          </w:p>
        </w:tc>
        <w:tc>
          <w:tcPr>
            <w:tcW w:w="440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98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4"/>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CARLA SHUMATE</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Senior Vice President and Chief Accounting Officer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82"/>
        </w:trPr>
        <w:tc>
          <w:tcPr>
            <w:tcW w:w="17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40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Accounting Officer)</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980" w:type="dxa"/>
            <w:vAlign w:val="bottom"/>
            <w:gridSpan w:val="3"/>
            <w:vMerge w:val="restart"/>
          </w:tcPr>
          <w:p>
            <w:pPr>
              <w:ind w:left="220"/>
              <w:spacing w:after="0"/>
              <w:rPr>
                <w:sz w:val="20"/>
                <w:szCs w:val="20"/>
                <w:color w:val="auto"/>
              </w:rPr>
            </w:pPr>
            <w:r>
              <w:rPr>
                <w:rFonts w:ascii="Arial" w:cs="Arial" w:eastAsia="Arial" w:hAnsi="Arial"/>
                <w:sz w:val="18"/>
                <w:szCs w:val="18"/>
                <w:color w:val="auto"/>
              </w:rPr>
              <w:t>Carla Shumate</w:t>
            </w:r>
          </w:p>
        </w:tc>
        <w:tc>
          <w:tcPr>
            <w:tcW w:w="440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98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6"/>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GABRIEL DALPORTO</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Gabriel Dalporto</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THOMAS DAVIDSON</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Thomas Davidson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MARK ERNST</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Mark Ernst</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ROBIN HENDERSON</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Robin Henderson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STEVEN OZONIAN</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Steven Ozonian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DIEGO RODRIGUEZ</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Diego Rodriguez</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SARAS SARASVATHY</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Saras Sarasvathy</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980" w:type="dxa"/>
            <w:vAlign w:val="bottom"/>
            <w:gridSpan w:val="3"/>
          </w:tcPr>
          <w:p>
            <w:pPr>
              <w:ind w:left="220"/>
              <w:spacing w:after="0"/>
              <w:rPr>
                <w:sz w:val="20"/>
                <w:szCs w:val="20"/>
                <w:color w:val="auto"/>
              </w:rPr>
            </w:pPr>
            <w:r>
              <w:rPr>
                <w:rFonts w:ascii="Arial" w:cs="Arial" w:eastAsia="Arial" w:hAnsi="Arial"/>
                <w:sz w:val="18"/>
                <w:szCs w:val="18"/>
                <w:b w:val="1"/>
                <w:bCs w:val="1"/>
                <w:color w:val="auto"/>
              </w:rPr>
              <w:t>/s/ G. KENNEDY THOMPSON</w:t>
            </w:r>
          </w:p>
        </w:tc>
        <w:tc>
          <w:tcPr>
            <w:tcW w:w="44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ind w:left="540"/>
              <w:spacing w:after="0"/>
              <w:rPr>
                <w:sz w:val="20"/>
                <w:szCs w:val="20"/>
                <w:color w:val="auto"/>
              </w:rPr>
            </w:pPr>
            <w:r>
              <w:rPr>
                <w:rFonts w:ascii="Arial" w:cs="Arial" w:eastAsia="Arial" w:hAnsi="Arial"/>
                <w:sz w:val="18"/>
                <w:szCs w:val="18"/>
                <w:color w:val="auto"/>
                <w:w w:val="88"/>
              </w:rPr>
              <w:t>February 27, 2023</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ind w:left="220"/>
              <w:spacing w:after="0"/>
              <w:rPr>
                <w:sz w:val="20"/>
                <w:szCs w:val="20"/>
                <w:color w:val="auto"/>
              </w:rPr>
            </w:pPr>
            <w:r>
              <w:rPr>
                <w:rFonts w:ascii="Arial" w:cs="Arial" w:eastAsia="Arial" w:hAnsi="Arial"/>
                <w:sz w:val="18"/>
                <w:szCs w:val="18"/>
                <w:color w:val="auto"/>
              </w:rPr>
              <w:t>G. Kennedy Thompson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1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1"/>
          <w:szCs w:val="21"/>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Restricted Stock Unit Award Granted Under the</w:t>
      </w:r>
    </w:p>
    <w:p>
      <w:pPr>
        <w:jc w:val="center"/>
        <w:spacing w:after="0"/>
        <w:rPr>
          <w:sz w:val="20"/>
          <w:szCs w:val="20"/>
          <w:color w:val="auto"/>
        </w:rPr>
      </w:pPr>
      <w:r>
        <w:rPr>
          <w:rFonts w:ascii="Arial" w:cs="Arial" w:eastAsia="Arial" w:hAnsi="Arial"/>
          <w:sz w:val="21"/>
          <w:szCs w:val="21"/>
          <w:b w:val="1"/>
          <w:bCs w:val="1"/>
          <w:color w:val="auto"/>
        </w:rPr>
        <w:t>Seventh Amended and Restated LendingTree, Inc. 2008 Stock Plan</w:t>
      </w:r>
    </w:p>
    <w:p>
      <w:pPr>
        <w:spacing w:after="0" w:line="164" w:lineRule="exact"/>
        <w:rPr>
          <w:sz w:val="20"/>
          <w:szCs w:val="20"/>
          <w:color w:val="auto"/>
        </w:rPr>
      </w:pPr>
    </w:p>
    <w:p>
      <w:pPr>
        <w:jc w:val="both"/>
        <w:spacing w:after="0" w:line="226" w:lineRule="auto"/>
        <w:rPr>
          <w:sz w:val="20"/>
          <w:szCs w:val="20"/>
          <w:color w:val="auto"/>
        </w:rPr>
      </w:pPr>
      <w:r>
        <w:rPr>
          <w:rFonts w:ascii="Arial" w:cs="Arial" w:eastAsia="Arial" w:hAnsi="Arial"/>
          <w:sz w:val="21"/>
          <w:szCs w:val="21"/>
          <w:b w:val="1"/>
          <w:bCs w:val="1"/>
          <w:u w:val="single" w:color="auto"/>
          <w:color w:val="auto"/>
        </w:rPr>
        <w:t>Important Note</w:t>
      </w:r>
      <w:r>
        <w:rPr>
          <w:rFonts w:ascii="Arial" w:cs="Arial" w:eastAsia="Arial" w:hAnsi="Arial"/>
          <w:sz w:val="21"/>
          <w:szCs w:val="21"/>
          <w:b w:val="1"/>
          <w:bCs w:val="1"/>
          <w:color w:val="auto"/>
        </w:rPr>
        <w:t>: You must login to your account to obtain other important information concerning this Award, such as a copy of the Seventh Amended and Restated LendingTree, Inc. 2008 Stock Plan as the same has been amended and restated from time to time up to the date of this Award (the “2008 Plan”) and the Terms and Conditions for Restricted Stock Unit Awards (the “Terms and Conditions”). You acknowledge that you have received copies of the 2008 Plan and the 2008 Plan’s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98" w:right="339" w:bottom="1440" w:gutter="0" w:footer="0" w:header="0"/>
        </w:sectPr>
      </w:pPr>
    </w:p>
    <w:bookmarkStart w:id="110" w:name="page111"/>
    <w:bookmarkEnd w:id="110"/>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20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Award Recipient:</w:t>
            </w:r>
          </w:p>
        </w:tc>
        <w:tc>
          <w:tcPr>
            <w:tcW w:w="8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%%FIRST_NAME_MIDDLE_NAME_LAST_NAME%-%</w:t>
            </w:r>
          </w:p>
        </w:tc>
        <w:tc>
          <w:tcPr>
            <w:tcW w:w="0" w:type="dxa"/>
            <w:vAlign w:val="bottom"/>
          </w:tcPr>
          <w:p>
            <w:pPr>
              <w:spacing w:after="0"/>
              <w:rPr>
                <w:sz w:val="1"/>
                <w:szCs w:val="1"/>
                <w:color w:val="auto"/>
              </w:rPr>
            </w:pPr>
          </w:p>
        </w:tc>
      </w:tr>
      <w:tr>
        <w:trPr>
          <w:trHeight w:val="258"/>
        </w:trPr>
        <w:tc>
          <w:tcPr>
            <w:tcW w:w="2080" w:type="dxa"/>
            <w:vAlign w:val="bottom"/>
            <w:tcBorders>
              <w:left w:val="single" w:sz="8" w:color="auto"/>
              <w:bottom w:val="single" w:sz="8" w:color="auto"/>
              <w:right w:val="single" w:sz="8" w:color="auto"/>
            </w:tcBorders>
          </w:tcPr>
          <w:p>
            <w:pPr>
              <w:spacing w:after="0"/>
              <w:rPr>
                <w:sz w:val="22"/>
                <w:szCs w:val="22"/>
                <w:color w:val="auto"/>
              </w:rPr>
            </w:pPr>
          </w:p>
        </w:tc>
        <w:tc>
          <w:tcPr>
            <w:tcW w:w="89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80" w:type="dxa"/>
            <w:vAlign w:val="bottom"/>
            <w:tcBorders>
              <w:left w:val="single" w:sz="8" w:color="auto"/>
              <w:right w:val="single" w:sz="8" w:color="auto"/>
            </w:tcBorders>
          </w:tcPr>
          <w:p>
            <w:pPr>
              <w:ind w:left="40"/>
              <w:spacing w:after="0" w:line="235" w:lineRule="exact"/>
              <w:rPr>
                <w:sz w:val="20"/>
                <w:szCs w:val="20"/>
                <w:color w:val="auto"/>
              </w:rPr>
            </w:pPr>
            <w:r>
              <w:rPr>
                <w:rFonts w:ascii="Arial" w:cs="Arial" w:eastAsia="Arial" w:hAnsi="Arial"/>
                <w:sz w:val="21"/>
                <w:szCs w:val="21"/>
                <w:b w:val="1"/>
                <w:bCs w:val="1"/>
                <w:color w:val="auto"/>
                <w:w w:val="94"/>
              </w:rPr>
              <w:t>Restricted Stock Unit</w:t>
            </w:r>
          </w:p>
        </w:tc>
        <w:tc>
          <w:tcPr>
            <w:tcW w:w="8940" w:type="dxa"/>
            <w:vAlign w:val="bottom"/>
            <w:tcBorders>
              <w:right w:val="single" w:sz="8" w:color="auto"/>
            </w:tcBorders>
          </w:tcPr>
          <w:p>
            <w:pPr>
              <w:ind w:left="180"/>
              <w:spacing w:after="0" w:line="235" w:lineRule="exact"/>
              <w:rPr>
                <w:sz w:val="20"/>
                <w:szCs w:val="20"/>
                <w:color w:val="auto"/>
              </w:rPr>
            </w:pPr>
            <w:r>
              <w:rPr>
                <w:rFonts w:ascii="Arial" w:cs="Arial" w:eastAsia="Arial" w:hAnsi="Arial"/>
                <w:sz w:val="21"/>
                <w:szCs w:val="21"/>
                <w:b w:val="1"/>
                <w:bCs w:val="1"/>
                <w:color w:val="auto"/>
              </w:rPr>
              <w:t>%%TOTAL_SHARES_GRANTED,'999,999,999'%-%</w:t>
            </w:r>
          </w:p>
        </w:tc>
        <w:tc>
          <w:tcPr>
            <w:tcW w:w="0" w:type="dxa"/>
            <w:vAlign w:val="bottom"/>
          </w:tcPr>
          <w:p>
            <w:pPr>
              <w:spacing w:after="0"/>
              <w:rPr>
                <w:sz w:val="1"/>
                <w:szCs w:val="1"/>
                <w:color w:val="auto"/>
              </w:rPr>
            </w:pPr>
          </w:p>
        </w:tc>
      </w:tr>
      <w:tr>
        <w:trPr>
          <w:trHeight w:val="280"/>
        </w:trPr>
        <w:tc>
          <w:tcPr>
            <w:tcW w:w="2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Award:</w:t>
            </w:r>
          </w:p>
        </w:tc>
        <w:tc>
          <w:tcPr>
            <w:tcW w:w="8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21"/>
                <w:szCs w:val="21"/>
                <w:color w:val="auto"/>
              </w:rPr>
              <w:t>Restricted stock units (“RSUs”) granted under the 2008 Plan.</w:t>
            </w:r>
          </w:p>
        </w:tc>
        <w:tc>
          <w:tcPr>
            <w:tcW w:w="0" w:type="dxa"/>
            <w:vAlign w:val="bottom"/>
          </w:tcPr>
          <w:p>
            <w:pPr>
              <w:spacing w:after="0"/>
              <w:rPr>
                <w:sz w:val="1"/>
                <w:szCs w:val="1"/>
                <w:color w:val="auto"/>
              </w:rPr>
            </w:pPr>
          </w:p>
        </w:tc>
      </w:tr>
      <w:tr>
        <w:trPr>
          <w:trHeight w:val="80"/>
        </w:trPr>
        <w:tc>
          <w:tcPr>
            <w:tcW w:w="2080" w:type="dxa"/>
            <w:vAlign w:val="bottom"/>
            <w:tcBorders>
              <w:left w:val="single" w:sz="8" w:color="auto"/>
              <w:right w:val="single" w:sz="8" w:color="auto"/>
            </w:tcBorders>
          </w:tcPr>
          <w:p>
            <w:pPr>
              <w:spacing w:after="0"/>
              <w:rPr>
                <w:sz w:val="6"/>
                <w:szCs w:val="6"/>
                <w:color w:val="auto"/>
              </w:rPr>
            </w:pPr>
          </w:p>
        </w:tc>
        <w:tc>
          <w:tcPr>
            <w:tcW w:w="89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8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Award Date:</w:t>
            </w: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%%OPTION_DATE,'MM/DD/YYYY'%-%</w:t>
            </w:r>
          </w:p>
        </w:tc>
        <w:tc>
          <w:tcPr>
            <w:tcW w:w="0" w:type="dxa"/>
            <w:vAlign w:val="bottom"/>
          </w:tcPr>
          <w:p>
            <w:pPr>
              <w:spacing w:after="0"/>
              <w:rPr>
                <w:sz w:val="1"/>
                <w:szCs w:val="1"/>
                <w:color w:val="auto"/>
              </w:rPr>
            </w:pPr>
          </w:p>
        </w:tc>
      </w:tr>
      <w:tr>
        <w:trPr>
          <w:trHeight w:val="258"/>
        </w:trPr>
        <w:tc>
          <w:tcPr>
            <w:tcW w:w="2080" w:type="dxa"/>
            <w:vAlign w:val="bottom"/>
            <w:tcBorders>
              <w:left w:val="single" w:sz="8" w:color="auto"/>
              <w:bottom w:val="single" w:sz="8" w:color="auto"/>
              <w:right w:val="single" w:sz="8" w:color="auto"/>
            </w:tcBorders>
          </w:tcPr>
          <w:p>
            <w:pPr>
              <w:spacing w:after="0"/>
              <w:rPr>
                <w:sz w:val="22"/>
                <w:szCs w:val="22"/>
                <w:color w:val="auto"/>
              </w:rPr>
            </w:pPr>
          </w:p>
        </w:tc>
        <w:tc>
          <w:tcPr>
            <w:tcW w:w="89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21"/>
                <w:szCs w:val="21"/>
                <w:b w:val="1"/>
                <w:bCs w:val="1"/>
                <w:color w:val="auto"/>
              </w:rPr>
              <w:t>Vesting Schedule:</w:t>
            </w:r>
          </w:p>
        </w:tc>
        <w:tc>
          <w:tcPr>
            <w:tcW w:w="89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21"/>
                <w:szCs w:val="21"/>
                <w:color w:val="auto"/>
                <w:w w:val="97"/>
              </w:rPr>
              <w:t>Subject to your continuous employment with LendingTree, Inc. or its Subsidiaries or Affiliates, your</w:t>
            </w: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8940" w:type="dxa"/>
            <w:vAlign w:val="bottom"/>
            <w:tcBorders>
              <w:right w:val="single" w:sz="8" w:color="auto"/>
            </w:tcBorders>
          </w:tcPr>
          <w:p>
            <w:pPr>
              <w:ind w:left="20"/>
              <w:spacing w:after="0" w:line="215" w:lineRule="exact"/>
              <w:rPr>
                <w:sz w:val="20"/>
                <w:szCs w:val="20"/>
                <w:color w:val="auto"/>
              </w:rPr>
            </w:pPr>
            <w:r>
              <w:rPr>
                <w:rFonts w:ascii="Arial" w:cs="Arial" w:eastAsia="Arial" w:hAnsi="Arial"/>
                <w:sz w:val="21"/>
                <w:szCs w:val="21"/>
                <w:color w:val="auto"/>
                <w:w w:val="97"/>
              </w:rPr>
              <w:t>RSUs shall, subject to the provisions of the 2008 Plan and the Terms and Conditions, vest and no</w:t>
            </w: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8940" w:type="dxa"/>
            <w:vAlign w:val="bottom"/>
            <w:tcBorders>
              <w:right w:val="single" w:sz="8" w:color="auto"/>
            </w:tcBorders>
          </w:tcPr>
          <w:p>
            <w:pPr>
              <w:ind w:left="20"/>
              <w:spacing w:after="0" w:line="215" w:lineRule="exact"/>
              <w:rPr>
                <w:sz w:val="20"/>
                <w:szCs w:val="20"/>
                <w:color w:val="auto"/>
              </w:rPr>
            </w:pPr>
            <w:r>
              <w:rPr>
                <w:rFonts w:ascii="Arial" w:cs="Arial" w:eastAsia="Arial" w:hAnsi="Arial"/>
                <w:sz w:val="21"/>
                <w:szCs w:val="21"/>
                <w:color w:val="auto"/>
                <w:w w:val="98"/>
              </w:rPr>
              <w:t>longer be subject to any restriction as of the vesting dates and the achievement of any applicable</w:t>
            </w:r>
          </w:p>
        </w:tc>
        <w:tc>
          <w:tcPr>
            <w:tcW w:w="0" w:type="dxa"/>
            <w:vAlign w:val="bottom"/>
          </w:tcPr>
          <w:p>
            <w:pPr>
              <w:spacing w:after="0"/>
              <w:rPr>
                <w:sz w:val="1"/>
                <w:szCs w:val="1"/>
                <w:color w:val="auto"/>
              </w:rPr>
            </w:pPr>
          </w:p>
        </w:tc>
      </w:tr>
      <w:tr>
        <w:trPr>
          <w:trHeight w:val="274"/>
        </w:trPr>
        <w:tc>
          <w:tcPr>
            <w:tcW w:w="2080" w:type="dxa"/>
            <w:vAlign w:val="bottom"/>
            <w:tcBorders>
              <w:left w:val="single" w:sz="8" w:color="auto"/>
              <w:right w:val="single" w:sz="8" w:color="auto"/>
            </w:tcBorders>
          </w:tcPr>
          <w:p>
            <w:pPr>
              <w:spacing w:after="0"/>
              <w:rPr>
                <w:sz w:val="23"/>
                <w:szCs w:val="23"/>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performance goals, as set forth below:</w:t>
            </w:r>
          </w:p>
        </w:tc>
        <w:tc>
          <w:tcPr>
            <w:tcW w:w="0" w:type="dxa"/>
            <w:vAlign w:val="bottom"/>
          </w:tcPr>
          <w:p>
            <w:pPr>
              <w:spacing w:after="0"/>
              <w:rPr>
                <w:sz w:val="1"/>
                <w:szCs w:val="1"/>
                <w:color w:val="auto"/>
              </w:rPr>
            </w:pPr>
          </w:p>
        </w:tc>
      </w:tr>
      <w:tr>
        <w:trPr>
          <w:trHeight w:val="371"/>
        </w:trPr>
        <w:tc>
          <w:tcPr>
            <w:tcW w:w="208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Vest Date</w:t>
            </w:r>
          </w:p>
        </w:tc>
        <w:tc>
          <w:tcPr>
            <w:tcW w:w="0" w:type="dxa"/>
            <w:vAlign w:val="bottom"/>
          </w:tcPr>
          <w:p>
            <w:pPr>
              <w:spacing w:after="0"/>
              <w:rPr>
                <w:sz w:val="1"/>
                <w:szCs w:val="1"/>
                <w:color w:val="auto"/>
              </w:rPr>
            </w:pPr>
          </w:p>
        </w:tc>
      </w:tr>
      <w:tr>
        <w:trPr>
          <w:trHeight w:val="274"/>
        </w:trPr>
        <w:tc>
          <w:tcPr>
            <w:tcW w:w="2080" w:type="dxa"/>
            <w:vAlign w:val="bottom"/>
            <w:tcBorders>
              <w:left w:val="single" w:sz="8" w:color="auto"/>
              <w:right w:val="single" w:sz="8" w:color="auto"/>
            </w:tcBorders>
          </w:tcPr>
          <w:p>
            <w:pPr>
              <w:spacing w:after="0"/>
              <w:rPr>
                <w:sz w:val="23"/>
                <w:szCs w:val="23"/>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RSUs Vesting</w:t>
            </w:r>
          </w:p>
        </w:tc>
        <w:tc>
          <w:tcPr>
            <w:tcW w:w="0" w:type="dxa"/>
            <w:vAlign w:val="bottom"/>
          </w:tcPr>
          <w:p>
            <w:pPr>
              <w:spacing w:after="0"/>
              <w:rPr>
                <w:sz w:val="1"/>
                <w:szCs w:val="1"/>
                <w:color w:val="auto"/>
              </w:rPr>
            </w:pPr>
          </w:p>
        </w:tc>
      </w:tr>
      <w:tr>
        <w:trPr>
          <w:trHeight w:val="371"/>
        </w:trPr>
        <w:tc>
          <w:tcPr>
            <w:tcW w:w="208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%%VEST_DATE_PERIOD1,'MM/DD/YYYY'%-%</w:t>
            </w:r>
          </w:p>
        </w:tc>
        <w:tc>
          <w:tcPr>
            <w:tcW w:w="0" w:type="dxa"/>
            <w:vAlign w:val="bottom"/>
          </w:tcPr>
          <w:p>
            <w:pPr>
              <w:spacing w:after="0"/>
              <w:rPr>
                <w:sz w:val="1"/>
                <w:szCs w:val="1"/>
                <w:color w:val="auto"/>
              </w:rPr>
            </w:pPr>
          </w:p>
        </w:tc>
      </w:tr>
      <w:tr>
        <w:trPr>
          <w:trHeight w:val="274"/>
        </w:trPr>
        <w:tc>
          <w:tcPr>
            <w:tcW w:w="2080" w:type="dxa"/>
            <w:vAlign w:val="bottom"/>
            <w:tcBorders>
              <w:left w:val="single" w:sz="8" w:color="auto"/>
              <w:right w:val="single" w:sz="8" w:color="auto"/>
            </w:tcBorders>
          </w:tcPr>
          <w:p>
            <w:pPr>
              <w:spacing w:after="0"/>
              <w:rPr>
                <w:sz w:val="23"/>
                <w:szCs w:val="23"/>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%%SHARES_PERIOD1,'999,999,999'%-%</w:t>
            </w:r>
          </w:p>
        </w:tc>
        <w:tc>
          <w:tcPr>
            <w:tcW w:w="0" w:type="dxa"/>
            <w:vAlign w:val="bottom"/>
          </w:tcPr>
          <w:p>
            <w:pPr>
              <w:spacing w:after="0"/>
              <w:rPr>
                <w:sz w:val="1"/>
                <w:szCs w:val="1"/>
                <w:color w:val="auto"/>
              </w:rPr>
            </w:pPr>
          </w:p>
        </w:tc>
      </w:tr>
      <w:tr>
        <w:trPr>
          <w:trHeight w:val="371"/>
        </w:trPr>
        <w:tc>
          <w:tcPr>
            <w:tcW w:w="208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%%VEST_DATE_PERIOD2,'MM/DD/YYYY'%-%</w:t>
            </w:r>
          </w:p>
        </w:tc>
        <w:tc>
          <w:tcPr>
            <w:tcW w:w="0" w:type="dxa"/>
            <w:vAlign w:val="bottom"/>
          </w:tcPr>
          <w:p>
            <w:pPr>
              <w:spacing w:after="0"/>
              <w:rPr>
                <w:sz w:val="1"/>
                <w:szCs w:val="1"/>
                <w:color w:val="auto"/>
              </w:rPr>
            </w:pPr>
          </w:p>
        </w:tc>
      </w:tr>
      <w:tr>
        <w:trPr>
          <w:trHeight w:val="274"/>
        </w:trPr>
        <w:tc>
          <w:tcPr>
            <w:tcW w:w="2080" w:type="dxa"/>
            <w:vAlign w:val="bottom"/>
            <w:tcBorders>
              <w:left w:val="single" w:sz="8" w:color="auto"/>
              <w:right w:val="single" w:sz="8" w:color="auto"/>
            </w:tcBorders>
          </w:tcPr>
          <w:p>
            <w:pPr>
              <w:spacing w:after="0"/>
              <w:rPr>
                <w:sz w:val="23"/>
                <w:szCs w:val="23"/>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%%SHARES_PERIOD2,'999,999,999'%-%</w:t>
            </w:r>
          </w:p>
        </w:tc>
        <w:tc>
          <w:tcPr>
            <w:tcW w:w="0" w:type="dxa"/>
            <w:vAlign w:val="bottom"/>
          </w:tcPr>
          <w:p>
            <w:pPr>
              <w:spacing w:after="0"/>
              <w:rPr>
                <w:sz w:val="1"/>
                <w:szCs w:val="1"/>
                <w:color w:val="auto"/>
              </w:rPr>
            </w:pPr>
          </w:p>
        </w:tc>
      </w:tr>
      <w:tr>
        <w:trPr>
          <w:trHeight w:val="371"/>
        </w:trPr>
        <w:tc>
          <w:tcPr>
            <w:tcW w:w="208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%%VEST_DATE_PERIOD3,'MM/DD/YYYY'%-%</w:t>
            </w:r>
          </w:p>
        </w:tc>
        <w:tc>
          <w:tcPr>
            <w:tcW w:w="0" w:type="dxa"/>
            <w:vAlign w:val="bottom"/>
          </w:tcPr>
          <w:p>
            <w:pPr>
              <w:spacing w:after="0"/>
              <w:rPr>
                <w:sz w:val="1"/>
                <w:szCs w:val="1"/>
                <w:color w:val="auto"/>
              </w:rPr>
            </w:pPr>
          </w:p>
        </w:tc>
      </w:tr>
      <w:tr>
        <w:trPr>
          <w:trHeight w:val="274"/>
        </w:trPr>
        <w:tc>
          <w:tcPr>
            <w:tcW w:w="2080" w:type="dxa"/>
            <w:vAlign w:val="bottom"/>
            <w:tcBorders>
              <w:left w:val="single" w:sz="8" w:color="auto"/>
              <w:right w:val="single" w:sz="8" w:color="auto"/>
            </w:tcBorders>
          </w:tcPr>
          <w:p>
            <w:pPr>
              <w:spacing w:after="0"/>
              <w:rPr>
                <w:sz w:val="23"/>
                <w:szCs w:val="23"/>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%%SHARES_PERIOD3,'999,999,999'%-%</w:t>
            </w:r>
          </w:p>
        </w:tc>
        <w:tc>
          <w:tcPr>
            <w:tcW w:w="0" w:type="dxa"/>
            <w:vAlign w:val="bottom"/>
          </w:tcPr>
          <w:p>
            <w:pPr>
              <w:spacing w:after="0"/>
              <w:rPr>
                <w:sz w:val="1"/>
                <w:szCs w:val="1"/>
                <w:color w:val="auto"/>
              </w:rPr>
            </w:pPr>
          </w:p>
        </w:tc>
      </w:tr>
      <w:tr>
        <w:trPr>
          <w:trHeight w:val="371"/>
        </w:trPr>
        <w:tc>
          <w:tcPr>
            <w:tcW w:w="208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%%VEST_DATE_PERIOD4,'MM/DD/YYYY'%-%</w:t>
            </w:r>
          </w:p>
        </w:tc>
        <w:tc>
          <w:tcPr>
            <w:tcW w:w="0" w:type="dxa"/>
            <w:vAlign w:val="bottom"/>
          </w:tcPr>
          <w:p>
            <w:pPr>
              <w:spacing w:after="0"/>
              <w:rPr>
                <w:sz w:val="1"/>
                <w:szCs w:val="1"/>
                <w:color w:val="auto"/>
              </w:rPr>
            </w:pPr>
          </w:p>
        </w:tc>
      </w:tr>
      <w:tr>
        <w:trPr>
          <w:trHeight w:val="274"/>
        </w:trPr>
        <w:tc>
          <w:tcPr>
            <w:tcW w:w="2080" w:type="dxa"/>
            <w:vAlign w:val="bottom"/>
            <w:tcBorders>
              <w:left w:val="single" w:sz="8" w:color="auto"/>
              <w:right w:val="single" w:sz="8" w:color="auto"/>
            </w:tcBorders>
          </w:tcPr>
          <w:p>
            <w:pPr>
              <w:spacing w:after="0"/>
              <w:rPr>
                <w:sz w:val="23"/>
                <w:szCs w:val="23"/>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%%SHARES_PERIOD4,'999,999,999'%-%</w:t>
            </w:r>
          </w:p>
        </w:tc>
        <w:tc>
          <w:tcPr>
            <w:tcW w:w="0" w:type="dxa"/>
            <w:vAlign w:val="bottom"/>
          </w:tcPr>
          <w:p>
            <w:pPr>
              <w:spacing w:after="0"/>
              <w:rPr>
                <w:sz w:val="1"/>
                <w:szCs w:val="1"/>
                <w:color w:val="auto"/>
              </w:rPr>
            </w:pPr>
          </w:p>
        </w:tc>
      </w:tr>
      <w:tr>
        <w:trPr>
          <w:trHeight w:val="586"/>
        </w:trPr>
        <w:tc>
          <w:tcPr>
            <w:tcW w:w="208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3"/>
              </w:rPr>
              <w:t>Each tranche of RSUs vesting on an applicable vest date shall be referred to as a “Tranche” and each</w:t>
            </w:r>
          </w:p>
        </w:tc>
        <w:tc>
          <w:tcPr>
            <w:tcW w:w="0" w:type="dxa"/>
            <w:vAlign w:val="bottom"/>
          </w:tcPr>
          <w:p>
            <w:pPr>
              <w:spacing w:after="0"/>
              <w:rPr>
                <w:sz w:val="1"/>
                <w:szCs w:val="1"/>
                <w:color w:val="auto"/>
              </w:rPr>
            </w:pPr>
          </w:p>
        </w:tc>
      </w:tr>
      <w:tr>
        <w:trPr>
          <w:trHeight w:val="274"/>
        </w:trPr>
        <w:tc>
          <w:tcPr>
            <w:tcW w:w="2080" w:type="dxa"/>
            <w:vAlign w:val="bottom"/>
            <w:tcBorders>
              <w:left w:val="single" w:sz="8" w:color="auto"/>
              <w:right w:val="single" w:sz="8" w:color="auto"/>
            </w:tcBorders>
          </w:tcPr>
          <w:p>
            <w:pPr>
              <w:spacing w:after="0"/>
              <w:rPr>
                <w:sz w:val="23"/>
                <w:szCs w:val="23"/>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such vest date shall be referred to as “Vest Date”.</w:t>
            </w:r>
          </w:p>
        </w:tc>
        <w:tc>
          <w:tcPr>
            <w:tcW w:w="0" w:type="dxa"/>
            <w:vAlign w:val="bottom"/>
          </w:tcPr>
          <w:p>
            <w:pPr>
              <w:spacing w:after="0"/>
              <w:rPr>
                <w:sz w:val="1"/>
                <w:szCs w:val="1"/>
                <w:color w:val="auto"/>
              </w:rPr>
            </w:pPr>
          </w:p>
        </w:tc>
      </w:tr>
      <w:tr>
        <w:trPr>
          <w:trHeight w:val="272"/>
        </w:trPr>
        <w:tc>
          <w:tcPr>
            <w:tcW w:w="2080" w:type="dxa"/>
            <w:vAlign w:val="bottom"/>
            <w:tcBorders>
              <w:left w:val="single" w:sz="8" w:color="auto"/>
              <w:bottom w:val="single" w:sz="8" w:color="auto"/>
              <w:right w:val="single" w:sz="8" w:color="auto"/>
            </w:tcBorders>
          </w:tcPr>
          <w:p>
            <w:pPr>
              <w:spacing w:after="0"/>
              <w:rPr>
                <w:sz w:val="23"/>
                <w:szCs w:val="23"/>
                <w:color w:val="auto"/>
              </w:rPr>
            </w:pPr>
          </w:p>
        </w:tc>
        <w:tc>
          <w:tcPr>
            <w:tcW w:w="89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21"/>
                <w:szCs w:val="21"/>
                <w:b w:val="1"/>
                <w:bCs w:val="1"/>
                <w:color w:val="auto"/>
              </w:rPr>
              <w:t>Impact of a</w:t>
            </w:r>
          </w:p>
        </w:tc>
        <w:tc>
          <w:tcPr>
            <w:tcW w:w="89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21"/>
                <w:szCs w:val="21"/>
                <w:color w:val="auto"/>
                <w:w w:val="99"/>
              </w:rPr>
              <w:t>Except as otherwise provided in the 2008 Plan or in the Terms and Conditions, or any Individual</w:t>
            </w: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ind w:left="40"/>
              <w:spacing w:after="0" w:line="215" w:lineRule="exact"/>
              <w:rPr>
                <w:sz w:val="20"/>
                <w:szCs w:val="20"/>
                <w:color w:val="auto"/>
              </w:rPr>
            </w:pPr>
            <w:r>
              <w:rPr>
                <w:rFonts w:ascii="Arial" w:cs="Arial" w:eastAsia="Arial" w:hAnsi="Arial"/>
                <w:sz w:val="21"/>
                <w:szCs w:val="21"/>
                <w:b w:val="1"/>
                <w:bCs w:val="1"/>
                <w:color w:val="auto"/>
              </w:rPr>
              <w:t>Termination of</w:t>
            </w:r>
          </w:p>
        </w:tc>
        <w:tc>
          <w:tcPr>
            <w:tcW w:w="8940" w:type="dxa"/>
            <w:vAlign w:val="bottom"/>
            <w:tcBorders>
              <w:right w:val="single" w:sz="8" w:color="auto"/>
            </w:tcBorders>
          </w:tcPr>
          <w:p>
            <w:pPr>
              <w:ind w:left="20"/>
              <w:spacing w:after="0" w:line="215" w:lineRule="exact"/>
              <w:rPr>
                <w:sz w:val="20"/>
                <w:szCs w:val="20"/>
                <w:color w:val="auto"/>
              </w:rPr>
            </w:pPr>
            <w:r>
              <w:rPr>
                <w:rFonts w:ascii="Arial" w:cs="Arial" w:eastAsia="Arial" w:hAnsi="Arial"/>
                <w:sz w:val="21"/>
                <w:szCs w:val="21"/>
                <w:color w:val="auto"/>
                <w:w w:val="98"/>
              </w:rPr>
              <w:t>Agreement, all of your unvested RSUs will be forfeited and canceled without consideration in their</w:t>
            </w:r>
          </w:p>
        </w:tc>
        <w:tc>
          <w:tcPr>
            <w:tcW w:w="0" w:type="dxa"/>
            <w:vAlign w:val="bottom"/>
          </w:tcPr>
          <w:p>
            <w:pPr>
              <w:spacing w:after="0"/>
              <w:rPr>
                <w:sz w:val="1"/>
                <w:szCs w:val="1"/>
                <w:color w:val="auto"/>
              </w:rPr>
            </w:pPr>
          </w:p>
        </w:tc>
      </w:tr>
      <w:tr>
        <w:trPr>
          <w:trHeight w:val="280"/>
        </w:trPr>
        <w:tc>
          <w:tcPr>
            <w:tcW w:w="2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Employment:</w:t>
            </w: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entirety upon a Termination of Employment.</w:t>
            </w:r>
          </w:p>
        </w:tc>
        <w:tc>
          <w:tcPr>
            <w:tcW w:w="0" w:type="dxa"/>
            <w:vAlign w:val="bottom"/>
          </w:tcPr>
          <w:p>
            <w:pPr>
              <w:spacing w:after="0"/>
              <w:rPr>
                <w:sz w:val="1"/>
                <w:szCs w:val="1"/>
                <w:color w:val="auto"/>
              </w:rPr>
            </w:pPr>
          </w:p>
        </w:tc>
      </w:tr>
      <w:tr>
        <w:trPr>
          <w:trHeight w:val="271"/>
        </w:trPr>
        <w:tc>
          <w:tcPr>
            <w:tcW w:w="2080" w:type="dxa"/>
            <w:vAlign w:val="bottom"/>
            <w:tcBorders>
              <w:left w:val="single" w:sz="8" w:color="auto"/>
              <w:bottom w:val="single" w:sz="8" w:color="auto"/>
              <w:right w:val="single" w:sz="8" w:color="auto"/>
            </w:tcBorders>
          </w:tcPr>
          <w:p>
            <w:pPr>
              <w:spacing w:after="0"/>
              <w:rPr>
                <w:sz w:val="23"/>
                <w:szCs w:val="23"/>
                <w:color w:val="auto"/>
              </w:rPr>
            </w:pPr>
          </w:p>
        </w:tc>
        <w:tc>
          <w:tcPr>
            <w:tcW w:w="89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21"/>
                <w:szCs w:val="21"/>
                <w:b w:val="1"/>
                <w:bCs w:val="1"/>
                <w:color w:val="auto"/>
              </w:rPr>
              <w:t>Terms and</w:t>
            </w:r>
          </w:p>
        </w:tc>
        <w:tc>
          <w:tcPr>
            <w:tcW w:w="89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21"/>
                <w:szCs w:val="21"/>
                <w:color w:val="auto"/>
                <w:w w:val="94"/>
              </w:rPr>
              <w:t>Capitalized terms used (but not defined) in this Award Notice shall have the meanings set forth in the</w:t>
            </w:r>
          </w:p>
        </w:tc>
        <w:tc>
          <w:tcPr>
            <w:tcW w:w="0" w:type="dxa"/>
            <w:vAlign w:val="bottom"/>
          </w:tcPr>
          <w:p>
            <w:pPr>
              <w:spacing w:after="0"/>
              <w:rPr>
                <w:sz w:val="1"/>
                <w:szCs w:val="1"/>
                <w:color w:val="auto"/>
              </w:rPr>
            </w:pPr>
          </w:p>
        </w:tc>
      </w:tr>
      <w:tr>
        <w:trPr>
          <w:trHeight w:val="280"/>
        </w:trPr>
        <w:tc>
          <w:tcPr>
            <w:tcW w:w="2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Conditions:</w:t>
            </w: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rPr>
              <w:t>2008 Plan.</w:t>
            </w:r>
          </w:p>
        </w:tc>
        <w:tc>
          <w:tcPr>
            <w:tcW w:w="0" w:type="dxa"/>
            <w:vAlign w:val="bottom"/>
          </w:tcPr>
          <w:p>
            <w:pPr>
              <w:spacing w:after="0"/>
              <w:rPr>
                <w:sz w:val="1"/>
                <w:szCs w:val="1"/>
                <w:color w:val="auto"/>
              </w:rPr>
            </w:pPr>
          </w:p>
        </w:tc>
      </w:tr>
      <w:tr>
        <w:trPr>
          <w:trHeight w:val="398"/>
        </w:trPr>
        <w:tc>
          <w:tcPr>
            <w:tcW w:w="2080" w:type="dxa"/>
            <w:vAlign w:val="bottom"/>
            <w:tcBorders>
              <w:left w:val="single" w:sz="8" w:color="auto"/>
              <w:right w:val="single" w:sz="8" w:color="auto"/>
            </w:tcBorders>
          </w:tcPr>
          <w:p>
            <w:pPr>
              <w:spacing w:after="0"/>
              <w:rPr>
                <w:sz w:val="24"/>
                <w:szCs w:val="24"/>
                <w:color w:val="auto"/>
              </w:rPr>
            </w:pPr>
          </w:p>
        </w:tc>
        <w:tc>
          <w:tcPr>
            <w:tcW w:w="8940" w:type="dxa"/>
            <w:vAlign w:val="bottom"/>
            <w:tcBorders>
              <w:right w:val="single" w:sz="8" w:color="auto"/>
            </w:tcBorders>
          </w:tcPr>
          <w:p>
            <w:pPr>
              <w:ind w:left="20"/>
              <w:spacing w:after="0"/>
              <w:rPr>
                <w:sz w:val="20"/>
                <w:szCs w:val="20"/>
                <w:color w:val="auto"/>
              </w:rPr>
            </w:pPr>
            <w:r>
              <w:rPr>
                <w:rFonts w:ascii="Arial" w:cs="Arial" w:eastAsia="Arial" w:hAnsi="Arial"/>
                <w:sz w:val="21"/>
                <w:szCs w:val="21"/>
                <w:color w:val="auto"/>
                <w:w w:val="93"/>
              </w:rPr>
              <w:t>Your RSUs are subject to the Terms and Conditions and the 2008 Plan. We strongly encourage you to</w:t>
            </w: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8940" w:type="dxa"/>
            <w:vAlign w:val="bottom"/>
            <w:tcBorders>
              <w:right w:val="single" w:sz="8" w:color="auto"/>
            </w:tcBorders>
          </w:tcPr>
          <w:p>
            <w:pPr>
              <w:ind w:left="20"/>
              <w:spacing w:after="0" w:line="215" w:lineRule="exact"/>
              <w:rPr>
                <w:sz w:val="20"/>
                <w:szCs w:val="20"/>
                <w:color w:val="auto"/>
              </w:rPr>
            </w:pPr>
            <w:r>
              <w:rPr>
                <w:rFonts w:ascii="Arial" w:cs="Arial" w:eastAsia="Arial" w:hAnsi="Arial"/>
                <w:sz w:val="21"/>
                <w:szCs w:val="21"/>
                <w:color w:val="auto"/>
                <w:w w:val="96"/>
              </w:rPr>
              <w:t>review the Terms and Conditions and the 2008 Plan. These documents will help provide you with a</w:t>
            </w:r>
          </w:p>
        </w:tc>
        <w:tc>
          <w:tcPr>
            <w:tcW w:w="0" w:type="dxa"/>
            <w:vAlign w:val="bottom"/>
          </w:tcPr>
          <w:p>
            <w:pPr>
              <w:spacing w:after="0"/>
              <w:rPr>
                <w:sz w:val="1"/>
                <w:szCs w:val="1"/>
                <w:color w:val="auto"/>
              </w:rPr>
            </w:pPr>
          </w:p>
        </w:tc>
      </w:tr>
      <w:tr>
        <w:trPr>
          <w:trHeight w:val="275"/>
        </w:trPr>
        <w:tc>
          <w:tcPr>
            <w:tcW w:w="2080" w:type="dxa"/>
            <w:vAlign w:val="bottom"/>
            <w:tcBorders>
              <w:left w:val="single" w:sz="8" w:color="auto"/>
              <w:bottom w:val="single" w:sz="8" w:color="auto"/>
              <w:right w:val="single" w:sz="8" w:color="auto"/>
            </w:tcBorders>
          </w:tcPr>
          <w:p>
            <w:pPr>
              <w:spacing w:after="0"/>
              <w:rPr>
                <w:sz w:val="23"/>
                <w:szCs w:val="23"/>
                <w:color w:val="auto"/>
              </w:rPr>
            </w:pPr>
          </w:p>
        </w:tc>
        <w:tc>
          <w:tcPr>
            <w:tcW w:w="8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full understanding of your RSU award.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20"/>
          </w:cols>
          <w:pgMar w:left="320" w:top="1440" w:right="559" w:bottom="1440" w:gutter="0" w:footer="0" w:header="0"/>
        </w:sectPr>
      </w:pPr>
    </w:p>
    <w:bookmarkStart w:id="111" w:name="page112"/>
    <w:bookmarkEnd w:id="111"/>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Terms and Conditions for Restricted Stock Unit Award</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94"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These Terms and Conditions apply to the restricted stock units (the “Award”) awarded to you by LendingTree, Inc. (“LendingTree” or the “Company”) pursuant to Section 7 of the Seventh Amended and Restated LendingTree, Inc. 2008 Stock Plan as the same has been amended and restated from time to time up to the date of this Award (the “2008 Plan”). You were notified of your Award by way of an award notice (the “Award Notice”). All capitalized terms used herein, to the extent not defined, shall have the meaning as set forth in the 2008 Plan.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Continuous Service</w:t>
      </w:r>
    </w:p>
    <w:p>
      <w:pPr>
        <w:spacing w:after="0" w:line="194"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Except as provided below, in order for RSUs to vest, you must be continuously employed by LendingTree or any of its Subsidiaries or Affiliates during the Restriction Period (as defined below) or as otherwise provided in the Vesting section below. Nothing in your Award Notice, these Terms and Conditions, or the 2008 Plan shall confer upon you any right to continue in the employ or service of LendingTree or any of its Subsidiaries or Affiliates or interfere in any way with their rights to terminate your employment or service at any time and for any or no reason.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Vesting</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Subject to the Award Notice, these Terms and Conditions and the 2008 Plan, the RSUs in respect to your Award, shall vest and no longer be subject to satisfaction of any restriction, including any applicable performance conditions, as set forth in the Vesting Schedule section of the Award Notice. The period during which restrictions apply is the “Restriction Period.”</w:t>
      </w:r>
    </w:p>
    <w:p>
      <w:pPr>
        <w:spacing w:after="0" w:line="150"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The vesting of your Award is conditioned upon your continuous employment with LendingTree or its Subsidiaries or Affiliates through each respective Vest Date, except as provided below.</w:t>
      </w:r>
    </w:p>
    <w:p>
      <w:pPr>
        <w:spacing w:after="0" w:line="152"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Notwithstanding the foregoing, 100% of your then-outstanding and unvested portion of your Award shall vest upon the occurrence of a Change in Control which occurs during your employment with LendingTree (or any Subsidiary or Affiliate). The term “Change in Control” is defined in the 2008 Plan, and includes certain events affecting LendingTree (not events only affecting specific businesses of LendingTree).</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Notwithstanding the foregoing, in the event you experience a Termination of Employment due to your death or Disability, then 100% of your then-outstanding and unvested portion of your Award shall vest upon such Termination of Employment.</w:t>
      </w:r>
    </w:p>
    <w:p>
      <w:pPr>
        <w:spacing w:after="0" w:line="1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Notwithstanding the foregoing, in the event you experience a “Qualifying Retirement” (as defined below) then you shall vest in the next Tranche of RSUs on the next scheduled Vest Date, that you would have vested in as though your Termination of Employment had occurred on such Vest Date, provided that you, after your Termination of Employment, (i) remain subject to and comply with all restrictive covenants set forth in your Restrictive Covenant Agreement (defined below), and (ii) shall not, directly or indirectly, including through another person, either for you or for any other person, own any interest in, manage, control, participate in, consult with, render services for, permit your name to be used in or in any other manner engage in, any for profit activities (including as an employee, partner, consultant, equityholder or otherwise), in each case of clause (i) and (ii), until such next Vest Date. Notwithstanding the foregoing, section (ii) of the immediately preceding sentence shall not prevent you from (X) serving on the boards of directors of non-profit organizations, (Y) participating in charitable, civic, educational, professional, community or industry activities, or (Z) managing your passive personal or family investments.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37"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For the purposes of this Award, a “Qualifying Retirement” means you (i) experienced a Termination of Employment due to your resignation for any reason (other than due to your death or Disability), provided that at such time no facts or circumstances exist that would constitute grounds for the Company to be able to terminate you for Cause and (ii) have satisfied the Rule of 65 (as defined below) prior to the effective date of your Termination of Employment.</w:t>
      </w:r>
    </w:p>
    <w:p>
      <w:pPr>
        <w:spacing w:after="0" w:line="157"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For the purposes of this Award, the “Rule of 65” means the sum of (i) your age in years and complete months (rounded to the nearest month) upon the effective date of your Termination of Employment and (ii) your years and complete months (rounded to the nearest month) of service with the Company, a Subsidiary, or Affiliate (or a predecessor of each, as applicable) is equal to or exceeds sixty five (65), provided that your age as calculated under (i) shall be no less than sixty (60) and your years of service calculated under (ii) shall be no less than five (5).</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of Employment</w:t>
      </w:r>
    </w:p>
    <w:p>
      <w:pPr>
        <w:spacing w:after="0" w:line="194" w:lineRule="exact"/>
        <w:rPr>
          <w:sz w:val="20"/>
          <w:szCs w:val="20"/>
          <w:color w:val="auto"/>
        </w:rPr>
      </w:pPr>
    </w:p>
    <w:p>
      <w:pPr>
        <w:jc w:val="both"/>
        <w:spacing w:after="0" w:line="233" w:lineRule="auto"/>
        <w:rPr>
          <w:sz w:val="20"/>
          <w:szCs w:val="20"/>
          <w:color w:val="auto"/>
        </w:rPr>
      </w:pPr>
      <w:r>
        <w:rPr>
          <w:rFonts w:ascii="Arial" w:cs="Arial" w:eastAsia="Arial" w:hAnsi="Arial"/>
          <w:sz w:val="21"/>
          <w:szCs w:val="21"/>
          <w:color w:val="auto"/>
        </w:rPr>
        <w:t>Upon your Termination of Employment with LendingTree or any of its Subsidiaries or Affiliates during the Restriction Period for any reason, any unvested portion of this RSU Award shall be forfeited and canceled in its entirety without consideration effective immediately upon such Termination of Employment.</w:t>
      </w:r>
    </w:p>
    <w:p>
      <w:pPr>
        <w:spacing w:after="0" w:line="15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the avoidance of doubt, transfers of employment among the Company and its Subsidiaries and Affiliates, without any break in service, is not a Termination of Employment.</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Settlement</w:t>
      </w:r>
    </w:p>
    <w:p>
      <w:pPr>
        <w:spacing w:after="0" w:line="19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Subject to your satisfaction of the tax obligations described immediately below under “Taxes and Withholding,” as soon as practicable after any RSUs in respect of your Award have vested and are no longer subject to the restrictions that apply during the Restriction Period (but in no event later than two and one-half months after the end of the fiscal year in which the RSUs vest), such RSUs shall be settled. For each RSU settled, LendingTree shall issue one Share (or cash equivalent) for each RSU that has vested. Notwithstanding the foregoing, LendingTree shall be entitled to hold the Shares or cash issuable to you upon settlement of all RSUs that have vested until LendingTree or the agent selected by LendingTree to administer the 2008 Plan (the “Agent”) has received from you (i) a duly executed Form W-9 or W-8 and (ii) payment for any federal, state, local or foreign taxes of any kind required by law to be withheld with respect to such RSUs.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Taxes and Withholding</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No later than the date as of which an amount in respect of any RSUs first becomes includable in your gross income for federal, state, local or foreign income or employment or other tax purposes, LendingTree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RSUs that gives rise to the withholding requirement. In the event Shares are deducted to cover tax withholdings, the number of Shares withheld shall generally have a Fair Market Value equal to the aggregate amount of LendingTree’s withholding obligation on the date of settlement. If the event that any such deduction and/or withholding is prohibited by law, you shall, prior to or contemporaneously with the settlement of your RSUs, be required to pay to LendingTree, or make arrangements satisfactory to LendingTree regarding the payment of, any federal, state, local or foreign taxes of any kind required by law to be withheld with respect to such amount.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Non-Transferability of the RSUs</w:t>
      </w:r>
    </w:p>
    <w:p>
      <w:pPr>
        <w:spacing w:after="0" w:line="194"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Until such time as your RSUs are ultimately settled, they shall not be transferable by you by means of sale, assignment, exchange, encumbrance, pledge, hedge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 Rights as a Stockholder</w:t>
      </w:r>
    </w:p>
    <w:p>
      <w:pPr>
        <w:spacing w:after="0" w:line="19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Except as otherwise specifically provided in the 2008 Plan, unless and until your RSUs are settled with Shares, you shall not be entitled to any rights of a stockholder with respect to the RSUs (including the right to vote the underlying Shares or receive dividends). Notwithstanding the foregoing, if LendingTree declares and pays dividends on the Common Stock during the Restriction Period for particular RSUs in respect of your Award, you will be credited with additional amounts for each RSU underlying such Award equal to the dividend that would have been paid with respect to such RSU as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(and shall be settled at the same time as the underlying RSUs and also subject to satisfaction of tax withholding).</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Restrictive Covenants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Your acceptance of your RSUs shall be conditioned upon, and subject to, the execution of a separate restrictive covenant agreement in a form to be provided by the Company at the time of the Award Date (the “Restrictive Covenant Agreement”).</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Restrictions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RSUs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of RSUs shall not be effective unless such listing, registration, qualification, consent or approval shall have been effected or obtained free of any conditions not acceptable to the Committee.</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Conflicts and Interpretation</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In the event of any conflict between these Terms and Conditions and the 2008 Plan, the 2008 Plan shall control; provided, that an action or provision that is permissive under the terms of the 2008 Plan, 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LendingTree’s intranet or given to you directly or indirectly through the Agent (including information posted on </w:t>
      </w:r>
      <w:r>
        <w:rPr>
          <w:rFonts w:ascii="Arial" w:cs="Arial" w:eastAsia="Arial" w:hAnsi="Arial"/>
          <w:sz w:val="19"/>
          <w:szCs w:val="19"/>
          <w:u w:val="single" w:color="auto"/>
          <w:color w:val="0000FF"/>
        </w:rPr>
        <w:t>https://us.etrade.com/stock-plans</w:t>
      </w:r>
      <w:r>
        <w:rPr>
          <w:rFonts w:ascii="Arial" w:cs="Arial" w:eastAsia="Arial" w:hAnsi="Arial"/>
          <w:sz w:val="19"/>
          <w:szCs w:val="19"/>
          <w:color w:val="auto"/>
        </w:rPr>
        <w:t xml:space="preserve">)) and LendingTree’s books and records, or (ii) ambiguity in the Award Notice (or any information posted on LendingTree’s intranet or given to you directly or indirectly through the Agent (including information posted on </w:t>
      </w:r>
      <w:r>
        <w:rPr>
          <w:rFonts w:ascii="Arial" w:cs="Arial" w:eastAsia="Arial" w:hAnsi="Arial"/>
          <w:sz w:val="19"/>
          <w:szCs w:val="19"/>
          <w:u w:val="single" w:color="auto"/>
          <w:color w:val="0000FF"/>
        </w:rPr>
        <w:t>https://us.etrade.com/stock-plans</w:t>
      </w:r>
      <w:r>
        <w:rPr>
          <w:rFonts w:ascii="Arial" w:cs="Arial" w:eastAsia="Arial" w:hAnsi="Arial"/>
          <w:sz w:val="19"/>
          <w:szCs w:val="19"/>
          <w:color w:val="auto"/>
        </w:rPr>
        <w:t>)), LendingTree’s books and records shall control.</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Amendment</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LendingTree may modify, amend or waive the terms of your RSUs, prospectively or retroactively, but no such modification, amendment or waiver shall materially impair your rights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37" w:lineRule="exact"/>
        <w:rPr>
          <w:sz w:val="20"/>
          <w:szCs w:val="20"/>
          <w:color w:val="auto"/>
        </w:rPr>
      </w:pPr>
    </w:p>
    <w:p>
      <w:pPr>
        <w:ind w:right="520"/>
        <w:spacing w:after="0" w:line="427" w:lineRule="auto"/>
        <w:rPr>
          <w:sz w:val="20"/>
          <w:szCs w:val="20"/>
          <w:color w:val="auto"/>
        </w:rPr>
      </w:pPr>
      <w:r>
        <w:rPr>
          <w:rFonts w:ascii="Arial" w:cs="Arial" w:eastAsia="Arial" w:hAnsi="Arial"/>
          <w:sz w:val="21"/>
          <w:szCs w:val="21"/>
          <w:color w:val="auto"/>
        </w:rPr>
        <w:t xml:space="preserve">without your consent, except as required by applicable law, NASDAQ or stock exchange rules, tax rules or accounting rules. </w:t>
      </w:r>
      <w:r>
        <w:rPr>
          <w:rFonts w:ascii="Arial" w:cs="Arial" w:eastAsia="Arial" w:hAnsi="Arial"/>
          <w:sz w:val="21"/>
          <w:szCs w:val="21"/>
          <w:b w:val="1"/>
          <w:bCs w:val="1"/>
          <w:color w:val="auto"/>
        </w:rPr>
        <w:t>Data Protection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acceptance of your RSUs constitutes your authorization of the release from time to time to LendingTree or any of its Subsidiaries or Affiliates and to the Agent (together, the “Relevant Companies”) of any and all personal or professional data that is necessary or desirable for the administration of your RSUs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RSUs and/or the 2008 Plan and/or to implement or structure any further grants of equity awards (if any)). The acceptance of your RSUs also constitutes your authorization of the transfer of the Relevant Information to any jurisdiction in which LendingTree, your employing company or the Agent considers appropriate. You shall have access to, and the right to change, the Relevant Information, which will only be used in accordance with applicable law.</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Sections 409A, 280G and 4999 of the Code</w:t>
      </w:r>
    </w:p>
    <w:p>
      <w:pPr>
        <w:spacing w:after="0" w:line="194" w:lineRule="exact"/>
        <w:rPr>
          <w:sz w:val="20"/>
          <w:szCs w:val="20"/>
          <w:color w:val="auto"/>
        </w:rPr>
      </w:pPr>
    </w:p>
    <w:p>
      <w:pPr>
        <w:jc w:val="both"/>
        <w:spacing w:after="0" w:line="228" w:lineRule="auto"/>
        <w:rPr>
          <w:sz w:val="20"/>
          <w:szCs w:val="20"/>
          <w:color w:val="auto"/>
        </w:rPr>
      </w:pPr>
      <w:r>
        <w:rPr>
          <w:rFonts w:ascii="Arial" w:cs="Arial" w:eastAsia="Arial" w:hAnsi="Arial"/>
          <w:sz w:val="21"/>
          <w:szCs w:val="21"/>
          <w:color w:val="auto"/>
        </w:rPr>
        <w:t xml:space="preserve">Your Award is not intended to constitute “nonqualified deferred compensation” within the meaning of Section 409A of the Code and related rules and regulations (“Section 409A”). In no event shall LendingTree be required </w:t>
      </w:r>
      <w:r>
        <w:rPr>
          <w:rFonts w:ascii="Arial" w:cs="Arial" w:eastAsia="Arial" w:hAnsi="Arial"/>
          <w:sz w:val="21"/>
          <w:szCs w:val="21"/>
          <w:b w:val="1"/>
          <w:bCs w:val="1"/>
          <w:color w:val="auto"/>
        </w:rPr>
        <w:t>t</w:t>
      </w:r>
      <w:r>
        <w:rPr>
          <w:rFonts w:ascii="Arial" w:cs="Arial" w:eastAsia="Arial" w:hAnsi="Arial"/>
          <w:sz w:val="21"/>
          <w:szCs w:val="21"/>
          <w:color w:val="auto"/>
        </w:rPr>
        <w:t>o pay you any “gross-up” or other payment with respect to any taxes or penalties imposed under Section 409A (or Code Section 280G or 4999) with respect to any amounts or benefits paid to you in respect of your Award.</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Notification of Changes</w:t>
      </w:r>
    </w:p>
    <w:p>
      <w:pPr>
        <w:spacing w:after="0" w:line="194" w:lineRule="exact"/>
        <w:rPr>
          <w:sz w:val="20"/>
          <w:szCs w:val="20"/>
          <w:color w:val="auto"/>
        </w:rPr>
      </w:pPr>
    </w:p>
    <w:p>
      <w:pPr>
        <w:jc w:val="both"/>
        <w:spacing w:after="0" w:line="233" w:lineRule="auto"/>
        <w:rPr>
          <w:sz w:val="20"/>
          <w:szCs w:val="20"/>
          <w:color w:val="auto"/>
        </w:rPr>
      </w:pPr>
      <w:r>
        <w:rPr>
          <w:rFonts w:ascii="Arial" w:cs="Arial" w:eastAsia="Arial" w:hAnsi="Arial"/>
          <w:sz w:val="21"/>
          <w:szCs w:val="21"/>
          <w:color w:val="auto"/>
        </w:rPr>
        <w:t>Any changes to these Terms and Conditions shall either be posted on LendingTree’s intranet or communicated (either directly by LendingTree or indirectly through any of its Subsidiaries, Affiliates or the Agent) to you electronically via e-mail (or otherwise in writing) after such change becomes effective.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00" w:type="dxa"/>
            <w:vAlign w:val="bottom"/>
            <w:gridSpan w:val="2"/>
          </w:tcPr>
          <w:p>
            <w:pPr>
              <w:ind w:left="698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914"/>
        </w:trPr>
        <w:tc>
          <w:tcPr>
            <w:tcW w:w="3300" w:type="dxa"/>
            <w:vAlign w:val="bottom"/>
          </w:tcPr>
          <w:p>
            <w:pPr>
              <w:spacing w:after="0"/>
              <w:rPr>
                <w:sz w:val="24"/>
                <w:szCs w:val="24"/>
                <w:color w:val="auto"/>
              </w:rPr>
            </w:pPr>
          </w:p>
        </w:tc>
        <w:tc>
          <w:tcPr>
            <w:tcW w:w="7900" w:type="dxa"/>
            <w:vAlign w:val="bottom"/>
            <w:gridSpan w:val="2"/>
          </w:tcPr>
          <w:p>
            <w:pPr>
              <w:ind w:left="580"/>
              <w:spacing w:after="0"/>
              <w:rPr>
                <w:sz w:val="20"/>
                <w:szCs w:val="20"/>
                <w:color w:val="auto"/>
              </w:rPr>
            </w:pPr>
            <w:r>
              <w:rPr>
                <w:rFonts w:ascii="Arial" w:cs="Arial" w:eastAsia="Arial" w:hAnsi="Arial"/>
                <w:sz w:val="18"/>
                <w:szCs w:val="18"/>
                <w:b w:val="1"/>
                <w:bCs w:val="1"/>
                <w:color w:val="auto"/>
              </w:rPr>
              <w:t>SUBSIDIARIES OF LENDINGTREE, INC.</w:t>
            </w:r>
          </w:p>
        </w:tc>
        <w:tc>
          <w:tcPr>
            <w:tcW w:w="0" w:type="dxa"/>
            <w:vAlign w:val="bottom"/>
          </w:tcPr>
          <w:p>
            <w:pPr>
              <w:spacing w:after="0"/>
              <w:rPr>
                <w:sz w:val="1"/>
                <w:szCs w:val="1"/>
                <w:color w:val="auto"/>
              </w:rPr>
            </w:pPr>
          </w:p>
        </w:tc>
      </w:tr>
      <w:tr>
        <w:trPr>
          <w:trHeight w:val="246"/>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900" w:type="dxa"/>
            <w:vAlign w:val="bottom"/>
            <w:gridSpan w:val="2"/>
          </w:tcPr>
          <w:p>
            <w:pPr>
              <w:jc w:val="center"/>
              <w:ind w:left="6373"/>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91"/>
        </w:trPr>
        <w:tc>
          <w:tcPr>
            <w:tcW w:w="3300" w:type="dxa"/>
            <w:vAlign w:val="bottom"/>
            <w:vMerge w:val="continue"/>
          </w:tcPr>
          <w:p>
            <w:pPr>
              <w:spacing w:after="0"/>
              <w:rPr>
                <w:sz w:val="16"/>
                <w:szCs w:val="16"/>
                <w:color w:val="auto"/>
              </w:rPr>
            </w:pPr>
          </w:p>
        </w:tc>
        <w:tc>
          <w:tcPr>
            <w:tcW w:w="7900" w:type="dxa"/>
            <w:vAlign w:val="bottom"/>
            <w:gridSpan w:val="2"/>
          </w:tcPr>
          <w:p>
            <w:pPr>
              <w:jc w:val="center"/>
              <w:ind w:left="6373"/>
              <w:spacing w:after="0"/>
              <w:rPr>
                <w:sz w:val="20"/>
                <w:szCs w:val="20"/>
                <w:color w:val="auto"/>
              </w:rPr>
            </w:pPr>
            <w:r>
              <w:rPr>
                <w:rFonts w:ascii="Arial" w:cs="Arial" w:eastAsia="Arial" w:hAnsi="Arial"/>
                <w:sz w:val="14"/>
                <w:szCs w:val="14"/>
                <w:b w:val="1"/>
                <w:bCs w:val="1"/>
                <w:color w:val="auto"/>
                <w:w w:val="93"/>
              </w:rPr>
              <w:t>Formation</w:t>
            </w:r>
          </w:p>
        </w:tc>
        <w:tc>
          <w:tcPr>
            <w:tcW w:w="0" w:type="dxa"/>
            <w:vAlign w:val="bottom"/>
          </w:tcPr>
          <w:p>
            <w:pPr>
              <w:spacing w:after="0"/>
              <w:rPr>
                <w:sz w:val="1"/>
                <w:szCs w:val="1"/>
                <w:color w:val="auto"/>
              </w:rPr>
            </w:pPr>
          </w:p>
        </w:tc>
      </w:tr>
      <w:tr>
        <w:trPr>
          <w:trHeight w:val="228"/>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LendingTree, LLC</w:t>
            </w:r>
          </w:p>
        </w:tc>
        <w:tc>
          <w:tcPr>
            <w:tcW w:w="7880" w:type="dxa"/>
            <w:vAlign w:val="bottom"/>
            <w:tcBorders>
              <w:top w:val="single" w:sz="8" w:color="auto"/>
            </w:tcBorders>
            <w:shd w:val="clear" w:color="auto" w:fill="CCEEFF"/>
          </w:tcPr>
          <w:p>
            <w:pPr>
              <w:jc w:val="center"/>
              <w:ind w:left="6393"/>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8"/>
                <w:szCs w:val="18"/>
                <w:color w:val="auto"/>
              </w:rPr>
              <w:t>Tree.com BU Holding Company, Inc.</w:t>
            </w:r>
          </w:p>
        </w:tc>
        <w:tc>
          <w:tcPr>
            <w:tcW w:w="7880" w:type="dxa"/>
            <w:vAlign w:val="bottom"/>
          </w:tcPr>
          <w:p>
            <w:pPr>
              <w:jc w:val="center"/>
              <w:ind w:left="6393"/>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DegreeTree, Inc.</w:t>
            </w:r>
          </w:p>
        </w:tc>
        <w:tc>
          <w:tcPr>
            <w:tcW w:w="7880" w:type="dxa"/>
            <w:vAlign w:val="bottom"/>
            <w:shd w:val="clear" w:color="auto" w:fill="CCEEFF"/>
          </w:tcPr>
          <w:p>
            <w:pPr>
              <w:jc w:val="center"/>
              <w:ind w:left="6393"/>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8"/>
                <w:szCs w:val="18"/>
                <w:color w:val="auto"/>
              </w:rPr>
              <w:t>LT India Holding Company, LLC</w:t>
            </w:r>
          </w:p>
        </w:tc>
        <w:tc>
          <w:tcPr>
            <w:tcW w:w="7880" w:type="dxa"/>
            <w:vAlign w:val="bottom"/>
          </w:tcPr>
          <w:p>
            <w:pPr>
              <w:jc w:val="center"/>
              <w:ind w:left="6393"/>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LendingTree Research Services LLP</w:t>
            </w:r>
          </w:p>
        </w:tc>
        <w:tc>
          <w:tcPr>
            <w:tcW w:w="7880" w:type="dxa"/>
            <w:vAlign w:val="bottom"/>
            <w:shd w:val="clear" w:color="auto" w:fill="CCEEFF"/>
          </w:tcPr>
          <w:p>
            <w:pPr>
              <w:jc w:val="center"/>
              <w:ind w:left="6393"/>
              <w:spacing w:after="0"/>
              <w:rPr>
                <w:sz w:val="20"/>
                <w:szCs w:val="20"/>
                <w:color w:val="auto"/>
              </w:rPr>
            </w:pPr>
            <w:r>
              <w:rPr>
                <w:rFonts w:ascii="Arial" w:cs="Arial" w:eastAsia="Arial" w:hAnsi="Arial"/>
                <w:sz w:val="18"/>
                <w:szCs w:val="18"/>
                <w:color w:val="auto"/>
                <w:w w:val="92"/>
              </w:rPr>
              <w:t>India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8"/>
                <w:szCs w:val="18"/>
                <w:color w:val="auto"/>
              </w:rPr>
              <w:t>Ovation Credit Services, Inc.</w:t>
            </w:r>
          </w:p>
        </w:tc>
        <w:tc>
          <w:tcPr>
            <w:tcW w:w="7880" w:type="dxa"/>
            <w:vAlign w:val="bottom"/>
          </w:tcPr>
          <w:p>
            <w:pPr>
              <w:jc w:val="center"/>
              <w:ind w:left="6393"/>
              <w:spacing w:after="0"/>
              <w:rPr>
                <w:sz w:val="20"/>
                <w:szCs w:val="20"/>
                <w:color w:val="auto"/>
              </w:rPr>
            </w:pPr>
            <w:r>
              <w:rPr>
                <w:rFonts w:ascii="Arial" w:cs="Arial" w:eastAsia="Arial" w:hAnsi="Arial"/>
                <w:sz w:val="18"/>
                <w:szCs w:val="18"/>
                <w:color w:val="auto"/>
                <w:w w:val="94"/>
              </w:rPr>
              <w:t>FL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QuoteWizard.com, LLC</w:t>
            </w:r>
          </w:p>
        </w:tc>
        <w:tc>
          <w:tcPr>
            <w:tcW w:w="7880" w:type="dxa"/>
            <w:vAlign w:val="bottom"/>
            <w:shd w:val="clear" w:color="auto" w:fill="CCEEFF"/>
          </w:tcPr>
          <w:p>
            <w:pPr>
              <w:jc w:val="center"/>
              <w:ind w:left="6393"/>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8"/>
                <w:szCs w:val="18"/>
                <w:color w:val="auto"/>
              </w:rPr>
              <w:t>QW Insurance Solutions, LLC</w:t>
            </w:r>
          </w:p>
        </w:tc>
        <w:tc>
          <w:tcPr>
            <w:tcW w:w="7880" w:type="dxa"/>
            <w:vAlign w:val="bottom"/>
          </w:tcPr>
          <w:p>
            <w:pPr>
              <w:jc w:val="center"/>
              <w:ind w:left="6393"/>
              <w:spacing w:after="0"/>
              <w:rPr>
                <w:sz w:val="20"/>
                <w:szCs w:val="20"/>
                <w:color w:val="auto"/>
              </w:rPr>
            </w:pPr>
            <w:r>
              <w:rPr>
                <w:rFonts w:ascii="Arial" w:cs="Arial" w:eastAsia="Arial" w:hAnsi="Arial"/>
                <w:sz w:val="18"/>
                <w:szCs w:val="18"/>
                <w:color w:val="auto"/>
                <w:w w:val="96"/>
              </w:rPr>
              <w:t>WA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LT Intermediate Company, LLC</w:t>
            </w:r>
          </w:p>
        </w:tc>
        <w:tc>
          <w:tcPr>
            <w:tcW w:w="7880" w:type="dxa"/>
            <w:vAlign w:val="bottom"/>
            <w:shd w:val="clear" w:color="auto" w:fill="CCEEFF"/>
          </w:tcPr>
          <w:p>
            <w:pPr>
              <w:jc w:val="center"/>
              <w:ind w:left="6393"/>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8"/>
                <w:szCs w:val="18"/>
                <w:color w:val="auto"/>
              </w:rPr>
              <w:t>LTIM, LLC</w:t>
            </w:r>
          </w:p>
        </w:tc>
        <w:tc>
          <w:tcPr>
            <w:tcW w:w="7880" w:type="dxa"/>
            <w:vAlign w:val="bottom"/>
          </w:tcPr>
          <w:p>
            <w:pPr>
              <w:jc w:val="center"/>
              <w:ind w:left="6393"/>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LendingTree JVIC, LLC</w:t>
            </w:r>
          </w:p>
        </w:tc>
        <w:tc>
          <w:tcPr>
            <w:tcW w:w="7880" w:type="dxa"/>
            <w:vAlign w:val="bottom"/>
            <w:shd w:val="clear" w:color="auto" w:fill="CCEEFF"/>
          </w:tcPr>
          <w:p>
            <w:pPr>
              <w:jc w:val="center"/>
              <w:ind w:left="6393"/>
              <w:spacing w:after="0"/>
              <w:rPr>
                <w:sz w:val="20"/>
                <w:szCs w:val="20"/>
                <w:color w:val="auto"/>
              </w:rPr>
            </w:pPr>
            <w:r>
              <w:rPr>
                <w:rFonts w:ascii="Arial" w:cs="Arial" w:eastAsia="Arial" w:hAnsi="Arial"/>
                <w:sz w:val="18"/>
                <w:szCs w:val="18"/>
                <w:color w:val="auto"/>
                <w:w w:val="95"/>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333-266172) and Form S-8 (No. 333-258391, No. 333-233035, No. 333-218747, No. 333-197952) of LendingTree, Inc. of our report dated February 27, 2023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56" w:lineRule="exact"/>
        <w:rPr>
          <w:sz w:val="20"/>
          <w:szCs w:val="20"/>
          <w:color w:val="auto"/>
        </w:rPr>
      </w:pPr>
    </w:p>
    <w:p>
      <w:pPr>
        <w:ind w:left="320" w:hanging="313"/>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2022 of LendingTree, Inc.;</w:t>
      </w:r>
    </w:p>
    <w:p>
      <w:pPr>
        <w:spacing w:after="0" w:line="155" w:lineRule="exact"/>
        <w:rPr>
          <w:rFonts w:ascii="Arial" w:cs="Arial" w:eastAsia="Arial" w:hAnsi="Arial"/>
          <w:sz w:val="18"/>
          <w:szCs w:val="18"/>
          <w:color w:val="auto"/>
        </w:rPr>
      </w:pPr>
    </w:p>
    <w:p>
      <w:pPr>
        <w:ind w:left="660" w:hanging="653"/>
        <w:spacing w:after="0" w:line="262" w:lineRule="auto"/>
        <w:tabs>
          <w:tab w:leader="none" w:pos="3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8"/>
          <w:szCs w:val="18"/>
          <w:color w:val="auto"/>
        </w:rPr>
      </w:pPr>
    </w:p>
    <w:p>
      <w:pPr>
        <w:ind w:left="660" w:hanging="653"/>
        <w:spacing w:after="0" w:line="305" w:lineRule="auto"/>
        <w:tabs>
          <w:tab w:leader="none" w:pos="402"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Arial" w:cs="Arial" w:eastAsia="Arial" w:hAnsi="Arial"/>
          <w:sz w:val="17"/>
          <w:szCs w:val="17"/>
          <w:color w:val="auto"/>
        </w:rPr>
      </w:pPr>
    </w:p>
    <w:p>
      <w:pPr>
        <w:ind w:left="660" w:hanging="653"/>
        <w:spacing w:after="0" w:line="262" w:lineRule="auto"/>
        <w:tabs>
          <w:tab w:leader="none" w:pos="4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8"/>
          <w:szCs w:val="18"/>
          <w:color w:val="auto"/>
        </w:rPr>
      </w:pPr>
    </w:p>
    <w:p>
      <w:pPr>
        <w:ind w:left="1300" w:hanging="648"/>
        <w:spacing w:after="0" w:line="262" w:lineRule="auto"/>
        <w:tabs>
          <w:tab w:leader="none" w:pos="9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8"/>
          <w:szCs w:val="18"/>
          <w:color w:val="auto"/>
        </w:rPr>
      </w:pPr>
    </w:p>
    <w:p>
      <w:pPr>
        <w:ind w:left="1300" w:hanging="648"/>
        <w:spacing w:after="0" w:line="262" w:lineRule="auto"/>
        <w:tabs>
          <w:tab w:leader="none" w:pos="106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left="1300" w:hanging="648"/>
        <w:spacing w:after="0" w:line="339" w:lineRule="auto"/>
        <w:tabs>
          <w:tab w:leader="none" w:pos="1088"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6"/>
          <w:szCs w:val="16"/>
          <w:color w:val="auto"/>
        </w:rPr>
      </w:pPr>
    </w:p>
    <w:p>
      <w:pPr>
        <w:ind w:left="1300" w:hanging="648"/>
        <w:spacing w:after="0" w:line="262" w:lineRule="auto"/>
        <w:tabs>
          <w:tab w:leader="none" w:pos="10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8"/>
          <w:szCs w:val="18"/>
          <w:color w:val="auto"/>
        </w:rPr>
      </w:pPr>
    </w:p>
    <w:p>
      <w:pPr>
        <w:ind w:left="660" w:hanging="653"/>
        <w:spacing w:after="0" w:line="305" w:lineRule="auto"/>
        <w:tabs>
          <w:tab w:leader="none" w:pos="35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Arial" w:cs="Arial" w:eastAsia="Arial" w:hAnsi="Arial"/>
          <w:sz w:val="17"/>
          <w:szCs w:val="17"/>
          <w:color w:val="auto"/>
        </w:rPr>
      </w:pPr>
    </w:p>
    <w:p>
      <w:pPr>
        <w:ind w:left="1300" w:hanging="648"/>
        <w:spacing w:after="0" w:line="305" w:lineRule="auto"/>
        <w:tabs>
          <w:tab w:leader="none" w:pos="966"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7"/>
          <w:szCs w:val="17"/>
          <w:color w:val="auto"/>
        </w:rPr>
      </w:pPr>
    </w:p>
    <w:p>
      <w:pPr>
        <w:ind w:left="1300" w:hanging="648"/>
        <w:spacing w:after="0" w:line="275" w:lineRule="auto"/>
        <w:tabs>
          <w:tab w:leader="none" w:pos="106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2023</w:t>
      </w:r>
    </w:p>
    <w:p>
      <w:pPr>
        <w:spacing w:after="0" w:line="192"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16510</wp:posOffset>
            </wp:positionV>
            <wp:extent cx="34213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3"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Douglas R. Lebda</w:t>
      </w:r>
    </w:p>
    <w:p>
      <w:pPr>
        <w:ind w:left="7160"/>
        <w:spacing w:after="0" w:line="218" w:lineRule="auto"/>
        <w:rPr>
          <w:sz w:val="20"/>
          <w:szCs w:val="20"/>
          <w:color w:val="auto"/>
        </w:rPr>
      </w:pPr>
      <w:r>
        <w:rPr>
          <w:rFonts w:ascii="Arial" w:cs="Arial" w:eastAsia="Arial" w:hAnsi="Arial"/>
          <w:sz w:val="18"/>
          <w:szCs w:val="18"/>
          <w:i w:val="1"/>
          <w:iCs w:val="1"/>
          <w:color w:val="auto"/>
        </w:rPr>
        <w:t>Chairman and Chief Executive Officer</w:t>
      </w:r>
    </w:p>
    <w:p>
      <w:pPr>
        <w:ind w:left="7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Trent Ziegler, certify that:</w:t>
      </w:r>
    </w:p>
    <w:p>
      <w:pPr>
        <w:spacing w:after="0" w:line="156" w:lineRule="exact"/>
        <w:rPr>
          <w:sz w:val="20"/>
          <w:szCs w:val="20"/>
          <w:color w:val="auto"/>
        </w:rPr>
      </w:pPr>
    </w:p>
    <w:p>
      <w:pPr>
        <w:ind w:left="320" w:hanging="313"/>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2022 of LendingTree, Inc.;</w:t>
      </w:r>
    </w:p>
    <w:p>
      <w:pPr>
        <w:spacing w:after="0" w:line="155" w:lineRule="exact"/>
        <w:rPr>
          <w:rFonts w:ascii="Arial" w:cs="Arial" w:eastAsia="Arial" w:hAnsi="Arial"/>
          <w:sz w:val="18"/>
          <w:szCs w:val="18"/>
          <w:color w:val="auto"/>
        </w:rPr>
      </w:pPr>
    </w:p>
    <w:p>
      <w:pPr>
        <w:ind w:left="660" w:hanging="653"/>
        <w:spacing w:after="0" w:line="262" w:lineRule="auto"/>
        <w:tabs>
          <w:tab w:leader="none" w:pos="3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8"/>
          <w:szCs w:val="18"/>
          <w:color w:val="auto"/>
        </w:rPr>
      </w:pPr>
    </w:p>
    <w:p>
      <w:pPr>
        <w:ind w:left="660" w:hanging="653"/>
        <w:spacing w:after="0" w:line="305" w:lineRule="auto"/>
        <w:tabs>
          <w:tab w:leader="none" w:pos="402"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Arial" w:cs="Arial" w:eastAsia="Arial" w:hAnsi="Arial"/>
          <w:sz w:val="17"/>
          <w:szCs w:val="17"/>
          <w:color w:val="auto"/>
        </w:rPr>
      </w:pPr>
    </w:p>
    <w:p>
      <w:pPr>
        <w:ind w:left="660" w:hanging="653"/>
        <w:spacing w:after="0" w:line="262" w:lineRule="auto"/>
        <w:tabs>
          <w:tab w:leader="none" w:pos="4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8"/>
          <w:szCs w:val="18"/>
          <w:color w:val="auto"/>
        </w:rPr>
      </w:pPr>
    </w:p>
    <w:p>
      <w:pPr>
        <w:ind w:left="1300" w:hanging="648"/>
        <w:spacing w:after="0" w:line="262" w:lineRule="auto"/>
        <w:tabs>
          <w:tab w:leader="none" w:pos="9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8"/>
          <w:szCs w:val="18"/>
          <w:color w:val="auto"/>
        </w:rPr>
      </w:pPr>
    </w:p>
    <w:p>
      <w:pPr>
        <w:ind w:left="1300" w:hanging="648"/>
        <w:spacing w:after="0" w:line="262" w:lineRule="auto"/>
        <w:tabs>
          <w:tab w:leader="none" w:pos="106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left="1300" w:hanging="648"/>
        <w:spacing w:after="0" w:line="339" w:lineRule="auto"/>
        <w:tabs>
          <w:tab w:leader="none" w:pos="108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6"/>
          <w:szCs w:val="16"/>
          <w:color w:val="auto"/>
        </w:rPr>
      </w:pPr>
    </w:p>
    <w:p>
      <w:pPr>
        <w:ind w:left="1300" w:hanging="648"/>
        <w:spacing w:after="0" w:line="262" w:lineRule="auto"/>
        <w:tabs>
          <w:tab w:leader="none" w:pos="100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Arial" w:cs="Arial" w:eastAsia="Arial" w:hAnsi="Arial"/>
          <w:sz w:val="18"/>
          <w:szCs w:val="18"/>
          <w:color w:val="auto"/>
        </w:rPr>
      </w:pPr>
    </w:p>
    <w:p>
      <w:pPr>
        <w:ind w:left="660" w:hanging="653"/>
        <w:spacing w:after="0" w:line="305" w:lineRule="auto"/>
        <w:tabs>
          <w:tab w:leader="none" w:pos="35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Arial" w:cs="Arial" w:eastAsia="Arial" w:hAnsi="Arial"/>
          <w:sz w:val="17"/>
          <w:szCs w:val="17"/>
          <w:color w:val="auto"/>
        </w:rPr>
      </w:pPr>
    </w:p>
    <w:p>
      <w:pPr>
        <w:ind w:left="1300" w:hanging="648"/>
        <w:spacing w:after="0" w:line="305" w:lineRule="auto"/>
        <w:tabs>
          <w:tab w:leader="none" w:pos="966"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7"/>
          <w:szCs w:val="17"/>
          <w:color w:val="auto"/>
        </w:rPr>
      </w:pPr>
    </w:p>
    <w:p>
      <w:pPr>
        <w:ind w:left="1300" w:hanging="648"/>
        <w:spacing w:after="0" w:line="275" w:lineRule="auto"/>
        <w:tabs>
          <w:tab w:leader="none" w:pos="106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2023</w:t>
      </w:r>
    </w:p>
    <w:p>
      <w:pPr>
        <w:spacing w:after="0" w:line="192"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16510</wp:posOffset>
            </wp:positionV>
            <wp:extent cx="34213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3"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Trent Ziegler</w:t>
      </w:r>
    </w:p>
    <w:p>
      <w:pPr>
        <w:ind w:left="7700"/>
        <w:spacing w:after="0" w:line="218" w:lineRule="auto"/>
        <w:rPr>
          <w:sz w:val="20"/>
          <w:szCs w:val="20"/>
          <w:color w:val="auto"/>
        </w:rPr>
      </w:pPr>
      <w:r>
        <w:rPr>
          <w:rFonts w:ascii="Arial" w:cs="Arial" w:eastAsia="Arial" w:hAnsi="Arial"/>
          <w:sz w:val="18"/>
          <w:szCs w:val="18"/>
          <w:i w:val="1"/>
          <w:iCs w:val="1"/>
          <w:color w:val="auto"/>
        </w:rPr>
        <w:t>Chief Financial Officer</w:t>
      </w:r>
    </w:p>
    <w:p>
      <w:pPr>
        <w:ind w:left="7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7" w:lineRule="exact"/>
        <w:rPr>
          <w:sz w:val="20"/>
          <w:szCs w:val="20"/>
          <w:color w:val="auto"/>
        </w:rPr>
      </w:pPr>
    </w:p>
    <w:p>
      <w:pPr>
        <w:jc w:val="both"/>
        <w:ind w:left="660" w:hanging="330"/>
        <w:spacing w:after="0" w:line="262" w:lineRule="auto"/>
        <w:tabs>
          <w:tab w:leader="none" w:pos="6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Annual Report on Form 10-K for the fiscal year ended December 31, 2022 of LendingTree, Inc. (the "Report") which this statement accompanies fully complies with the requirements of Section 13(a) or 15(d) of the Securities Exchange Act of 1934 (15 U.S.C. 78m or 78o(d)); and</w:t>
      </w:r>
    </w:p>
    <w:p>
      <w:pPr>
        <w:spacing w:after="0" w:line="208" w:lineRule="exact"/>
        <w:rPr>
          <w:rFonts w:ascii="Arial" w:cs="Arial" w:eastAsia="Arial" w:hAnsi="Arial"/>
          <w:sz w:val="18"/>
          <w:szCs w:val="18"/>
          <w:color w:val="auto"/>
        </w:rPr>
      </w:pPr>
    </w:p>
    <w:p>
      <w:pPr>
        <w:ind w:left="660" w:hanging="330"/>
        <w:spacing w:after="0" w:line="275" w:lineRule="auto"/>
        <w:tabs>
          <w:tab w:leader="none" w:pos="6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2023</w:t>
      </w:r>
    </w:p>
    <w:p>
      <w:pPr>
        <w:spacing w:after="0" w:line="31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5579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Douglas R. Lebda</w:t>
      </w:r>
    </w:p>
    <w:p>
      <w:pPr>
        <w:ind w:left="7040"/>
        <w:spacing w:after="0" w:line="202" w:lineRule="auto"/>
        <w:rPr>
          <w:sz w:val="20"/>
          <w:szCs w:val="20"/>
          <w:color w:val="auto"/>
        </w:rPr>
      </w:pPr>
      <w:r>
        <w:rPr>
          <w:rFonts w:ascii="Arial" w:cs="Arial" w:eastAsia="Arial" w:hAnsi="Arial"/>
          <w:sz w:val="18"/>
          <w:szCs w:val="18"/>
          <w:i w:val="1"/>
          <w:iCs w:val="1"/>
          <w:color w:val="auto"/>
        </w:rPr>
        <w:t>Chairman and Chief Executive Officer</w:t>
      </w:r>
    </w:p>
    <w:p>
      <w:pPr>
        <w:ind w:left="74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I, Trent Ziegler, certify, pursuant to 18 U.S.C. Section 1350, as adopted pursuant to Section 906 of the Sarbanes-Oxley Act of 2002, that to my knowledge:</w:t>
      </w:r>
    </w:p>
    <w:p>
      <w:pPr>
        <w:spacing w:after="0" w:line="117" w:lineRule="exact"/>
        <w:rPr>
          <w:sz w:val="20"/>
          <w:szCs w:val="20"/>
          <w:color w:val="auto"/>
        </w:rPr>
      </w:pPr>
    </w:p>
    <w:p>
      <w:pPr>
        <w:jc w:val="both"/>
        <w:ind w:left="660" w:hanging="330"/>
        <w:spacing w:after="0" w:line="262" w:lineRule="auto"/>
        <w:tabs>
          <w:tab w:leader="none" w:pos="6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Annual Report on Form 10-K for the fiscal year ended December 31, 2022 of LendingTree, Inc. (the "Report") which this statement accompanies fully complies with the requirements of Section 13(a) or 15(d) of the Securities Exchange Act of 1934 (15 U.S.C. 78m or 78o(d)); and</w:t>
      </w:r>
    </w:p>
    <w:p>
      <w:pPr>
        <w:spacing w:after="0" w:line="208" w:lineRule="exact"/>
        <w:rPr>
          <w:rFonts w:ascii="Arial" w:cs="Arial" w:eastAsia="Arial" w:hAnsi="Arial"/>
          <w:sz w:val="18"/>
          <w:szCs w:val="18"/>
          <w:color w:val="auto"/>
        </w:rPr>
      </w:pPr>
    </w:p>
    <w:p>
      <w:pPr>
        <w:ind w:left="660" w:hanging="330"/>
        <w:spacing w:after="0" w:line="275" w:lineRule="auto"/>
        <w:tabs>
          <w:tab w:leader="none" w:pos="6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2023</w:t>
      </w:r>
    </w:p>
    <w:p>
      <w:pPr>
        <w:spacing w:after="0" w:line="313" w:lineRule="exact"/>
        <w:rPr>
          <w:sz w:val="20"/>
          <w:szCs w:val="20"/>
          <w:color w:val="auto"/>
        </w:rPr>
      </w:pPr>
    </w:p>
    <w:p>
      <w:pPr>
        <w:jc w:val="center"/>
        <w:ind w:left="5540"/>
        <w:spacing w:after="0"/>
        <w:rPr>
          <w:sz w:val="20"/>
          <w:szCs w:val="20"/>
          <w:color w:val="auto"/>
        </w:rPr>
      </w:pP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5579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6"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Trent Ziegler</w:t>
      </w:r>
    </w:p>
    <w:p>
      <w:pPr>
        <w:ind w:left="7580"/>
        <w:spacing w:after="0" w:line="202" w:lineRule="auto"/>
        <w:rPr>
          <w:sz w:val="20"/>
          <w:szCs w:val="20"/>
          <w:color w:val="auto"/>
        </w:rPr>
      </w:pPr>
      <w:r>
        <w:rPr>
          <w:rFonts w:ascii="Arial" w:cs="Arial" w:eastAsia="Arial" w:hAnsi="Arial"/>
          <w:sz w:val="18"/>
          <w:szCs w:val="18"/>
          <w:i w:val="1"/>
          <w:iCs w:val="1"/>
          <w:color w:val="auto"/>
        </w:rPr>
        <w:t>Chief Financial Officer</w:t>
      </w:r>
    </w:p>
    <w:p>
      <w:pPr>
        <w:ind w:left="74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2"/>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104"/>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18" Type="http://schemas.openxmlformats.org/officeDocument/2006/relationships/hyperlink" Target="http://www.sec.gov/Archives/edgar/data/1434621/000104746908008622/a2187113zex-2_1.htm" TargetMode="External"/><Relationship Id="rId119" Type="http://schemas.openxmlformats.org/officeDocument/2006/relationships/hyperlink" Target="http://www.sec.gov/Archives/edgar/data/1434621/000110465908054882/a08-22125_1ex10d2.htm" TargetMode="External"/><Relationship Id="rId120" Type="http://schemas.openxmlformats.org/officeDocument/2006/relationships/hyperlink" Target="http://www.sec.gov/Archives/edgar/data/1434621/000110465908054882/a08-22125_1ex10d3.htm" TargetMode="External"/><Relationship Id="rId121" Type="http://schemas.openxmlformats.org/officeDocument/2006/relationships/hyperlink" Target="http://www.sec.gov/Archives/edgar/data/1434621/000110465908054882/a08-22125_1ex10d4.htm" TargetMode="External"/><Relationship Id="rId122" Type="http://schemas.openxmlformats.org/officeDocument/2006/relationships/hyperlink" Target="http://www.sec.gov/Archives/edgar/data/1434621/000110465908054882/a08-22125_1ex10d6.htm" TargetMode="External"/><Relationship Id="rId123" Type="http://schemas.openxmlformats.org/officeDocument/2006/relationships/hyperlink" Target="http://www.sec.gov/Archives/edgar/data/1434621/000110465910058747/a10-21366_1ex2d1.htm" TargetMode="External"/><Relationship Id="rId124" Type="http://schemas.openxmlformats.org/officeDocument/2006/relationships/hyperlink" Target="http://www.sec.gov/Archives/edgar/data/1434621/000110465911015602/a11-8401_1ex2d1.htm" TargetMode="External"/><Relationship Id="rId125" Type="http://schemas.openxmlformats.org/officeDocument/2006/relationships/hyperlink" Target="http://www.sec.gov/Archives/edgar/data/1434621/000110465911015602/a11-8401_1ex2d2.htm" TargetMode="External"/><Relationship Id="rId126" Type="http://schemas.openxmlformats.org/officeDocument/2006/relationships/hyperlink" Target="http://www.sec.gov/Archives/edgar/data/1434621/000110465911029396/a11-12364_1ex2d1.htm" TargetMode="External"/><Relationship Id="rId129" Type="http://schemas.openxmlformats.org/officeDocument/2006/relationships/hyperlink" Target="http://www.sec.gov/Archives/edgar/data/1434621/000110465911052643/a11-26750_1ex2d1.htm" TargetMode="External"/><Relationship Id="rId130" Type="http://schemas.openxmlformats.org/officeDocument/2006/relationships/hyperlink" Target="http://www.sec.gov/Archives/edgar/data/1434621/000110465912007840/a12-4544_1ex2d1.htm" TargetMode="External"/><Relationship Id="rId131" Type="http://schemas.openxmlformats.org/officeDocument/2006/relationships/hyperlink" Target="http://www.sec.gov/Archives/edgar/data/1434621/000143462116000102/ex21ironhorsepurchaseagree.htm" TargetMode="External"/><Relationship Id="rId132" Type="http://schemas.openxmlformats.org/officeDocument/2006/relationships/hyperlink" Target="http://www.sec.gov/Archives/edgar/data/1355096/000110465917066108/a17-25170_1ex99d7d.htm" TargetMode="External"/><Relationship Id="rId133" Type="http://schemas.openxmlformats.org/officeDocument/2006/relationships/hyperlink" Target="http://www.sec.gov/Archives/edgar/data/1434621/000143462118000036/exhibit21-quotewizardpurch.htm" TargetMode="External"/><Relationship Id="rId134" Type="http://schemas.openxmlformats.org/officeDocument/2006/relationships/hyperlink" Target="http://www.sec.gov/Archives/edgar/data/1434621/000143462118000054/exhibit21-valuepenguinpurc.htm" TargetMode="External"/><Relationship Id="rId135" Type="http://schemas.openxmlformats.org/officeDocument/2006/relationships/hyperlink" Target="http://www.sec.gov/Archives/edgar/data/1434621/000110465908054882/a08-22125_1ex3d1.htm" TargetMode="External"/><Relationship Id="rId136" Type="http://schemas.openxmlformats.org/officeDocument/2006/relationships/hyperlink" Target="http://www.sec.gov/Archives/edgar/data/1434621/000143462117000080/fourthamendedandrestatedby.htm" TargetMode="External"/><Relationship Id="rId137" Type="http://schemas.openxmlformats.org/officeDocument/2006/relationships/hyperlink" Target="http://www.sec.gov/Archives/edgar/data/891103/000104746903023716/a2111938zex-99_4.htm" TargetMode="External"/><Relationship Id="rId138" Type="http://schemas.openxmlformats.org/officeDocument/2006/relationships/hyperlink" Target="http://www.sec.gov/Archives/edgar/data/1434621/000110465908054882/a08-22125_1ex10d5.htm" TargetMode="External"/><Relationship Id="rId139" Type="http://schemas.openxmlformats.org/officeDocument/2006/relationships/hyperlink" Target="http://www.sec.gov/Archives/edgar/data/1434621/000143462117000036/exhibit41-indenture.htm" TargetMode="External"/><Relationship Id="rId140" Type="http://schemas.openxmlformats.org/officeDocument/2006/relationships/hyperlink" Target="http://www.sec.gov/Archives/edgar/data/1434621/000143462117000036/exhibit991-purchaseagreeme.htm" TargetMode="External"/><Relationship Id="rId141" Type="http://schemas.openxmlformats.org/officeDocument/2006/relationships/hyperlink" Target="http://www.sec.gov/Archives/edgar/data/1434621/000143462117000036/exhibit994-basewarrantconf.htm" TargetMode="External"/><Relationship Id="rId142" Type="http://schemas.openxmlformats.org/officeDocument/2006/relationships/hyperlink" Target="http://www.sec.gov/Archives/edgar/data/1434621/000143462117000036/exhibit995-additionalwarra.htm" TargetMode="External"/><Relationship Id="rId143" Type="http://schemas.openxmlformats.org/officeDocument/2006/relationships/hyperlink" Target="https://www.sec.gov/Archives/edgar/data/1434621/000143462120000015/tree-12312019xex47.htm" TargetMode="External"/><Relationship Id="rId144" Type="http://schemas.openxmlformats.org/officeDocument/2006/relationships/hyperlink" Target="https://www.sec.gov/Archives/edgar/data/1434621/000095010320014161/dp132751_ex0401.htm" TargetMode="External"/><Relationship Id="rId145" Type="http://schemas.openxmlformats.org/officeDocument/2006/relationships/hyperlink" Target="https://www.sec.gov/Archives/edgar/data/1434621/000143462121000002/tree-12312020xex102.htm" TargetMode="External"/><Relationship Id="rId146" Type="http://schemas.openxmlformats.org/officeDocument/2006/relationships/hyperlink" Target="http://www.sec.gov/Archives/edgar/data/1434621/000143462117000039/exhibit44a-2017inducementg.htm" TargetMode="External"/><Relationship Id="rId147" Type="http://schemas.openxmlformats.org/officeDocument/2006/relationships/hyperlink" Target="http://www.sec.gov/Archives/edgar/data/1434621/000143462117000039/exhibit44b-formofnoticeofr.htm" TargetMode="External"/><Relationship Id="rId150" Type="http://schemas.openxmlformats.org/officeDocument/2006/relationships/hyperlink" Target="http://www.sec.gov/Archives/edgar/data/1434621/000143462117000039/exhibit44c-formofnoticeofr.htm" TargetMode="External"/><Relationship Id="rId151" Type="http://schemas.openxmlformats.org/officeDocument/2006/relationships/hyperlink" Target="http://www.sec.gov/Archives/edgar/data/1434621/000143462115000024/tree-deferredcompplanbodex.htm" TargetMode="External"/><Relationship Id="rId152" Type="http://schemas.openxmlformats.org/officeDocument/2006/relationships/hyperlink" Target="http://www.sec.gov/Archives/edgar/data/1434621/000104746908008622/a2187113zex-10_15.htm" TargetMode="External"/><Relationship Id="rId153" Type="http://schemas.openxmlformats.org/officeDocument/2006/relationships/hyperlink" Target="http://www.sec.gov/Archives/edgar/data/1434621/000110465911004845/a11-5223_1ex10d2.htm" TargetMode="External"/><Relationship Id="rId154" Type="http://schemas.openxmlformats.org/officeDocument/2006/relationships/hyperlink" Target="http://www.sec.gov/Archives/edgar/data/1434621/000143462117000036/exhibit992-formofbasebondh.htm" TargetMode="External"/><Relationship Id="rId155" Type="http://schemas.openxmlformats.org/officeDocument/2006/relationships/hyperlink" Target="http://www.sec.gov/Archives/edgar/data/1434621/000143462117000036/exhibit993-additionalbondh.htm" TargetMode="External"/><Relationship Id="rId156" Type="http://schemas.openxmlformats.org/officeDocument/2006/relationships/hyperlink" Target="https://www.sec.gov/Archives/edgar/data/1434621/000095010321014050/dp157935_ex9901.htm" TargetMode="External"/><Relationship Id="rId157" Type="http://schemas.openxmlformats.org/officeDocument/2006/relationships/hyperlink" Target="http://www.sec.gov/Archives/edgar/data/1434621/000143462117000017/tree-12312016xex1031.htm" TargetMode="External"/><Relationship Id="rId158" Type="http://schemas.openxmlformats.org/officeDocument/2006/relationships/hyperlink" Target="http://www.sec.gov/Archives/edgar/data/1434621/000143462117000017/tree-12312016xex1032.htm" TargetMode="External"/><Relationship Id="rId159" Type="http://schemas.openxmlformats.org/officeDocument/2006/relationships/hyperlink" Target="http://www.sec.gov/Archives/edgar/data/1434621/000143462118000017/tree-2018331x10qexx101.htm" TargetMode="External"/><Relationship Id="rId160" Type="http://schemas.openxmlformats.org/officeDocument/2006/relationships/hyperlink" Target="https://www.sec.gov/Archives/edgar/data/1434621/000114036121014919/nc10023359x1_def14a.htm" TargetMode="External"/><Relationship Id="rId161" Type="http://schemas.openxmlformats.org/officeDocument/2006/relationships/hyperlink" Target="https://www.sec.gov/Archives/edgar/data/1434621/000143462120000030/tree-2020630x10qexx101.htm" TargetMode="External"/><Relationship Id="rId162" Type="http://schemas.openxmlformats.org/officeDocument/2006/relationships/hyperlink" Target="https://www.sec.gov/Archives/edgar/data/1434621/000143462120000030/tree-2020630x10qexx103.htm" TargetMode="External"/><Relationship Id="rId163" Type="http://schemas.openxmlformats.org/officeDocument/2006/relationships/hyperlink" Target="https://www.sec.gov/Archives/edgar/data/1434621/000143462120000030/tree-2020630x10qexx104.htm" TargetMode="External"/><Relationship Id="rId164" Type="http://schemas.openxmlformats.org/officeDocument/2006/relationships/hyperlink" Target="https://www.sec.gov/Archives/edgar/data/1434621/000095010320014161/dp132751_ex9902.htm" TargetMode="External"/><Relationship Id="rId165" Type="http://schemas.openxmlformats.org/officeDocument/2006/relationships/hyperlink" Target="https://www.sec.gov/Archives/edgar/data/1434621/000095010320014161/dp132751_ex9903.htm" TargetMode="External"/><Relationship Id="rId166" Type="http://schemas.openxmlformats.org/officeDocument/2006/relationships/hyperlink" Target="https://www.sec.gov/Archives/edgar/data/1434621/000095010320014161/dp132751_ex9904.htm" TargetMode="External"/><Relationship Id="rId167" Type="http://schemas.openxmlformats.org/officeDocument/2006/relationships/hyperlink" Target="https://www.sec.gov/Archives/edgar/data/1434621/000095010320014161/dp132751_ex9905.htm" TargetMode="External"/><Relationship Id="rId168" Type="http://schemas.openxmlformats.org/officeDocument/2006/relationships/hyperlink" Target="https://www.sec.gov/Archives/edgar/data/1434621/000143462121000002/tree-12312020xex1041.htm" TargetMode="External"/><Relationship Id="rId169" Type="http://schemas.openxmlformats.org/officeDocument/2006/relationships/hyperlink" Target="https://www.sec.gov/Archives/edgar/data/0001434621/000143462121000019/tree-20210630x10qexx101.htm" TargetMode="External"/><Relationship Id="rId172" Type="http://schemas.openxmlformats.org/officeDocument/2006/relationships/hyperlink" Target="https://www.sec.gov/Archives/edgar/data/1434621/000095010321011752/dp155487_ex9903.htm" TargetMode="External"/><Relationship Id="rId173" Type="http://schemas.openxmlformats.org/officeDocument/2006/relationships/hyperlink" Target="https://www.sec.gov/Archives/edgar/data/1434621/000143462122000009/tree-123121xex1039.htm" TargetMode="External"/><Relationship Id="rId174" Type="http://schemas.openxmlformats.org/officeDocument/2006/relationships/hyperlink" Target="https://www.sec.gov/Archives/edgar/data/1434621/000143462122000009/tree-123121xex10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2023-02-28T08:11:39Z</dcterms:created>
  <dcterms:modified xsi:type="dcterms:W3CDTF">2023-02-28T08:11:39Z</dcterms:modified>
</cp:coreProperties>
</file>