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14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12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3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ind w:right="30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4"/>
          <w:szCs w:val="24"/>
          <w:color w:val="auto"/>
        </w:rPr>
      </w:pPr>
    </w:p>
    <w:p>
      <w:pPr>
        <w:sectPr>
          <w:pgSz w:w="11900" w:h="16838" w:orient="portrait"/>
          <w:cols w:equalWidth="0" w:num="4">
            <w:col w:w="2120" w:space="720"/>
            <w:col w:w="2760" w:space="720"/>
            <w:col w:w="2320" w:space="720"/>
            <w:col w:w="2060"/>
          </w:cols>
          <w:pgMar w:left="240" w:top="685" w:right="239" w:bottom="0" w:gutter="0" w:footer="0" w:header="0"/>
          <w:type w:val="continuous"/>
        </w:sectPr>
      </w:pPr>
    </w:p>
    <w:p>
      <w:pPr>
        <w:jc w:val="center"/>
        <w:ind w:left="2900"/>
        <w:spacing w:after="0"/>
        <w:rPr>
          <w:sz w:val="20"/>
          <w:szCs w:val="20"/>
          <w:color w:val="auto"/>
        </w:rPr>
      </w:pPr>
      <w:r>
        <w:rPr>
          <w:rFonts w:ascii="Arial" w:cs="Arial" w:eastAsia="Arial" w:hAnsi="Arial"/>
          <w:sz w:val="12"/>
          <w:szCs w:val="12"/>
          <w:color w:val="auto"/>
        </w:rPr>
        <w:t>(Do not check if a smaller</w:t>
      </w:r>
    </w:p>
    <w:p>
      <w:pPr>
        <w:jc w:val="center"/>
        <w:ind w:left="290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685" w:right="239" w:bottom="0" w:gutter="0" w:footer="0" w:header="0"/>
          <w:type w:val="continuous"/>
        </w:sectPr>
      </w:pPr>
    </w:p>
    <w:p>
      <w:pPr>
        <w:spacing w:after="0" w:line="19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800" w:space="180"/>
            <w:col w:w="2440"/>
          </w:cols>
          <w:pgMar w:left="240" w:top="685" w:right="239" w:bottom="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November 3, 2009 there were 10,902,525 shares of the Registrant's common stock, par value $.01 per share, outstanding.</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80" w:type="dxa"/>
            <w:vAlign w:val="bottom"/>
            <w:gridSpan w:val="6"/>
            <w:vMerge w:val="restart"/>
          </w:tcPr>
          <w:p>
            <w:pPr>
              <w:jc w:val="center"/>
              <w:ind w:right="24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3"/>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8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40" w:type="dxa"/>
            <w:vAlign w:val="bottom"/>
            <w:vMerge w:val="continue"/>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spacing w:after="0"/>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680" w:type="dxa"/>
            <w:vAlign w:val="bottom"/>
            <w:gridSpan w:val="2"/>
          </w:tcPr>
          <w:p>
            <w:pPr>
              <w:spacing w:after="0"/>
              <w:rPr>
                <w:sz w:val="24"/>
                <w:szCs w:val="24"/>
                <w:color w:val="auto"/>
              </w:rPr>
            </w:pPr>
          </w:p>
        </w:tc>
        <w:tc>
          <w:tcPr>
            <w:tcW w:w="3080" w:type="dxa"/>
            <w:vAlign w:val="bottom"/>
            <w:tcBorders>
              <w:top w:val="single" w:sz="8" w:color="0000EE"/>
            </w:tcBorders>
            <w:gridSpan w:val="4"/>
          </w:tcPr>
          <w:p>
            <w:pPr>
              <w:spacing w:after="0"/>
              <w:rPr>
                <w:sz w:val="24"/>
                <w:szCs w:val="24"/>
                <w:color w:val="auto"/>
              </w:rPr>
            </w:pPr>
          </w:p>
        </w:tc>
        <w:tc>
          <w:tcPr>
            <w:tcW w:w="2400" w:type="dxa"/>
            <w:vAlign w:val="bottom"/>
            <w:gridSpan w:val="2"/>
          </w:tcPr>
          <w:p>
            <w:pPr>
              <w:spacing w:after="0"/>
              <w:rPr>
                <w:sz w:val="24"/>
                <w:szCs w:val="24"/>
                <w:color w:val="auto"/>
              </w:rPr>
            </w:pPr>
          </w:p>
        </w:tc>
        <w:tc>
          <w:tcPr>
            <w:tcW w:w="5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2"/>
          </w:tcPr>
          <w:p>
            <w:pPr>
              <w:spacing w:after="0" w:line="196" w:lineRule="exact"/>
              <w:rPr>
                <w:rFonts w:ascii="Arial" w:cs="Arial" w:eastAsia="Arial" w:hAnsi="Arial"/>
                <w:sz w:val="18"/>
                <w:szCs w:val="18"/>
                <w:b w:val="1"/>
                <w:bCs w:val="1"/>
                <w:i w:val="1"/>
                <w:iCs w:val="1"/>
                <w:color w:val="0000EE"/>
              </w:rPr>
            </w:pPr>
            <w:hyperlink w:anchor="page37">
              <w:r>
                <w:rPr>
                  <w:rFonts w:ascii="Arial" w:cs="Arial" w:eastAsia="Arial" w:hAnsi="Arial"/>
                  <w:sz w:val="18"/>
                  <w:szCs w:val="18"/>
                  <w:b w:val="1"/>
                  <w:bCs w:val="1"/>
                  <w:i w:val="1"/>
                  <w:iCs w:val="1"/>
                  <w:color w:val="0000EE"/>
                </w:rPr>
                <w:t>Management's Discussion and Analysis of Financial Condition and Results of Operations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56">
              <w:r>
                <w:rPr>
                  <w:rFonts w:ascii="Arial" w:cs="Arial" w:eastAsia="Arial" w:hAnsi="Arial"/>
                  <w:sz w:val="18"/>
                  <w:szCs w:val="18"/>
                  <w:b w:val="1"/>
                  <w:bCs w:val="1"/>
                  <w:color w:val="0000EE"/>
                  <w:w w:val="91"/>
                </w:rPr>
                <w:t>Item 3.</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520" w:type="dxa"/>
            <w:vAlign w:val="bottom"/>
            <w:tcBorders>
              <w:top w:val="single" w:sz="8" w:color="0000EE"/>
            </w:tcBorders>
            <w:gridSpan w:val="11"/>
          </w:tcPr>
          <w:p>
            <w:pPr>
              <w:spacing w:after="0" w:line="196" w:lineRule="exact"/>
              <w:rPr>
                <w:rFonts w:ascii="Arial" w:cs="Arial" w:eastAsia="Arial" w:hAnsi="Arial"/>
                <w:sz w:val="18"/>
                <w:szCs w:val="18"/>
                <w:b w:val="1"/>
                <w:bCs w:val="1"/>
                <w:i w:val="1"/>
                <w:iCs w:val="1"/>
                <w:color w:val="0000EE"/>
              </w:rPr>
            </w:pPr>
            <w:hyperlink w:anchor="page56">
              <w:r>
                <w:rPr>
                  <w:rFonts w:ascii="Arial" w:cs="Arial" w:eastAsia="Arial" w:hAnsi="Arial"/>
                  <w:sz w:val="18"/>
                  <w:szCs w:val="18"/>
                  <w:b w:val="1"/>
                  <w:bCs w:val="1"/>
                  <w:i w:val="1"/>
                  <w:iCs w:val="1"/>
                  <w:color w:val="0000EE"/>
                </w:rPr>
                <w:t>Quantitative and Qualitative Disclosures About Market Risk</w:t>
              </w:r>
            </w:hyperlink>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Item 4T.</w:t>
              </w:r>
            </w:hyperlink>
          </w:p>
        </w:tc>
        <w:tc>
          <w:tcPr>
            <w:tcW w:w="7820" w:type="dxa"/>
            <w:vAlign w:val="bottom"/>
            <w:gridSpan w:val="13"/>
          </w:tcPr>
          <w:p>
            <w:pPr>
              <w:ind w:left="100"/>
              <w:spacing w:after="0" w:line="196" w:lineRule="exact"/>
              <w:rPr>
                <w:rFonts w:ascii="Arial" w:cs="Arial" w:eastAsia="Arial" w:hAnsi="Arial"/>
                <w:sz w:val="18"/>
                <w:szCs w:val="18"/>
                <w:b w:val="1"/>
                <w:bCs w:val="1"/>
                <w:i w:val="1"/>
                <w:iCs w:val="1"/>
                <w:color w:val="0000EE"/>
              </w:rPr>
            </w:pPr>
            <w:hyperlink w:anchor="page57">
              <w:r>
                <w:rPr>
                  <w:rFonts w:ascii="Arial" w:cs="Arial" w:eastAsia="Arial" w:hAnsi="Arial"/>
                  <w:sz w:val="18"/>
                  <w:szCs w:val="18"/>
                  <w:b w:val="1"/>
                  <w:bCs w:val="1"/>
                  <w:i w:val="1"/>
                  <w:iCs w:val="1"/>
                  <w:color w:val="0000EE"/>
                </w:rPr>
                <w:t>Controls and Procedures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II—OTHER INFORMATION</w:t>
              </w:r>
            </w:hyperlink>
          </w:p>
        </w:tc>
        <w:tc>
          <w:tcPr>
            <w:tcW w:w="25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58">
              <w:r>
                <w:rPr>
                  <w:rFonts w:ascii="Arial" w:cs="Arial" w:eastAsia="Arial" w:hAnsi="Arial"/>
                  <w:sz w:val="18"/>
                  <w:szCs w:val="18"/>
                  <w:b w:val="1"/>
                  <w:bCs w:val="1"/>
                  <w:color w:val="0000EE"/>
                  <w:w w:val="91"/>
                </w:rPr>
                <w:t>Item 1.</w:t>
              </w:r>
            </w:hyperlink>
          </w:p>
        </w:tc>
        <w:tc>
          <w:tcPr>
            <w:tcW w:w="2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gridSpan w:val="12"/>
          </w:tcPr>
          <w:p>
            <w:pPr>
              <w:spacing w:after="0"/>
              <w:rPr>
                <w:rFonts w:ascii="Arial" w:cs="Arial" w:eastAsia="Arial" w:hAnsi="Arial"/>
                <w:sz w:val="18"/>
                <w:szCs w:val="18"/>
                <w:b w:val="1"/>
                <w:bCs w:val="1"/>
                <w:i w:val="1"/>
                <w:iCs w:val="1"/>
                <w:color w:val="0000EE"/>
              </w:rPr>
            </w:pPr>
            <w:hyperlink w:anchor="page58">
              <w:r>
                <w:rPr>
                  <w:rFonts w:ascii="Arial" w:cs="Arial" w:eastAsia="Arial" w:hAnsi="Arial"/>
                  <w:sz w:val="18"/>
                  <w:szCs w:val="18"/>
                  <w:b w:val="1"/>
                  <w:bCs w:val="1"/>
                  <w:i w:val="1"/>
                  <w:iCs w:val="1"/>
                  <w:color w:val="0000EE"/>
                </w:rPr>
                <w:t>Legal Proceedings</w:t>
              </w:r>
            </w:hyperlink>
          </w:p>
        </w:tc>
        <w:tc>
          <w:tcPr>
            <w:tcW w:w="54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Item 1A.</w:t>
              </w:r>
            </w:hyperlink>
          </w:p>
        </w:tc>
        <w:tc>
          <w:tcPr>
            <w:tcW w:w="7820" w:type="dxa"/>
            <w:vAlign w:val="bottom"/>
            <w:gridSpan w:val="13"/>
          </w:tcPr>
          <w:p>
            <w:pPr>
              <w:ind w:left="100"/>
              <w:spacing w:after="0" w:line="196" w:lineRule="exact"/>
              <w:rPr>
                <w:rFonts w:ascii="Arial" w:cs="Arial" w:eastAsia="Arial" w:hAnsi="Arial"/>
                <w:sz w:val="18"/>
                <w:szCs w:val="18"/>
                <w:b w:val="1"/>
                <w:bCs w:val="1"/>
                <w:i w:val="1"/>
                <w:iCs w:val="1"/>
                <w:color w:val="0000EE"/>
              </w:rPr>
            </w:pPr>
            <w:hyperlink w:anchor="page58">
              <w:r>
                <w:rPr>
                  <w:rFonts w:ascii="Arial" w:cs="Arial" w:eastAsia="Arial" w:hAnsi="Arial"/>
                  <w:sz w:val="18"/>
                  <w:szCs w:val="18"/>
                  <w:b w:val="1"/>
                  <w:bCs w:val="1"/>
                  <w:i w:val="1"/>
                  <w:iCs w:val="1"/>
                  <w:color w:val="0000EE"/>
                </w:rPr>
                <w:t>Risk Factors</w:t>
              </w:r>
            </w:hyperlink>
          </w:p>
        </w:tc>
        <w:tc>
          <w:tcPr>
            <w:tcW w:w="540" w:type="dxa"/>
            <w:vAlign w:val="bottom"/>
            <w:gridSpan w:val="3"/>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60">
              <w:r>
                <w:rPr>
                  <w:rFonts w:ascii="Arial" w:cs="Arial" w:eastAsia="Arial" w:hAnsi="Arial"/>
                  <w:sz w:val="18"/>
                  <w:szCs w:val="18"/>
                  <w:b w:val="1"/>
                  <w:bCs w:val="1"/>
                  <w:color w:val="0000EE"/>
                  <w:w w:val="91"/>
                </w:rPr>
                <w:t>Item 6.</w:t>
              </w:r>
            </w:hyperlink>
          </w:p>
        </w:tc>
        <w:tc>
          <w:tcPr>
            <w:tcW w:w="1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60">
              <w:r>
                <w:rPr>
                  <w:rFonts w:ascii="Arial" w:cs="Arial" w:eastAsia="Arial" w:hAnsi="Arial"/>
                  <w:sz w:val="18"/>
                  <w:szCs w:val="18"/>
                  <w:b w:val="1"/>
                  <w:bCs w:val="1"/>
                  <w:i w:val="1"/>
                  <w:iCs w:val="1"/>
                  <w:color w:val="0000EE"/>
                  <w:w w:val="85"/>
                </w:rPr>
                <w:t>Exhibits</w:t>
              </w:r>
            </w:hyperlink>
          </w:p>
        </w:tc>
        <w:tc>
          <w:tcPr>
            <w:tcW w:w="300" w:type="dxa"/>
            <w:vAlign w:val="bottom"/>
            <w:tcBorders>
              <w:top w:val="single" w:sz="8" w:color="0000EE"/>
            </w:tcBorders>
          </w:tcPr>
          <w:p>
            <w:pPr>
              <w:spacing w:after="0"/>
              <w:rPr>
                <w:sz w:val="17"/>
                <w:szCs w:val="17"/>
                <w:color w:val="auto"/>
              </w:rPr>
            </w:pPr>
          </w:p>
        </w:tc>
        <w:tc>
          <w:tcPr>
            <w:tcW w:w="680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13"/>
          </w:tcPr>
          <w:p>
            <w:pPr>
              <w:jc w:val="right"/>
              <w:ind w:right="78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24,109</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19,993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94,738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168,949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vMerge w:val="restart"/>
          </w:tcPr>
          <w:p>
            <w:pPr>
              <w:ind w:left="120"/>
              <w:spacing w:after="0"/>
              <w:rPr>
                <w:sz w:val="20"/>
                <w:szCs w:val="20"/>
                <w:color w:val="auto"/>
              </w:rPr>
            </w:pPr>
            <w:r>
              <w:rPr>
                <w:rFonts w:ascii="Arial" w:cs="Arial" w:eastAsia="Arial" w:hAnsi="Arial"/>
                <w:sz w:val="18"/>
                <w:szCs w:val="18"/>
                <w:color w:val="auto"/>
              </w:rPr>
              <w:t>Total cost of revenue (exclusive of depreciation shown separately</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51,335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39,468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113,756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328,496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(209,185)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(22,551)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(195,270)</w:t>
            </w: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10,844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9,367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10,413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9,367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10,844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9,367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10,413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available to common shareholders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2"/>
              </w:rPr>
              <w:t>(In thousands, except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86,859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Accounts receivable, net of allowance of $418 and $367, respectively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6"/>
              </w:rPr>
              <w:t>Loans held for sale ($80,116 and $85,638 measured at fair value, respectively)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67,129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0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9"/>
              </w:rPr>
              <w:t>Preferred stock $.01 par value; authorized 5,000,000 shares; none issued or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$.01 par value; authorized 50,000,000 shares; issued and outstanding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10,892,405 and 9,369,381 shares, respectively</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900,995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(760,041)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287,176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Common Stock</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138,128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894,577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Net loss for the nine months ended September 30, 2009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Sale of common stock</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0"/>
              </w:rPr>
              <w:t>Issuance of common stock upon exercise of stock options and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vesting of restricted stock units, net of withholding taxes</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900,995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49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(3,498)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provided by (used in)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impairment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Gain on origination and sale of loans</w:t>
            </w:r>
          </w:p>
        </w:tc>
        <w:tc>
          <w:tcPr>
            <w:tcW w:w="120" w:type="dxa"/>
            <w:vAlign w:val="bottom"/>
          </w:tcPr>
          <w:p>
            <w:pPr>
              <w:spacing w:after="0"/>
              <w:rPr>
                <w:sz w:val="18"/>
                <w:szCs w:val="18"/>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(89,701)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Loss on sale of real estate acquired in satisfaction of loans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89"/>
              </w:rPr>
              <w:t>(2,232,380)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2,335,100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1,816,273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Payments to investors for loan losses and early payoff obligations</w:t>
            </w:r>
          </w:p>
        </w:tc>
        <w:tc>
          <w:tcPr>
            <w:tcW w:w="120" w:type="dxa"/>
            <w:vAlign w:val="bottom"/>
          </w:tcPr>
          <w:p>
            <w:pPr>
              <w:spacing w:after="0"/>
              <w:rPr>
                <w:sz w:val="18"/>
                <w:szCs w:val="18"/>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(5,641)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24,448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Contingent acquisition consideration</w:t>
            </w:r>
          </w:p>
        </w:tc>
        <w:tc>
          <w:tcPr>
            <w:tcW w:w="1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(5,726)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1,964,237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1,586,413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89"/>
              </w:rPr>
              <w:t>(1,973,294)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1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contributions from IAC</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Arial" w:cs="Arial" w:eastAsia="Arial" w:hAnsi="Arial"/>
                <w:sz w:val="18"/>
                <w:szCs w:val="18"/>
                <w:color w:val="auto"/>
              </w:rPr>
              <w:t>Increase in restricted cash</w:t>
            </w:r>
          </w:p>
        </w:tc>
        <w:tc>
          <w:tcPr>
            <w:tcW w:w="12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(6,559)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00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86,859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80"/>
          </w:cols>
          <w:pgMar w:left="240" w:top="131" w:right="1379"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brands and businesses that formerly comprised IAC's Lending and Real Estate segments. We refer herein to these brands and businesses as the "Tree.com Businesses," which include LendingTree.com, RealEstate.com, GetSmart.com and Home Loan Center, Inc. (d/b/a LendingTree Loans).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94" w:lineRule="exact"/>
        <w:rPr>
          <w:sz w:val="20"/>
          <w:szCs w:val="20"/>
          <w:color w:val="auto"/>
        </w:rPr>
      </w:pPr>
    </w:p>
    <w:p>
      <w:pPr>
        <w:ind w:right="240" w:firstLine="348"/>
        <w:spacing w:after="0" w:line="289" w:lineRule="auto"/>
        <w:rPr>
          <w:sz w:val="20"/>
          <w:szCs w:val="20"/>
          <w:color w:val="auto"/>
        </w:rPr>
      </w:pPr>
      <w:r>
        <w:rPr>
          <w:rFonts w:ascii="Arial" w:cs="Arial" w:eastAsia="Arial" w:hAnsi="Arial"/>
          <w:sz w:val="16"/>
          <w:szCs w:val="16"/>
          <w:color w:val="auto"/>
        </w:rPr>
        <w:t>The accompanying unaudited interim consolidated financial statements as of September 30, 2009 and 2008 and for the three and nine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nine months ended September 30, 2009 are not necessarily indicative of the results to be expected for the year ending December 31, 2009, or any other period. These financial statements and notes should be read in conjunction with the audited financial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notes thereto included in the Company's annual report on Form 10-K for the year ended December 31, 2008.</w:t>
      </w:r>
    </w:p>
    <w:p>
      <w:pPr>
        <w:spacing w:after="0" w:line="225"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Tree.com evaluated subsequent events through November 5, 2009, the issuance date of our consolidated financial statements for the period ended September 30, 2009, as this is the date on which we filed such financial statements on Form 10-Q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and GetSmart.com) that connect consumers and service providers principally in the lending and higher education marketplaces.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6"/>
          <w:szCs w:val="16"/>
          <w:i w:val="1"/>
          <w:iCs w:val="1"/>
          <w:color w:val="auto"/>
        </w:rPr>
        <w:t>www.RealEstate.com</w:t>
      </w:r>
      <w:r>
        <w:rPr>
          <w:rFonts w:ascii="Arial" w:cs="Arial" w:eastAsia="Arial" w:hAnsi="Arial"/>
          <w:sz w:val="16"/>
          <w:szCs w:val="16"/>
          <w:color w:val="auto"/>
        </w:rPr>
        <w:t>, that connects consumers with real estate brokerages around the country.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2009, Tree.com purchased certain assets of four separate companies, with an aggregate purchase price of $6.9 million in cash and contingent consideration. One of the purchases closed in January 2009, and the three other purchases closed in third quarter of 2009. All four transactions are part of our strategic initiative to diversify our revenue streams outside of the mortgage and real estate industries.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These asset purchases are being accounted for under the acquisition method of accounting. Accordingly, the purchase price is allocated to the acquired assets and liabilities based on their estimated fair values at the acquisition date. The purchase price for three of the closed purchases has been allocated as $3.0 million to intangible assets with useful lives of five months to thirteen years and $2.5 million to goodwill. The allocation of the purchase price for the last transaction, including goodwill, if any, is not yet complete and will be finalized upon completion of the analysis of the fair values of the acquired assets and liabilities. The pro forma effect of these purchases was not material to our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Significant estimates underlying the accompanying unaudited consolidated financial statements include: valuation allowance for impaired loans held for sale; loss reserves on previously sold loans; the fair value of loans held for sale and related derivatives; the recoverability of long-lived assets,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change in reportable segments (see Note 7), certain prior period amounts have been reclassified to conform with the current year presentation with no effect on net loss or accumulated deficit. Specifically, compensation and other employee-related costs for loan officers within the LendingTree Loans segment totaling $2.8 million and $9.7 million for the three and nine months ending September 30, 2008, respectively, were reclassified from selling and marketing expense to cost of revenue, and certain other expenses totaling $0.1 million and $0.3 million for the three and nine months ending September 30, 2008, respectively, were reclassified from general and administrative expense to selling and marketing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in escrow for future operating lease</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 card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w w:val="96"/>
              </w:rPr>
              <w:t>Minimum required balances for warehouse lines of</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180"/>
              <w:spacing w:after="0"/>
              <w:rPr>
                <w:sz w:val="20"/>
                <w:szCs w:val="20"/>
                <w:color w:val="auto"/>
              </w:rPr>
            </w:pPr>
            <w:r>
              <w:rPr>
                <w:rFonts w:ascii="Arial" w:cs="Arial" w:eastAsia="Arial" w:hAnsi="Arial"/>
                <w:sz w:val="18"/>
                <w:szCs w:val="18"/>
                <w:color w:val="auto"/>
              </w:rPr>
              <w:t>credit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12,826</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Changes in restricted cash balances are shown within investing and financing activities in the accompanying consolidated statements of cash flows.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July 1, 2009, the Financial Accounting Standards Board ("FASB") issued guidance with the objective of establishing the Accounting Standards Codification as the source of authoritative nongovernmental GAAP. This did not replace GAAP, however, all existing accounting standards have been superseded and all other accounting literature not included in the codification will be considered nonauthoritative. Accordingly, all references to accounting standards have been conformed to the new codification hierarchy.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 2009, Tree.com adopted the accounting standard for business combinations, which establishes principles and requirements for how an acquirer recognizes and measures in its financial statements the identifiable assets acquired, the liabilities assumed, any noncontrolling interest in the acquiree and the goodwill acquired. This standard also establishes disclosure requirements that will enable users to evaluate the nature and financial effects of the business combination. The standard applies prospectively to business combinations in fiscal years beginning after December 15, 2008. The Company applied this standard to its business combinations made subsequent to January 1, 2009. See Note 1 for further information.</w:t>
      </w:r>
    </w:p>
    <w:p>
      <w:pPr>
        <w:spacing w:after="0" w:line="17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 2009, Tree.com adopted the updated accounting standard for derivatives and hedging. This standard amends and expands the existing disclosure requirements with the intent to provide users of financial statements with an enhanced understanding of: (i) how and why an entity uses derivative instruments; (ii) how derivative instruments and related hedged items are accounted for; and (iii) how derivative instruments and related hedged items affect an entity's financial position, financial performance and cash flows. The adoption of this standard did not have a material impact on the Company's consolidated financial statements. See Note 9 for further information.</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April 9, 2009, Tree.com adopted the updated accounting standards for financial instruments and interim reporting. The new standards require disclosures about fair value of financial instruments for interim reporting periods of publicly traded companies as well as in annual financial statements. The new standards also require those disclosures in summarized financial information at interim reporting periods. See Note 9 for further information.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28, 2009, Tree.com adopted the accounting standard for subsequent events. This standard establishes principles and requirements for subsequent events, in particular: (i) the period after the balance sheet date during which management of a reporting entity shall evaluate events or transactions that may occur for potential recognition or disclosure in the financial statements; (ii) the circumstances under which an entity shall recognize events or transactions occurring after the balance sheet date in its financial statements; and (iii) the disclosures that an entity shall make about events or transactions that occurred after the balance sheet date. See Note 1 for further information.</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On June 12, 2009, the FASB amended the accounting standard for transfers and servicing.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 This amendment will not have a material impact on the Company's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Goodwill—Real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Goodwill—Exchanges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60"/>
              <w:spacing w:after="0"/>
              <w:rPr>
                <w:sz w:val="20"/>
                <w:szCs w:val="20"/>
                <w:color w:val="auto"/>
              </w:rPr>
            </w:pPr>
            <w:r>
              <w:rPr>
                <w:rFonts w:ascii="Arial" w:cs="Arial" w:eastAsia="Arial" w:hAnsi="Arial"/>
                <w:sz w:val="18"/>
                <w:szCs w:val="18"/>
                <w:color w:val="auto"/>
              </w:rPr>
              <w:t>Total goodwill</w:t>
            </w: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Intangible assets with indefinite lives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55,229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with definite lives, net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60"/>
              <w:spacing w:after="0"/>
              <w:rPr>
                <w:sz w:val="20"/>
                <w:szCs w:val="20"/>
                <w:color w:val="auto"/>
              </w:rPr>
            </w:pPr>
            <w:r>
              <w:rPr>
                <w:rFonts w:ascii="Arial" w:cs="Arial" w:eastAsia="Arial" w:hAnsi="Arial"/>
                <w:sz w:val="18"/>
                <w:szCs w:val="18"/>
                <w:color w:val="auto"/>
              </w:rPr>
              <w:t>Total intangible assets, net</w:t>
            </w: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60,148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goodwill and intangible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2009, intangible assets with definite lives relate to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0"/>
              </w:rPr>
              <w:t>Amortization Life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76,353</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Technology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(29,285)</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(9,529)</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124,022</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(119,441)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20" w:type="dxa"/>
            <w:vAlign w:val="bottom"/>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80" w:type="dxa"/>
            <w:vAlign w:val="bottom"/>
            <w:gridSpan w:val="7"/>
          </w:tcPr>
          <w:p>
            <w:pPr>
              <w:jc w:val="right"/>
              <w:ind w:right="12"/>
              <w:spacing w:after="0"/>
              <w:rPr>
                <w:sz w:val="20"/>
                <w:szCs w:val="20"/>
                <w:color w:val="auto"/>
              </w:rPr>
            </w:pPr>
            <w:r>
              <w:rPr>
                <w:rFonts w:ascii="Arial" w:cs="Arial" w:eastAsia="Arial" w:hAnsi="Arial"/>
                <w:sz w:val="18"/>
                <w:szCs w:val="18"/>
                <w:color w:val="auto"/>
                <w:w w:val="93"/>
              </w:rPr>
              <w:t>At December 31, 2008, intangible assets with definite lives relate to the following (in thousands):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90"/>
              </w:rPr>
              <w:t>Amortization Life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76,117</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Technology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(29,100)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(7,297)</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121,336</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(111,902)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80" w:type="dxa"/>
            <w:vAlign w:val="bottom"/>
            <w:vMerge w:val="restart"/>
          </w:tcPr>
          <w:p>
            <w:pPr>
              <w:jc w:val="right"/>
              <w:ind w:right="27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September 30, 2009 balances, such amortization is estimated to be as follows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2009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Year ending December 31, 2010</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2,085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Year ending December 31, 2012</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Year ending December 31, 2014 and thereafter</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r>
      <w:tr>
        <w:trPr>
          <w:trHeight w:val="21"/>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4,581</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the second quarter of 2009, Tree.com recorded impairment charges of $3.9 million related to definite-lived intangible assets within the new homes referral service business of Real Estate. In the second quarter of 2009, the new Real Estate operating segment leadership undertook significant changes in management, operational focus and marketing efforts related to the new homes referral service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74" w:lineRule="exact"/>
        <w:rPr>
          <w:sz w:val="20"/>
          <w:szCs w:val="20"/>
          <w:color w:val="auto"/>
        </w:rPr>
      </w:pPr>
    </w:p>
    <w:p>
      <w:pPr>
        <w:jc w:val="both"/>
        <w:ind w:right="540" w:firstLine="351"/>
        <w:spacing w:after="0" w:line="256" w:lineRule="auto"/>
        <w:rPr>
          <w:sz w:val="20"/>
          <w:szCs w:val="20"/>
          <w:color w:val="auto"/>
        </w:rPr>
      </w:pPr>
      <w:r>
        <w:rPr>
          <w:rFonts w:ascii="Arial" w:cs="Arial" w:eastAsia="Arial" w:hAnsi="Arial"/>
          <w:sz w:val="18"/>
          <w:szCs w:val="18"/>
          <w:color w:val="auto"/>
        </w:rPr>
        <w:t>In the second quarter of 2008, Tree.com recorded impairment charges of $131.0 million and $33.4 million related to goodwill and an indefinite-lived intangible asset, respectively.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impairments in 2008 resulted from the Company's reassessment of its likely future profitability in light of the persistent adverse mortgage and real estate market realities. These adverse conditions included, among others, constrained liquidity, lender focus on low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balance of goodwill by segment, including changes in the carrying amount of goodwill,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w w:val="86"/>
              </w:rPr>
              <w:t>Balance as of</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3"/>
          </w:tcPr>
          <w:p>
            <w:pPr>
              <w:ind w:left="1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January 1, 2008</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Additions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(Deductions)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Impairments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September 30, 2008</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(69,253)</w:t>
            </w:r>
          </w:p>
        </w:tc>
        <w:tc>
          <w:tcPr>
            <w:tcW w:w="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(60,806)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140,892</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(130,957)</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gridSpan w:val="2"/>
          </w:tcPr>
          <w:p>
            <w:pPr>
              <w:jc w:val="right"/>
              <w:ind w:right="182"/>
              <w:spacing w:after="0"/>
              <w:rPr>
                <w:sz w:val="20"/>
                <w:szCs w:val="20"/>
                <w:color w:val="auto"/>
              </w:rPr>
            </w:pPr>
            <w:r>
              <w:rPr>
                <w:rFonts w:ascii="Arial" w:cs="Arial" w:eastAsia="Arial" w:hAnsi="Arial"/>
                <w:sz w:val="18"/>
                <w:szCs w:val="18"/>
                <w:color w:val="auto"/>
                <w:w w:val="99"/>
              </w:rPr>
              <w:t>10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Deductions principally relate to the establishment of deferred tax assets related to the acquired tax attributes and income tax benefit realized pursuant to the exercise of stock options assumed in a business acquisition that were vested at the transaction date and are treated as a reduction in goodwill when the income tax deductions are realized. The impairments are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December 31, 2008</w:t>
            </w:r>
          </w:p>
        </w:tc>
        <w:tc>
          <w:tcPr>
            <w:tcW w:w="16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34,416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3,184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5,088</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Projects in progress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3,169</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45,857</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(33,601)</w:t>
            </w: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(28,800)</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17,057</w:t>
            </w: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September 30,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2008</w:t>
            </w:r>
          </w:p>
        </w:tc>
      </w:tr>
      <w:tr>
        <w:trPr>
          <w:trHeight w:val="201"/>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Accrued loan loss liability related to loans previously</w:t>
            </w: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Litigation accruals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2,031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5,251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restructuring costs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3,262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2,957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9,380</w:t>
            </w:r>
          </w:p>
        </w:tc>
      </w:tr>
      <w:tr>
        <w:trPr>
          <w:trHeight w:val="21"/>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Total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37,146</w:t>
            </w:r>
          </w:p>
        </w:tc>
      </w:tr>
      <w:tr>
        <w:trPr>
          <w:trHeight w:val="27"/>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other category above reflects an estimated earnout payable related to an acquisition and other miscellaneous accrued expenses.</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An additional $5.9 million and $6.5 million of accrued loan loss liability related to loans previously sold is classified in other long term liabilities at September 30, 2009 and December 31, 2008,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Borrowings on warehouse lines of credit were $67.1 million and $76.2 million at September 30, 2009 and December 31, 2008, respectively.</w:t>
      </w:r>
    </w:p>
    <w:p>
      <w:pPr>
        <w:spacing w:after="0" w:line="248"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September 30, 2009, LendingTree Loans had two committed lines of credit ("warehouse lines") totaling $100 million of borrowing capacity. In addition, LendingTree Loans obtained a third warehouse line for $75 million on October 30, 2009, bringing the total borrowing capacity to $175 million. Borrowings under these lines are limited for funding, and are secured by, consumer residential loans that are held for sale. Loans under these warehouse lines are repaid directly from proceeds from the sales of loans by LendingTree Loans.</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$50 million first line is scheduled to expire on December 29, 2009; however, that lender has indicated it is exiting the warehouse lending business and will honor the existing contract only through the stated term. The interest rate under this line is 30-day LIBOR plus 125 basis points.</w:t>
      </w:r>
    </w:p>
    <w:p>
      <w:pPr>
        <w:spacing w:after="0" w:line="13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$50 million second line is scheduled to expire on April 30, 2010, but can be cancelled at the option of the lender without default upon sixty days notice. This second line includes an additional uncommitted credit facility of $75 million and is guaranteed by Tree.com, Inc., LendingTree, LLC and LendingTree Holdings Corp. The interest rate under the second line is 225 basis points plus the greater of (a) the 30-day LIBOR or (b) 200 basis points. The interest rate under the $75 million uncommitted line is 30-day LIBOR plus 150 basis points. LendingTree Loans is also required to sell at least 50% of the loans it originates to an affiliate of the lender under this line or pay a "pair-off fee" of 37.5 basis points on the difference between the required and actual volume of loans sold.</w:t>
      </w:r>
    </w:p>
    <w:p>
      <w:pPr>
        <w:spacing w:after="0" w:line="170"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$75 million third line is scheduled to expire on October 29, 2010. The interest rate under this line is 30-day LIBOR or 2.0% (whichever is greater) plus 250 basis points for loans being sold to the lender and 30-day LIBOR or 2.0% (whichever is greater) plus 275 basis points for loans not being purchased by the lender.</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and (vi) pre-tax net income requirements. During the quarter ended September 30, 2009, LendingTree Loans was in compliance with the covenants under the lines.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of the warehouse lines were lost.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During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52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proceeds from litigation settlements, (6) pro forma adjustments for significant acquisitions, and</w:t>
      </w:r>
    </w:p>
    <w:p>
      <w:pPr>
        <w:spacing w:after="0" w:line="32" w:lineRule="exact"/>
        <w:rPr>
          <w:rFonts w:ascii="Arial" w:cs="Arial" w:eastAsia="Arial" w:hAnsi="Arial"/>
          <w:sz w:val="16"/>
          <w:szCs w:val="16"/>
          <w:color w:val="auto"/>
        </w:rPr>
      </w:pPr>
    </w:p>
    <w:p>
      <w:pPr>
        <w:ind w:firstLine="8"/>
        <w:spacing w:after="0" w:line="29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one-time items. Tree.com believes these measures are useful to investors because they represent the operating results from Tree.com's segments, but exclude the effects of any other non-cash expenses.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a reconciliation to EBITDA and Adjusted EBITDA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87"/>
              </w:rPr>
              <w:t>For the Three Months Ended September 30, 2009: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95"/>
              </w:rPr>
              <w:t>LendingTree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Unallocated—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24,109</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7"/>
              </w:rPr>
              <w:t>Cost of revenue (exclusive of depreciation shown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18,690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17,529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39,468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to EBITDA and Adjusted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(4,689)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13"/>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w w:val="88"/>
              </w:rPr>
              <w:t>For the Three Months Ended September 30, 2008:</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LendingTree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Real 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7"/>
              </w:rPr>
              <w:t>Cost of revenue (exclusive of depreciation shown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22,672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(22,455)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to EBITDA and Adjusted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(18,460)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7,805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3"/>
              </w:rPr>
              <w:t>For the Nine Months Ended September 30, 2009: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LendingTree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Exchanges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168,949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58,203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110,746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51,335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8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113,756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Adjustments to reconcile to EBITDA and Adjusted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4"/>
                <w:szCs w:val="14"/>
                <w:b w:val="1"/>
                <w:bCs w:val="1"/>
                <w:color w:val="auto"/>
                <w:w w:val="89"/>
              </w:rPr>
              <w:t>For the Nine Months Ended September 30, 2008:</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LendingTree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Unallocated—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1"/>
              </w:rPr>
              <w:t>Exchanges</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5"/>
              </w:rPr>
              <w:t>Cost of revenue (exclusive of depreciation shown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separately below)</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60,635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58,358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6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85,227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328,496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(208,697)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Adjustments to reconcile to EBITDA and Adjusted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(193,828)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10,024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and nine months ended September 30, 2009 and 2008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Origination and sale of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22,495</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17,911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89,701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19,993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Match fees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Exchanges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(5,141)</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(10,889)</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50,716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180,434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0" w:hanging="531"/>
        <w:spacing w:after="0" w:line="33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revenue within the LendingTree Loans segment includes $0.4 million and $1.0 million of inter-segment revenue for the three and nine months ended September 30, 2008, respectively, which is also included in the inter-segment elimination.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September 30, 2009 and December 31, 2008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149,310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31,207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38,085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96,688</w:t>
            </w: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6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840" w:hanging="550"/>
        <w:spacing w:after="0" w:line="268" w:lineRule="auto"/>
        <w:tabs>
          <w:tab w:leader="none" w:pos="2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4"/>
          </w:tcPr>
          <w:p>
            <w:pPr>
              <w:jc w:val="right"/>
              <w:ind w:right="40"/>
              <w:spacing w:after="0"/>
              <w:rPr>
                <w:sz w:val="20"/>
                <w:szCs w:val="20"/>
                <w:color w:val="auto"/>
              </w:rPr>
            </w:pPr>
            <w:r>
              <w:rPr>
                <w:rFonts w:ascii="Arial" w:cs="Arial" w:eastAsia="Arial" w:hAnsi="Arial"/>
                <w:sz w:val="14"/>
                <w:szCs w:val="14"/>
                <w:b w:val="1"/>
                <w:bCs w:val="1"/>
                <w:color w:val="auto"/>
                <w:w w:val="89"/>
              </w:rPr>
              <w:t>Three Months Ended September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6"/>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Basic</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Basic</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14"/>
          </w:tcPr>
          <w:p>
            <w:pPr>
              <w:ind w:left="4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loss available to common shareholders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(7,400)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3"/>
              <w:spacing w:after="0"/>
              <w:rPr>
                <w:sz w:val="20"/>
                <w:szCs w:val="20"/>
                <w:color w:val="auto"/>
              </w:rPr>
            </w:pPr>
            <w:r>
              <w:rPr>
                <w:rFonts w:ascii="Arial" w:cs="Arial" w:eastAsia="Arial" w:hAnsi="Arial"/>
                <w:sz w:val="18"/>
                <w:szCs w:val="18"/>
                <w:color w:val="auto"/>
              </w:rPr>
              <w:t>(7,400)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(22,551)</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(22,551)</w:t>
            </w: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10,844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4"/>
          </w:tcPr>
          <w:p>
            <w:pPr>
              <w:jc w:val="right"/>
              <w:ind w:right="160"/>
              <w:spacing w:after="0"/>
              <w:rPr>
                <w:sz w:val="20"/>
                <w:szCs w:val="20"/>
                <w:color w:val="auto"/>
              </w:rPr>
            </w:pPr>
            <w:r>
              <w:rPr>
                <w:rFonts w:ascii="Arial" w:cs="Arial" w:eastAsia="Arial" w:hAnsi="Arial"/>
                <w:sz w:val="14"/>
                <w:szCs w:val="14"/>
                <w:b w:val="1"/>
                <w:bCs w:val="1"/>
                <w:color w:val="auto"/>
                <w:w w:val="86"/>
              </w:rPr>
              <w:t>Nine Months Ended September 30,</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w w:val="80"/>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w w:val="80"/>
              </w:rPr>
              <w:t>Basic</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4"/>
              </w:rPr>
              <w:t>Diluted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(In</w:t>
            </w:r>
          </w:p>
        </w:tc>
        <w:tc>
          <w:tcPr>
            <w:tcW w:w="7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8"/>
              </w:rPr>
              <w:t>thousands,</w:t>
            </w: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except per share</w:t>
            </w:r>
          </w:p>
        </w:tc>
        <w:tc>
          <w:tcPr>
            <w:tcW w:w="36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71"/>
              </w:rPr>
              <w:t>data)</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loss available to common shareholders</w:t>
            </w:r>
          </w:p>
        </w:tc>
        <w:tc>
          <w:tcPr>
            <w:tcW w:w="1960" w:type="dxa"/>
            <w:vAlign w:val="bottom"/>
            <w:gridSpan w:val="5"/>
          </w:tcPr>
          <w:p>
            <w:pPr>
              <w:jc w:val="right"/>
              <w:spacing w:after="0"/>
              <w:rPr>
                <w:sz w:val="20"/>
                <w:szCs w:val="20"/>
                <w:color w:val="auto"/>
              </w:rPr>
            </w:pPr>
            <w:r>
              <w:rPr>
                <w:rFonts w:ascii="Arial" w:cs="Arial" w:eastAsia="Arial" w:hAnsi="Arial"/>
                <w:sz w:val="18"/>
                <w:szCs w:val="18"/>
                <w:color w:val="auto"/>
              </w:rPr>
              <w:t>$  (3,498)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52"/>
              <w:spacing w:after="0"/>
              <w:rPr>
                <w:sz w:val="20"/>
                <w:szCs w:val="20"/>
                <w:color w:val="auto"/>
              </w:rPr>
            </w:pPr>
            <w:r>
              <w:rPr>
                <w:rFonts w:ascii="Arial" w:cs="Arial" w:eastAsia="Arial" w:hAnsi="Arial"/>
                <w:sz w:val="18"/>
                <w:szCs w:val="18"/>
                <w:color w:val="auto"/>
              </w:rPr>
              <w:t>(3,498)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3"/>
              </w:rPr>
              <w:t>(195,270)</w:t>
            </w:r>
          </w:p>
        </w:tc>
        <w:tc>
          <w:tcPr>
            <w:tcW w:w="60" w:type="dxa"/>
            <w:vAlign w:val="bottom"/>
          </w:tcPr>
          <w:p>
            <w:pPr>
              <w:spacing w:after="0"/>
              <w:rPr>
                <w:sz w:val="18"/>
                <w:szCs w:val="18"/>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(195,270)</w:t>
            </w: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10,413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10,413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(0.34)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4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common shares for the period from January 1, 2008 until the spin-off from IAC is equal to the number of shares outstanding immediately following the spin-off from IAC.</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and nine months ended September 30, 2009 and 2008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left="281"/>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left="301"/>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Product development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10,024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pass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w:t>
      </w:r>
    </w:p>
    <w:p>
      <w:pPr>
        <w:spacing w:after="0" w:line="19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nine months ended September 30, 2009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1,870,707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(639,082)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24.07</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September 30, 2009</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7.4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8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277,831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9.64</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September 30,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6"/>
          </w:tcPr>
          <w:p>
            <w:pPr>
              <w:ind w:left="6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Outstanding at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340" w:type="dxa"/>
            <w:vAlign w:val="bottom"/>
          </w:tcPr>
          <w:p>
            <w:pPr>
              <w:jc w:val="right"/>
              <w:ind w:right="204"/>
              <w:spacing w:after="0" w:line="149" w:lineRule="exact"/>
              <w:rPr>
                <w:sz w:val="20"/>
                <w:szCs w:val="20"/>
                <w:color w:val="auto"/>
              </w:rPr>
            </w:pPr>
            <w:r>
              <w:rPr>
                <w:rFonts w:ascii="Arial" w:cs="Arial" w:eastAsia="Arial" w:hAnsi="Arial"/>
                <w:sz w:val="14"/>
                <w:szCs w:val="14"/>
                <w:b w:val="1"/>
                <w:bCs w:val="1"/>
                <w:color w:val="auto"/>
              </w:rPr>
              <w:t>Exercisable 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040" w:type="dxa"/>
            <w:vAlign w:val="bottom"/>
            <w:gridSpan w:val="3"/>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tcPr>
          <w:p>
            <w:pPr>
              <w:jc w:val="right"/>
              <w:ind w:right="18"/>
              <w:spacing w:after="0"/>
              <w:rPr>
                <w:sz w:val="20"/>
                <w:szCs w:val="20"/>
                <w:color w:val="auto"/>
              </w:rPr>
            </w:pPr>
            <w:r>
              <w:rPr>
                <w:rFonts w:ascii="Arial" w:cs="Arial" w:eastAsia="Arial" w:hAnsi="Arial"/>
                <w:sz w:val="14"/>
                <w:szCs w:val="14"/>
                <w:b w:val="1"/>
                <w:bCs w:val="1"/>
                <w:color w:val="auto"/>
                <w:w w:val="91"/>
              </w:rPr>
              <w:t>September 30, 2009</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340" w:type="dxa"/>
            <w:vAlign w:val="bottom"/>
          </w:tcPr>
          <w:p>
            <w:pPr>
              <w:jc w:val="right"/>
              <w:ind w:right="44"/>
              <w:spacing w:after="0"/>
              <w:rPr>
                <w:sz w:val="20"/>
                <w:szCs w:val="20"/>
                <w:color w:val="auto"/>
              </w:rPr>
            </w:pPr>
            <w:r>
              <w:rPr>
                <w:rFonts w:ascii="Arial" w:cs="Arial" w:eastAsia="Arial" w:hAnsi="Arial"/>
                <w:sz w:val="14"/>
                <w:szCs w:val="14"/>
                <w:b w:val="1"/>
                <w:bCs w:val="1"/>
                <w:color w:val="auto"/>
                <w:w w:val="91"/>
              </w:rPr>
              <w:t>September 30, 2009</w:t>
            </w:r>
          </w:p>
        </w:tc>
        <w:tc>
          <w:tcPr>
            <w:tcW w:w="1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320" w:type="dxa"/>
            <w:vAlign w:val="bottom"/>
          </w:tcPr>
          <w:p>
            <w:pPr>
              <w:jc w:val="right"/>
              <w:spacing w:after="0"/>
              <w:rPr>
                <w:sz w:val="20"/>
                <w:szCs w:val="20"/>
                <w:color w:val="auto"/>
              </w:rPr>
            </w:pPr>
            <w:r>
              <w:rPr>
                <w:rFonts w:ascii="Arial" w:cs="Arial" w:eastAsia="Arial" w:hAnsi="Arial"/>
                <w:sz w:val="18"/>
                <w:szCs w:val="18"/>
                <w:color w:val="auto"/>
              </w:rPr>
              <w:t>19,900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320" w:type="dxa"/>
            <w:vAlign w:val="bottom"/>
          </w:tcPr>
          <w:p>
            <w:pPr>
              <w:jc w:val="right"/>
              <w:spacing w:after="0"/>
              <w:rPr>
                <w:sz w:val="20"/>
                <w:szCs w:val="20"/>
                <w:color w:val="auto"/>
              </w:rPr>
            </w:pPr>
            <w:r>
              <w:rPr>
                <w:rFonts w:ascii="Arial" w:cs="Arial" w:eastAsia="Arial" w:hAnsi="Arial"/>
                <w:sz w:val="18"/>
                <w:szCs w:val="18"/>
                <w:color w:val="auto"/>
              </w:rPr>
              <w:t>123,999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123,999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320" w:type="dxa"/>
            <w:vAlign w:val="bottom"/>
          </w:tcPr>
          <w:p>
            <w:pPr>
              <w:jc w:val="right"/>
              <w:spacing w:after="0"/>
              <w:rPr>
                <w:sz w:val="20"/>
                <w:szCs w:val="20"/>
                <w:color w:val="auto"/>
              </w:rPr>
            </w:pPr>
            <w:r>
              <w:rPr>
                <w:rFonts w:ascii="Arial" w:cs="Arial" w:eastAsia="Arial" w:hAnsi="Arial"/>
                <w:sz w:val="18"/>
                <w:szCs w:val="18"/>
                <w:color w:val="auto"/>
              </w:rPr>
              <w:t>48,447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$25.00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7.37</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9.43</w:t>
            </w:r>
          </w:p>
        </w:tc>
        <w:tc>
          <w:tcPr>
            <w:tcW w:w="1500" w:type="dxa"/>
            <w:vAlign w:val="bottom"/>
            <w:gridSpan w:val="2"/>
          </w:tcPr>
          <w:p>
            <w:pPr>
              <w:spacing w:after="0"/>
              <w:rPr>
                <w:sz w:val="2"/>
                <w:szCs w:val="2"/>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1,222,257</w:t>
            </w:r>
          </w:p>
        </w:tc>
        <w:tc>
          <w:tcPr>
            <w:tcW w:w="106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277,831</w:t>
            </w:r>
          </w:p>
        </w:tc>
        <w:tc>
          <w:tcPr>
            <w:tcW w:w="3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right"/>
              <w:ind w:right="549"/>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Nonvested RSUs and restricted stock outstanding as of September 30, 2009 and changes during the nine months ended September 30, 2009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503,220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(117,970)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(113,750)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September 30, 2009 and December 31, 2008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As of September 30, 2009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11"/>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21</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4"/>
              </w:rPr>
              <w:t>As of December 31, 2008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11"/>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2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and nine months ended September 30, 2009 and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0"/>
              </w:rPr>
              <w:t>Nine Months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Ended September 30, 2009</w:t>
            </w:r>
          </w:p>
        </w:tc>
        <w:tc>
          <w:tcPr>
            <w:tcW w:w="100" w:type="dxa"/>
            <w:vAlign w:val="bottom"/>
          </w:tcPr>
          <w:p>
            <w:pPr>
              <w:spacing w:after="0"/>
              <w:rPr>
                <w:sz w:val="14"/>
                <w:szCs w:val="14"/>
                <w:color w:val="auto"/>
              </w:rPr>
            </w:pPr>
          </w:p>
        </w:tc>
        <w:tc>
          <w:tcPr>
            <w:tcW w:w="3500" w:type="dxa"/>
            <w:vAlign w:val="bottom"/>
            <w:gridSpan w:val="6"/>
          </w:tcPr>
          <w:p>
            <w:pPr>
              <w:jc w:val="center"/>
              <w:ind w:right="1360"/>
              <w:spacing w:after="0"/>
              <w:rPr>
                <w:sz w:val="20"/>
                <w:szCs w:val="20"/>
                <w:color w:val="auto"/>
              </w:rPr>
            </w:pPr>
            <w:r>
              <w:rPr>
                <w:rFonts w:ascii="Arial" w:cs="Arial" w:eastAsia="Arial" w:hAnsi="Arial"/>
                <w:sz w:val="14"/>
                <w:szCs w:val="14"/>
                <w:b w:val="1"/>
                <w:bCs w:val="1"/>
                <w:color w:val="auto"/>
                <w:w w:val="86"/>
              </w:rPr>
              <w:t>Ended September 30, 2009</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Loans Held</w:t>
            </w:r>
          </w:p>
        </w:tc>
        <w:tc>
          <w:tcPr>
            <w:tcW w:w="1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1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for Sale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5"/>
              </w:rPr>
              <w:t>for Sale</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3"/>
              </w:rPr>
              <w:t>Total net gains (realized and unrealized) included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80" w:type="dxa"/>
            <w:vAlign w:val="bottom"/>
          </w:tcPr>
          <w:p>
            <w:pPr>
              <w:ind w:left="30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Purchase, sales, issuances and settlements,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(8,064)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(32,741)</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September 30, 2009</w:t>
            </w: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0"/>
              </w:rPr>
              <w:t>Nine Months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Ended September 30, 2008</w:t>
            </w:r>
          </w:p>
        </w:tc>
        <w:tc>
          <w:tcPr>
            <w:tcW w:w="100" w:type="dxa"/>
            <w:vAlign w:val="bottom"/>
          </w:tcPr>
          <w:p>
            <w:pPr>
              <w:spacing w:after="0"/>
              <w:rPr>
                <w:sz w:val="14"/>
                <w:szCs w:val="14"/>
                <w:color w:val="auto"/>
              </w:rPr>
            </w:pPr>
          </w:p>
        </w:tc>
        <w:tc>
          <w:tcPr>
            <w:tcW w:w="3500" w:type="dxa"/>
            <w:vAlign w:val="bottom"/>
            <w:gridSpan w:val="6"/>
          </w:tcPr>
          <w:p>
            <w:pPr>
              <w:jc w:val="center"/>
              <w:ind w:right="1360"/>
              <w:spacing w:after="0"/>
              <w:rPr>
                <w:sz w:val="20"/>
                <w:szCs w:val="20"/>
                <w:color w:val="auto"/>
              </w:rPr>
            </w:pPr>
            <w:r>
              <w:rPr>
                <w:rFonts w:ascii="Arial" w:cs="Arial" w:eastAsia="Arial" w:hAnsi="Arial"/>
                <w:sz w:val="14"/>
                <w:szCs w:val="14"/>
                <w:b w:val="1"/>
                <w:bCs w:val="1"/>
                <w:color w:val="auto"/>
                <w:w w:val="86"/>
              </w:rPr>
              <w:t>Ended September 30, 2008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Loans Held</w:t>
            </w:r>
          </w:p>
        </w:tc>
        <w:tc>
          <w:tcPr>
            <w:tcW w:w="1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1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5"/>
              </w:rPr>
              <w:t>for Sale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5"/>
              </w:rPr>
              <w:t>for Sale</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3"/>
              </w:rPr>
              <w:t>Total net gains (realized and unrealized) included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80" w:type="dxa"/>
            <w:vAlign w:val="bottom"/>
          </w:tcPr>
          <w:p>
            <w:pPr>
              <w:ind w:left="30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Purchase, sales, issuances and settlements,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(18,025)</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(1,397)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or out of Level 3,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Balance at September 30, 2008</w:t>
            </w:r>
          </w:p>
        </w:tc>
        <w:tc>
          <w:tcPr>
            <w:tcW w:w="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781"/>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following presents the gains included in earnings for the three and nine months ended September 30, 2009 and 2008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90"/>
              </w:rPr>
              <w:t>Nine Months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Ended September 30, 2009</w:t>
            </w:r>
          </w:p>
        </w:tc>
        <w:tc>
          <w:tcPr>
            <w:tcW w:w="10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Ended 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7"/>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47"/>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Loans Held</w:t>
            </w:r>
          </w:p>
        </w:tc>
        <w:tc>
          <w:tcPr>
            <w:tcW w:w="100" w:type="dxa"/>
            <w:vAlign w:val="bottom"/>
          </w:tcPr>
          <w:p>
            <w:pPr>
              <w:spacing w:after="0"/>
              <w:rPr>
                <w:sz w:val="12"/>
                <w:szCs w:val="12"/>
                <w:color w:val="auto"/>
              </w:rPr>
            </w:pPr>
          </w:p>
        </w:tc>
        <w:tc>
          <w:tcPr>
            <w:tcW w:w="12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for Sale</w:t>
            </w:r>
          </w:p>
        </w:tc>
        <w:tc>
          <w:tcPr>
            <w:tcW w:w="100" w:type="dxa"/>
            <w:vAlign w:val="bottom"/>
          </w:tcPr>
          <w:p>
            <w:pPr>
              <w:spacing w:after="0"/>
              <w:rPr>
                <w:sz w:val="14"/>
                <w:szCs w:val="14"/>
                <w:color w:val="auto"/>
              </w:rPr>
            </w:pPr>
          </w:p>
        </w:tc>
        <w:tc>
          <w:tcPr>
            <w:tcW w:w="124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Total net gains included in earnings, which are included</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relating to assets and</w:t>
            </w: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6"/>
              </w:rPr>
              <w:t>liabilities still held at September 30, 2009, which are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89"/>
              </w:rPr>
              <w:t>Three Months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90"/>
              </w:rPr>
              <w:t>Nine Months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Ended September 30, 2008</w:t>
            </w:r>
          </w:p>
        </w:tc>
        <w:tc>
          <w:tcPr>
            <w:tcW w:w="10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27"/>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47"/>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Lock Commitments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Loans Held</w:t>
            </w:r>
          </w:p>
        </w:tc>
        <w:tc>
          <w:tcPr>
            <w:tcW w:w="100" w:type="dxa"/>
            <w:vAlign w:val="bottom"/>
          </w:tcPr>
          <w:p>
            <w:pPr>
              <w:spacing w:after="0"/>
              <w:rPr>
                <w:sz w:val="12"/>
                <w:szCs w:val="12"/>
                <w:color w:val="auto"/>
              </w:rPr>
            </w:pPr>
          </w:p>
        </w:tc>
        <w:tc>
          <w:tcPr>
            <w:tcW w:w="12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Loans 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7"/>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for Sale</w:t>
            </w:r>
          </w:p>
        </w:tc>
        <w:tc>
          <w:tcPr>
            <w:tcW w:w="100" w:type="dxa"/>
            <w:vAlign w:val="bottom"/>
          </w:tcPr>
          <w:p>
            <w:pPr>
              <w:spacing w:after="0"/>
              <w:rPr>
                <w:sz w:val="14"/>
                <w:szCs w:val="14"/>
                <w:color w:val="auto"/>
              </w:rPr>
            </w:pPr>
          </w:p>
        </w:tc>
        <w:tc>
          <w:tcPr>
            <w:tcW w:w="124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Delivery Contracts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Total net gains (losses) included in earnings, which are</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w w:val="90"/>
              </w:rPr>
              <w:t>Change in unrealized gains (losses) relating to assets and</w:t>
            </w: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w w:val="96"/>
              </w:rPr>
              <w:t>liabilities still held at September 30, 2008, which are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included in revenue from 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LendingTree Loans economically hedges the changes in fair value of certain loans held for sale primarily by entering into mortgage forward delivery contracts. The changes in fair value of the forward delivery contracts are recognized in current earnings as a component of LendingTree Loans revenue.</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Accordingly, LendingTree Loans determines the fair value of IRLCs using current secondary market prices for underlying loans with similar coupons, maturity and credit quality, subject to the anticipated loan funding probability. The fair value of IRLCs is subject to change primarily due to changes in interest rates and the loan funding probability. Under LendingTree Loans' risk management policy, LendingTree Loans economically hedges the changes in fair value of IRLCs primarily by entering into mortgage forward delivery contracts which can reduce the volatility of economic outcomes. IRLCs and the related hedging instruments are recorded at fair value with changes in fair value being recorded in current earnings as a component of revenue from the origination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sale of loans in the consolidated statement of operations. At September 30, 2009 and December 31, 2008, there were $289.1 million and $252.9 million, respectively, of IRLCs notional value outstanding.</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September 30, 2009 and December 31, 2008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September 30, 2009</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December 31, 2008</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2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Prepaid and other current assets</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6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84"/>
              </w:rPr>
              <w:t>Prepaid and other 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Accrued expenses and other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current 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08"/>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Forward Delivery</w:t>
            </w:r>
          </w:p>
        </w:tc>
        <w:tc>
          <w:tcPr>
            <w:tcW w:w="2480" w:type="dxa"/>
            <w:vAlign w:val="bottom"/>
          </w:tcPr>
          <w:p>
            <w:pPr>
              <w:jc w:val="center"/>
              <w:spacing w:after="0"/>
              <w:rPr>
                <w:sz w:val="20"/>
                <w:szCs w:val="20"/>
                <w:color w:val="auto"/>
              </w:rPr>
            </w:pPr>
            <w:r>
              <w:rPr>
                <w:rFonts w:ascii="Arial" w:cs="Arial" w:eastAsia="Arial" w:hAnsi="Arial"/>
                <w:sz w:val="18"/>
                <w:szCs w:val="18"/>
                <w:color w:val="auto"/>
                <w:w w:val="86"/>
              </w:rPr>
              <w:t>Accrued expenses and 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Accrued expenses and 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current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(1,868)</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current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(2,155)</w:t>
            </w:r>
          </w:p>
        </w:tc>
      </w:tr>
      <w:tr>
        <w:trPr>
          <w:trHeight w:val="29"/>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three and nine months ended September 30, 2009 and 2008 was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Location of Gain/(Loss)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Ended</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Ended</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2"/>
                <w:szCs w:val="12"/>
                <w:color w:val="auto"/>
              </w:rPr>
            </w:pPr>
          </w:p>
        </w:tc>
        <w:tc>
          <w:tcPr>
            <w:tcW w:w="10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Derivative</w:t>
            </w:r>
          </w:p>
        </w:tc>
        <w:tc>
          <w:tcPr>
            <w:tcW w:w="24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277"/>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ind w:right="29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Rate Lock</w:t>
            </w:r>
          </w:p>
        </w:tc>
        <w:tc>
          <w:tcPr>
            <w:tcW w:w="2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2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w:t>
            </w: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74,178</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9"/>
              </w:rPr>
              <w:t>Forward Delivery Contracts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14,320</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74,327</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 did not elect the fair value option on loans held for sale originated prior to January 1, 2008 and on loans that were repurchased from investors on or subsequent to that date. As of September 30, 2009 and December 31, 2008, 38 and 60 such loans, respectively, all of which were impaired, were included in loans held for sale and were carried at the lower of cost or market ("LOCOM") value assessed on an individual loan basis. The market value (or fair value) of these impaired loans at September 30, 2009 and December 31, 2008, measured on a non-recurring basis using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significant unobservable inputs (Level 3), was $1.8 and $2.2 million, respectively. This fair value measurement is management's best estimate of the market value of such loans and considers current bids in the secondary market for similar loans.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September 30, 2009 and December 31, 2008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September 30, 2009</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Total Loans</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31, 2008</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Loans Held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Sale—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Total Loans</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Held For 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w:t>
            </w: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three months ended September 30, 2009 and 2008, the change in fair value of loans held for sale for which the fair value option has been elected was a gain of $1.6 million and a loss of $0.7 million, respectively, and is included as a component of LendingTree Loans revenue in the accompanying consolidated statements of operations.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the nine months ended September 30, 2009 and 2008, the change in fair value of loans held for sale for which the fair value option has been elected were losses of $0.4 million and $2.4 million, respectively, and is included as a component of LendingTree Loans revenue in the accompanying consolidated statements of operations.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disclosures represent financial instruments in which the ending balances at September 30, 2009 and December 31, 2008 are not carried at fair value in their entirety on the Company's consolidated balance sheets. The additional disclosure below of the estimated fair value of financial instruments has been determined by the Company using available market information and appropriate valuation methodologies. However, considerable judgment is necessarily required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interpret market data to develop the estimates of fair value. Accordingly, the estimates presented herein are not necessarily indicative of the amounts that could be realized in a current market exchange. The use of different market assumptions or estimation methodologies may have a material impact on the estimated fair value amounts. The Company's financial instruments include letters of credit and surety bonds. The Company had $5.0 million in restricted cash at September 30, 2009 and December 31, 2008 as collateral for the surety bonds. These commitments remain in place to facilitate the commercial operations of certain Tree.com subsidiaries.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Carrying</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86,859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cash</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12,826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Loans held for sale, net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81,931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87,835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Warehouse lines of credit and notes payable</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(67,129)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(67,129)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(76,186)</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Accounts payable</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(5,431)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(42,042)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(37,146)</w:t>
            </w: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Surety bonds and letters of credit</w:t>
            </w:r>
          </w:p>
        </w:tc>
        <w:tc>
          <w:tcPr>
            <w:tcW w:w="1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(7,732)</w:t>
            </w:r>
          </w:p>
        </w:tc>
      </w:tr>
    </w:tbl>
    <w:p>
      <w:pPr>
        <w:spacing w:after="0" w:line="20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carrying amounts of cash and cash equivalents and restricted cash reflected in the accompanying consolidated balance sheets approximate fair value as they are maintained with various high-quality financial institutions or in short-term duration high-quality debt securities. Accounts receivable, net, are short-term in nature and are generally settled shortly after the sale, and therefore the carrying amount approximates fair value. The fair value of loans held for sale, net, was estimated using current secondary market prices for underlying loans with similar coupons, maturity and credit quality. The carrying amounts for the remaining warehouse lines of credit and notes payable and all other financial instruments approximate their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months ended September 30, 2009 and 2008 is presented below ($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3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FHA and Alt-A</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20" w:type="dxa"/>
            <w:vAlign w:val="bottom"/>
            <w:gridSpan w:val="2"/>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503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2,237</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1,749</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September 30, 2009 and December 31, 2008 ($ amounts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FHA and Alt-A</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17,075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Home equity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unpaid principal amount of loans on nonaccrual status at September 30, 2009 and December 31, 2008 was $4.6 million and $7.0 million, respectively. These loans have a net book value (net of lower of cost or market valuation allowances and fair value adjustments) of $2.1 million and $3.0 million at September 30, 2009 and December 31, 2008, respectively. Included within the loans on nonaccrual status are repurchased loans with a net book value of $1.0 million and $1.1 million at September 30, 2009 and December 31, 2008, respectively. During the three and nine months ended September 30, 2009 LendingTree Loans repurchased one loan with unpaid principal balance of $0.1 million. During the three months ended September 30, 2008, LendingTree Loans did not repurchase any loans. During the nine months ended September 30, 2008 LendingTree Loans repurchased 16 loans with $1.3 million of unpaid principal balances.</w:t>
      </w:r>
    </w:p>
    <w:p>
      <w:pPr>
        <w:spacing w:after="0" w:line="20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$0.8 million and $0.9 million, net of estimated selling expenses, at September 30, 2009 and December 31, 2008, respectively, and is included in prepaid and other current assets in the accompanying consolidated balance sheets.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1560"/>
        <w:spacing w:after="0" w:line="504" w:lineRule="auto"/>
        <w:rPr>
          <w:sz w:val="20"/>
          <w:szCs w:val="20"/>
          <w:color w:val="auto"/>
        </w:rPr>
      </w:pPr>
      <w:r>
        <w:rPr>
          <w:rFonts w:ascii="Arial" w:cs="Arial" w:eastAsia="Arial" w:hAnsi="Arial"/>
          <w:sz w:val="18"/>
          <w:szCs w:val="18"/>
          <w:b w:val="1"/>
          <w:bCs w:val="1"/>
          <w:color w:val="auto"/>
        </w:rPr>
        <w:t>NOTE 10—ORIGINATION AND SALE OF LOANS, LOANS HELD FOR SALE AND LOAN LOSS OBLIGATIONS (Continued) Loan Loss Obligations</w:t>
      </w:r>
    </w:p>
    <w:p>
      <w:pPr>
        <w:spacing w:after="0" w:line="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the case of early payoffs and early defaults on certain loans, LendingTree Loans may be required to repay all or a portion of the premium initially paid by the investor. The estimated obligation associated with early payoffs and early defaults is calculated based on historical loss experience by type of loan.</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segment as well as analyses of loss claims in process to estimate its exposure to losses on loans previously sold. As of September 30, 2009, LendingTree Loans has estimated the range of losses due to representations and warranty issues as $11 million to $18 million based on the methodology described below.</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Company maintains a liability related to this exposure based, in part, on historical and projected loss frequency and loss severity using its claims history (adjusted for recent trends in claims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above.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nine months ended September 30, 2009, LendingTree Loans sold approximately 10,200 loans with an original principal balance of $2.2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 September 30, 2009 there had been no loans from this group which had experienced losses.</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2008, LendingTree Loans sold approximately 11,000 loans with an original principal balance of $2.2 billion. Through September 30, 2009 there were 10 loans from this group with an original balance of $2.1 million that had experienced aggregate losses of $0.3 million.</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For 2007, LendingTree Loans sold approximately 36,300 loans with an original principal balance of $6.1 billion. Through September 30, 2009 there were 112 loans from this group with an original balance of $13.6 million that had experienced aggregate losses of $3.8 million.</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For 2006, LendingTree Loans sold approximately 55,000 loans with an original principal balance of $7.9 billion. Through September 30, 2009 there were 155 loans from this group with an original balance of $17.6 million that had experienced aggregate losses of $8.8 million.</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For 2005 and prior years, LendingTree Loans sold an aggregate of approximately 86,700 loans with an original principal balance of $13.0 billion. Through September 30, 2009 there were 76 loans from this group with an original balance of $10.1 million that had experienced aggregate losses of $3.7 million.</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current pipeline of 138 loan loss claims and indemnifications was considered in determining the appropriate reserve amount. The status of these 138 loans varies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$17.8 million, comprised of approximately 37% full documentation first liens, 6% full documentation second liens, 25% low documentation first liens, and 32% being low documentation second liens.</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Based on historical experience, it is anticipated that the Company will continue to receive loss claims and incur losses on loans sold in prior years. The Company believes that it has adequately reserved for these losses.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activity related to loss reserves on previously sold loans for the three and nine months ended September 30, 2009 and 2008, is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7"/>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14,036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14,036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loss claims expected to be made by investors will be made more than twelve months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September 30, 2009 and December 31, 2008 as follows (in thousands):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included in accrued expenses and other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3,972</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Long term portion, included in other long-term liabilities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5,871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6,479</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10,451</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three months ended September 30, 2009 and 2008, Tree.com recorded a tax benefit of $0.2 million and $0.1 million, respectively, which represents effective tax rates of 2.4% and 0.3%, respectively. These tax rates are lower than the federal statutory rate of 35% due to the change in the valuation allowance on deferred tax assets.</w:t>
      </w:r>
    </w:p>
    <w:p>
      <w:pPr>
        <w:spacing w:after="0" w:line="194"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For the nine months ended September 30, 2009 and 2008, Tree.com recorded a tax (provision) benefit of $(0.1) million and $13.9 million, respectively, which represents effective tax rates of (3.6)% and 6.7%, respectively. These tax rates are lower than the federal statutory rate of 35% due principally to non-deductible impairment charges and an increase in the valuation allowance on deferred tax assets.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2009 provision includes a benefit of $0.3 million related to the release of uncertain tax position reserves as a result of the expiration of the statute of limitations. Tree.com believes that it is reasonably possible that its unrecognized tax benefits could decrease by approximately $0.3 million within twelve months of the current reporting date due to the expiration of statutes of limitations. An estimate of other changes in unrecognized tax benefits cannot be made, but are not expected to be significant.</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Tree.com determined that its valuation allowance and permanent differences yielded an unusual effective tax rate, therefore Tree.com utilized the actual year to date effective tax rate for purposes of determining year to date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HLC is party to various employment related lawsuits. During the nine months ended September 30, 2009 and 2008, provisions of $0.3 million and</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$1.1 million, respectively, were recorded in general and administrative expenses in the accompanying consolidated statements of operations. The balance of the related liability was $-0- and $2.0 million at September 30, 2009 and December 31, 2008, respectively.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 (Continued)</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 and $0.3 million for the three and nine months ended September 30, 2008, respectively,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restructuring charges in 2009 primarily relate to Tree.com's segment reorganizations and aligning the cost structure with future revenue opportunities. The restructuring charges in 2008 primarily relate to Tree.com's significant reduction in its mortgage origination and real estate operations in response to the adverse developments in mortgage and real estate market conditions.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Costs that relate to ongoing operations are not part of restructuring charges. Restructuring charges by segment and type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ind w:left="460"/>
              <w:spacing w:after="0"/>
              <w:rPr>
                <w:sz w:val="20"/>
                <w:szCs w:val="20"/>
                <w:color w:val="auto"/>
              </w:rPr>
            </w:pPr>
            <w:r>
              <w:rPr>
                <w:rFonts w:ascii="Arial" w:cs="Arial" w:eastAsia="Arial" w:hAnsi="Arial"/>
                <w:sz w:val="14"/>
                <w:szCs w:val="14"/>
                <w:b w:val="1"/>
                <w:bCs w:val="1"/>
                <w:color w:val="auto"/>
                <w:w w:val="89"/>
              </w:rPr>
              <w:t>For The Three Months Ended September 30, 2009</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18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Lease</w:t>
            </w:r>
          </w:p>
        </w:tc>
        <w:tc>
          <w:tcPr>
            <w:tcW w:w="14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Exchanges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Unallocated—corporate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1"/>
          </w:tcPr>
          <w:p>
            <w:pPr>
              <w:jc w:val="center"/>
              <w:ind w:left="440"/>
              <w:spacing w:after="0"/>
              <w:rPr>
                <w:sz w:val="20"/>
                <w:szCs w:val="20"/>
                <w:color w:val="auto"/>
              </w:rPr>
            </w:pPr>
            <w:r>
              <w:rPr>
                <w:rFonts w:ascii="Arial" w:cs="Arial" w:eastAsia="Arial" w:hAnsi="Arial"/>
                <w:sz w:val="14"/>
                <w:szCs w:val="14"/>
                <w:b w:val="1"/>
                <w:bCs w:val="1"/>
                <w:color w:val="auto"/>
                <w:w w:val="88"/>
              </w:rPr>
              <w:t>For The Three Months Ended September 30, 2008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Exchanges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Unallocated—corporate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1"/>
          </w:tcPr>
          <w:p>
            <w:pPr>
              <w:ind w:left="600"/>
              <w:spacing w:after="0"/>
              <w:rPr>
                <w:sz w:val="20"/>
                <w:szCs w:val="20"/>
                <w:color w:val="auto"/>
              </w:rPr>
            </w:pPr>
            <w:r>
              <w:rPr>
                <w:rFonts w:ascii="Arial" w:cs="Arial" w:eastAsia="Arial" w:hAnsi="Arial"/>
                <w:sz w:val="14"/>
                <w:szCs w:val="14"/>
                <w:b w:val="1"/>
                <w:bCs w:val="1"/>
                <w:color w:val="auto"/>
                <w:w w:val="88"/>
              </w:rPr>
              <w:t>For The Nine Months Ended September 30, 2009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87"/>
              </w:rPr>
              <w:t>Employee</w:t>
            </w:r>
          </w:p>
        </w:tc>
        <w:tc>
          <w:tcPr>
            <w:tcW w:w="16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6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Unallocated—corporate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1"/>
          </w:tcPr>
          <w:p>
            <w:pPr>
              <w:jc w:val="center"/>
              <w:ind w:left="460"/>
              <w:spacing w:after="0"/>
              <w:rPr>
                <w:sz w:val="20"/>
                <w:szCs w:val="20"/>
                <w:color w:val="auto"/>
              </w:rPr>
            </w:pPr>
            <w:r>
              <w:rPr>
                <w:rFonts w:ascii="Arial" w:cs="Arial" w:eastAsia="Arial" w:hAnsi="Arial"/>
                <w:sz w:val="14"/>
                <w:szCs w:val="14"/>
                <w:b w:val="1"/>
                <w:bCs w:val="1"/>
                <w:color w:val="auto"/>
                <w:w w:val="87"/>
              </w:rPr>
              <w:t>For The Nine Months Ended September 30, 2008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Employee</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Exchanges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Unallocated—corporate</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60" w:type="dxa"/>
            <w:vAlign w:val="bottom"/>
            <w:vMerge w:val="restart"/>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 (Continued)</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The recovery of restructuring charges under the continuing lease obligations category for LendingTree Loans during the three and nine months ended September 30, 2009 primarily relate to the cancellation of certain lease agreements for facilities that had been previously exited. The remaining obligation was cancelled in conjunction with cancelling the lease agreement and renewing the lease on facilities currently occupied, resulting in the recovery of the expense.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2"/>
          </w:tcPr>
          <w:p>
            <w:pPr>
              <w:ind w:left="600"/>
              <w:spacing w:after="0"/>
              <w:rPr>
                <w:sz w:val="20"/>
                <w:szCs w:val="20"/>
                <w:color w:val="auto"/>
              </w:rPr>
            </w:pPr>
            <w:r>
              <w:rPr>
                <w:rFonts w:ascii="Arial" w:cs="Arial" w:eastAsia="Arial" w:hAnsi="Arial"/>
                <w:sz w:val="14"/>
                <w:szCs w:val="14"/>
                <w:b w:val="1"/>
                <w:bCs w:val="1"/>
                <w:color w:val="auto"/>
                <w:w w:val="88"/>
              </w:rPr>
              <w:t>For The Nine Months Ended September 30, 2009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Employee</w:t>
            </w:r>
          </w:p>
        </w:tc>
        <w:tc>
          <w:tcPr>
            <w:tcW w:w="6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Continuing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Asset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w:t>
            </w:r>
          </w:p>
        </w:tc>
      </w:tr>
      <w:tr>
        <w:trPr>
          <w:trHeight w:val="222"/>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September 30, 2009, restructuring liabilities of $0.4 million are included in "Accrued expenses and other current liabilities" and $0.6 million are included in "Other long-term liabilities" in the accompanying consolidated balance sheet. At December 31, 2008, restructuring liabilities of $3.3 million are included in "Accrued expenses and other current liabilities" and $0.8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 Tree.com consists of the brands and businesses that formerly comprised IAC's Lending and Real Estate segments. These brands and businesses include LendingTree.com, RealEstate.com, GetSmart.com and Home Loan Center, Inc. (d/b/a LendingTree Loans).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For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Exchanges segment consists of online lead generation networks and call centers (principally LendingTree.com and GetSmart.com) that connect consumers and service providers principally in the lending and higher education marketplaces.The Real Estate segment consists of a proprietary full-service real estate brokerage (RealEstate.com, REALTORS®) that operates in 20 U.S. markets, as well as an online lead generation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Results of operations for the three and nine months ended September 30, 2009 compared to the three and nine months ended September 30, 2008:</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22,495</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17,911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24,109</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12,438</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12,114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23,854</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(5,244)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50,716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50,258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LendingTree Loans revenue in 2009 increased $4.1 million, or 21%, from the same period in 2008. Revenue generated from the origination and sale of loans in the secondary market increased $4.6 million, or 26%, primarily due to a dramatically declining mortgage interest rate environment that began late in the fourth quarter of 2008, improvement in revenue per closed loan and higher loan closing rates. Offsetting this increase in revenue was a higher charge to the provision for previously sold loans, which is recorded as a reduction of revenue. The provision increased from $0.8 million in 2008 to $4.2 million in 2009, reflecting an increase in the trend of loan repurchase requests received in the third quarter that related primarily to loans sold in 2006 and 2007.</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right"/>
              <w:ind w:right="78"/>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598"/>
              <w:spacing w:after="0" w:line="142" w:lineRule="exact"/>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80" w:type="dxa"/>
            <w:vAlign w:val="bottom"/>
          </w:tcPr>
          <w:p>
            <w:pPr>
              <w:jc w:val="right"/>
              <w:ind w:right="118"/>
              <w:spacing w:after="0"/>
              <w:rPr>
                <w:sz w:val="20"/>
                <w:szCs w:val="20"/>
                <w:color w:val="auto"/>
              </w:rPr>
            </w:pPr>
            <w:r>
              <w:rPr>
                <w:rFonts w:ascii="Arial" w:cs="Arial" w:eastAsia="Arial" w:hAnsi="Arial"/>
                <w:sz w:val="12"/>
                <w:szCs w:val="12"/>
                <w:b w:val="1"/>
                <w:bCs w:val="1"/>
                <w:color w:val="auto"/>
                <w:w w:val="76"/>
              </w:rPr>
              <w:t>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1440" w:type="dxa"/>
            <w:vAlign w:val="bottom"/>
            <w:gridSpan w:val="3"/>
            <w:shd w:val="clear" w:color="auto" w:fill="CCEEFF"/>
          </w:tcPr>
          <w:p>
            <w:pPr>
              <w:jc w:val="right"/>
              <w:ind w:right="378"/>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Purchase mortgages</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1440" w:type="dxa"/>
            <w:vAlign w:val="bottom"/>
            <w:gridSpan w:val="3"/>
          </w:tcPr>
          <w:p>
            <w:pPr>
              <w:jc w:val="right"/>
              <w:ind w:right="318"/>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r>
      <w:tr>
        <w:trPr>
          <w:trHeight w:val="21"/>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1440" w:type="dxa"/>
            <w:vAlign w:val="bottom"/>
            <w:gridSpan w:val="3"/>
            <w:shd w:val="clear" w:color="auto" w:fill="CCEEFF"/>
          </w:tcPr>
          <w:p>
            <w:pPr>
              <w:jc w:val="right"/>
              <w:ind w:right="378"/>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r>
      <w:tr>
        <w:trPr>
          <w:trHeight w:val="27"/>
        </w:trPr>
        <w:tc>
          <w:tcPr>
            <w:tcW w:w="4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8% and 4% of Tree.com's consolidated revenue for the three months ended September 30, 2009 and 2008, respectively.</w:t>
      </w:r>
    </w:p>
    <w:p>
      <w:pPr>
        <w:spacing w:after="0" w:line="139"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Revenue from the Exchanges decreased $1.8 million, or 7%, due primarily to fewer loans closed through network lenders, reflecting the impact on consumers of continued tight credit standards 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most lenders. Match fees did increase slightly during the period, which reflects an increase in matched requests for our education leads as a result of an acquisition in the third quarter of 2009, offset by fewer matched requests with network lenders. Matched requests with network lenders in the third quarter of 2009 were down 29% from the same period in 2008. Following the first five months of 2009 when consumer mortgage rates were at or near historical lows, rates increased significantly (50 to 60 basis points) over a short span late in the second quarter and early in the third quarter of 2009. This rapid increase in rates from historical low levels contributed to fewer consumers making a loan request in the third quarter. The decline in loan requests coupled with fewer consumers who could qualify for a loan in this tight credit market caused the decline in matched loan requests.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320" w:type="dxa"/>
            <w:vAlign w:val="bottom"/>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w w:val="76"/>
              </w:rPr>
              <w:t>millions)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Purchase mortgages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705</w:t>
            </w:r>
          </w:p>
        </w:tc>
        <w:tc>
          <w:tcPr>
            <w:tcW w:w="1480" w:type="dxa"/>
            <w:vAlign w:val="bottom"/>
            <w:gridSpan w:val="3"/>
          </w:tcPr>
          <w:p>
            <w:pPr>
              <w:jc w:val="right"/>
              <w:ind w:right="29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gridSpan w:val="3"/>
            <w:vMerge w:val="restart"/>
          </w:tcPr>
          <w:p>
            <w:pPr>
              <w:jc w:val="right"/>
              <w:ind w:right="29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8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Real Estate revenue decreased $1.8 million, or 18%, principally due to a decrease in closings year-over-year due to the persistent negative real estate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conditions contributing to lower home sales prices and fewer real estate transactions overall. The dollar value of the Company's real estate closings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 million, or 36%, from $516 million in 2008 to $330 million in 2009. However, Real Estate experienced positive growth in the number of agents working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company-owned brokerage, which increased from 1,100 at the end of the third quarter 2008 to over 1,300 at the end of the third quarter 2009.</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gridSpan w:val="8"/>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89,701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68,739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5,037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 LendingTree Loans</w:t>
            </w: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94,738</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32,307</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45,687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18,180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2,175</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revenue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10,889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 Exchanges</w:t>
            </w: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63,551</w:t>
            </w: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92,813</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21,549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Inter-segment revenue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(10,889)</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168,949</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180,434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80" w:type="dxa"/>
            <w:vAlign w:val="bottom"/>
            <w:vMerge w:val="restart"/>
          </w:tcPr>
          <w:p>
            <w:pPr>
              <w:jc w:val="right"/>
              <w:ind w:right="232"/>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LendingTree Loans revenue in 2009 increased $18.7 million, or 25%, from the same period in 2008. Revenue generated from the origination and sale of loans in the secondary market increased $21.0 million, or 30%, primarily due to a dramatically declining mortgage interest rate environment that began late in the fourth quarter of 2008, improvement in revenue per closed loan and higher loan closing rates. Offsetting this increase in revenue was a higher charge to the provision for previously sold loans, which is recorded as a reduction of revenue. The provision increased from $0.9 million in 2008 to $10.1 million in 2009, reflecting an increase in losses realized in the second and third quarters of 2009 that related primarily to loans sold in 2006 and 2007.</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tcPr>
          <w:p>
            <w:pPr>
              <w:jc w:val="right"/>
              <w:ind w:right="98"/>
              <w:spacing w:after="0"/>
              <w:rPr>
                <w:sz w:val="20"/>
                <w:szCs w:val="20"/>
                <w:color w:val="auto"/>
              </w:rPr>
            </w:pPr>
            <w:r>
              <w:rPr>
                <w:rFonts w:ascii="Arial" w:cs="Arial" w:eastAsia="Arial" w:hAnsi="Arial"/>
                <w:sz w:val="14"/>
                <w:szCs w:val="14"/>
                <w:b w:val="1"/>
                <w:bCs w:val="1"/>
                <w:color w:val="auto"/>
                <w:w w:val="99"/>
              </w:rPr>
              <w:t>Nine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320" w:type="dxa"/>
            <w:vAlign w:val="bottom"/>
            <w:gridSpan w:val="2"/>
          </w:tcPr>
          <w:p>
            <w:pPr>
              <w:jc w:val="right"/>
              <w:ind w:right="578"/>
              <w:spacing w:after="0" w:line="142" w:lineRule="exact"/>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(Dollars in</w:t>
            </w:r>
          </w:p>
        </w:tc>
        <w:tc>
          <w:tcPr>
            <w:tcW w:w="560" w:type="dxa"/>
            <w:vAlign w:val="bottom"/>
          </w:tcPr>
          <w:p>
            <w:pPr>
              <w:jc w:val="right"/>
              <w:ind w:right="98"/>
              <w:spacing w:after="0"/>
              <w:rPr>
                <w:sz w:val="20"/>
                <w:szCs w:val="20"/>
                <w:color w:val="auto"/>
              </w:rPr>
            </w:pPr>
            <w:r>
              <w:rPr>
                <w:rFonts w:ascii="Arial" w:cs="Arial" w:eastAsia="Arial" w:hAnsi="Arial"/>
                <w:sz w:val="12"/>
                <w:szCs w:val="12"/>
                <w:b w:val="1"/>
                <w:bCs w:val="1"/>
                <w:color w:val="auto"/>
                <w:w w:val="76"/>
              </w:rPr>
              <w:t>millions)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80" w:type="dxa"/>
            <w:vAlign w:val="bottom"/>
            <w:gridSpan w:val="3"/>
            <w:shd w:val="clear" w:color="auto" w:fill="CCEEFF"/>
          </w:tcPr>
          <w:p>
            <w:pPr>
              <w:jc w:val="right"/>
              <w:ind w:right="358"/>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Purchase mortgages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1480" w:type="dxa"/>
            <w:vAlign w:val="bottom"/>
            <w:gridSpan w:val="3"/>
          </w:tcPr>
          <w:p>
            <w:pPr>
              <w:jc w:val="right"/>
              <w:ind w:right="29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r>
      <w:tr>
        <w:trPr>
          <w:trHeight w:val="21"/>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480" w:type="dxa"/>
            <w:vAlign w:val="bottom"/>
            <w:gridSpan w:val="3"/>
            <w:shd w:val="clear" w:color="auto" w:fill="CCEEFF"/>
          </w:tcPr>
          <w:p>
            <w:pPr>
              <w:jc w:val="right"/>
              <w:ind w:right="358"/>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1,730</w:t>
            </w: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12% and 4% of Tree.com's consolidated revenue for the nine months ended September 30, 2009 and 2008, respectively.</w:t>
      </w:r>
    </w:p>
    <w:p>
      <w:pPr>
        <w:spacing w:after="0" w:line="139"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Revenue from the Exchanges declined $29.3 million, or 32%, due primarily to fewer loan requests from consumers, fewer matched requests with network lenders and fewer loans closed through network lenders. Matched requests in 2009 were down 27% from the same period in 2008 due to the five Federal Reserve interest rate cuts during the first quarter of 2008, which stimulated significant consumer demand on our network in the first quarter and the early part of the second quarter of 2008. Although mortgage rates remained at or near historical lows during most of 2009, the Exchanges experienced a decline in matched requests, reflecting both fewer qualified consumers in a tight credit market and lower network lender demand for consumer leads through the first six months of 2009. Management believes the lower demand for loan requests from network lenders during this time was primarily attributable to many lenders experiencing their own higher levels of organic lead volume through other channels during a low interest rate environment. This surge in organic volume likely caused production and warehouse capacity limitations for many of the lenders participating on the network. During the third quarter of 2009, network lender demand began to increase as the sudden rise in interest rates (50 to 60 basis points) in a brief span late in the second quarter and early in the third quarter caused many network lenders' organic consumer loan request volume to diminish. Additionally, as a result of fewer matched requests, closed loan units through the Exchange also declined resulting in 38% lower closed loan fees.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300" w:type="dxa"/>
            <w:vAlign w:val="bottom"/>
            <w:gridSpan w:val="2"/>
          </w:tcPr>
          <w:p>
            <w:pPr>
              <w:jc w:val="right"/>
              <w:ind w:right="558"/>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(Dollars in</w:t>
            </w:r>
          </w:p>
        </w:tc>
        <w:tc>
          <w:tcPr>
            <w:tcW w:w="540" w:type="dxa"/>
            <w:vAlign w:val="bottom"/>
          </w:tcPr>
          <w:p>
            <w:pPr>
              <w:jc w:val="right"/>
              <w:ind w:right="58"/>
              <w:spacing w:after="0"/>
              <w:rPr>
                <w:sz w:val="20"/>
                <w:szCs w:val="20"/>
                <w:color w:val="auto"/>
              </w:rPr>
            </w:pPr>
            <w:r>
              <w:rPr>
                <w:rFonts w:ascii="Arial" w:cs="Arial" w:eastAsia="Arial" w:hAnsi="Arial"/>
                <w:sz w:val="12"/>
                <w:szCs w:val="12"/>
                <w:b w:val="1"/>
                <w:bCs w:val="1"/>
                <w:color w:val="auto"/>
                <w:w w:val="80"/>
              </w:rPr>
              <w:t>millions)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6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Purchase mortgages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1,756</w:t>
            </w:r>
          </w:p>
        </w:tc>
        <w:tc>
          <w:tcPr>
            <w:tcW w:w="1460" w:type="dxa"/>
            <w:vAlign w:val="bottom"/>
            <w:gridSpan w:val="3"/>
          </w:tcPr>
          <w:p>
            <w:pPr>
              <w:jc w:val="right"/>
              <w:ind w:right="278"/>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6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gridSpan w:val="3"/>
            <w:vMerge w:val="restart"/>
          </w:tcPr>
          <w:p>
            <w:pPr>
              <w:jc w:val="right"/>
              <w:ind w:right="278"/>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46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10,346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vMerge w:val="restart"/>
          </w:tcPr>
          <w:p>
            <w:pPr>
              <w:jc w:val="right"/>
              <w:ind w:right="3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Real Estate revenue decreased $6.8 million, or 24%, principally due to a decrease in closings year-over-year due to the persistent negative real estate market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conditions contributing to lower home sales prices and fewer real estate transactions overall. The dollar value of the Company's real estate closings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$528 million, or 36%, from $1.5 billion in 2008 to $944 million in 2009. However, Real Estate experienced positive growth in the number of agents working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company-owned brokerage, which increased from 1,100 at the end of the third quarter 2008 to over 1,300 at the end of the third quarter 2009.</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21" w:lineRule="exact"/>
        <w:rPr>
          <w:sz w:val="20"/>
          <w:szCs w:val="20"/>
          <w:color w:val="auto"/>
        </w:rPr>
      </w:pPr>
    </w:p>
    <w:p>
      <w:pPr>
        <w:jc w:val="center"/>
        <w:ind w:left="3840"/>
        <w:spacing w:after="0"/>
        <w:rPr>
          <w:sz w:val="20"/>
          <w:szCs w:val="20"/>
          <w:color w:val="auto"/>
        </w:rPr>
      </w:pPr>
      <w:r>
        <w:rPr>
          <w:rFonts w:ascii="Arial" w:cs="Arial" w:eastAsia="Arial" w:hAnsi="Arial"/>
          <w:sz w:val="14"/>
          <w:szCs w:val="14"/>
          <w:b w:val="1"/>
          <w:bCs w:val="1"/>
          <w:color w:val="auto"/>
        </w:rPr>
        <w:t>Three Months Ended</w:t>
      </w:r>
    </w:p>
    <w:p>
      <w:pPr>
        <w:jc w:val="center"/>
        <w:ind w:left="3840"/>
        <w:spacing w:after="0" w:line="221"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11,245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2,896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5,954</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r>
      <w:tr>
        <w:trPr>
          <w:trHeight w:val="21"/>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18,690</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18,573</w:t>
            </w: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4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1"/>
              </w:rPr>
              <w:t>Unallocated—corporate, as a percentage of total revenue</w:t>
            </w:r>
          </w:p>
        </w:tc>
        <w:tc>
          <w:tcPr>
            <w:tcW w:w="1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Cost of revenue overall in 2009 remained flat from 2008, however, there was some variation within the operating segments. The costs associated with loan originations in LendingTree Loans increased by $1.3 million, which corresponds to the increases in both revenue from the origination and sales of loans and the dollar value of loans closed directly by LendingTree Loans. In addition, commissions paid to real estate agents increased $0.6 million.</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Offsetting these increases in cost of revenue were decreases of $0.7 million in compensation and other employee-related costs and $1.5 million in consumer incentive rebates related to decreased closings at the Exchanges and in Real Estate. The decrease in compensation and other employee-related costs reflects the net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21"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Nine Months Ended</w:t>
      </w:r>
    </w:p>
    <w:p>
      <w:pPr>
        <w:jc w:val="center"/>
        <w:ind w:left="3820"/>
        <w:spacing w:after="0" w:line="221"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37,104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32,407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5,760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9,864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13,712</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16,731</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1,633</w:t>
            </w:r>
          </w:p>
        </w:tc>
      </w:tr>
      <w:tr>
        <w:trPr>
          <w:trHeight w:val="21"/>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58,203</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60,635</w:t>
            </w:r>
          </w:p>
        </w:tc>
      </w:tr>
      <w:tr>
        <w:trPr>
          <w:trHeight w:val="27"/>
        </w:trPr>
        <w:tc>
          <w:tcPr>
            <w:tcW w:w="3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4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1"/>
              </w:rPr>
              <w:t>Unallocated—corporate, as a percentage of total revenue</w:t>
            </w:r>
          </w:p>
        </w:tc>
        <w:tc>
          <w:tcPr>
            <w:tcW w:w="1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Cost of revenue in 2009 decreased $2.4 million from 2008 primarily due to decreases of $3.3 million in compensation and other employee-related costs and $4.6 million in consumer incentive rebates related to decreased closings at the Exchanges and in Real Estate. The decrease in compensation and other employee-related costs reflects the net of reduced personnel costs associated with Tree.com's customer call center, settlement services operation and portions of its loan processing department, offset by an increase in commissions paid to loan officers at LendingTree Loans due to higher loan originations.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Offsetting these decreases in cost of revenue was an increase of $4.0 million in costs associated with loan originations in LendingTree Loans and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increase in commissions paid to real estate agents. The increase in loan origination costs corresponds to the increases in both revenue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origination and sales of loans and the dollar value of loans closed directly by LendingTree Loans. The increase in commissions paid to real estate agents both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dollars and as a percentage of revenue is due to an increase in the number of closings from agent-generated leads compared to closings from company-generated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leads. Commissions paid to agents for closings from self-generated leads are typically paid out at a higher percentage of revenue than closings from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generated leads.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6"/>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15,637</w:t>
            </w: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Elimination of inter-segment marketing</w:t>
            </w:r>
          </w:p>
        </w:tc>
        <w:tc>
          <w:tcPr>
            <w:tcW w:w="1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(5,243)</w:t>
            </w:r>
          </w:p>
        </w:tc>
        <w:tc>
          <w:tcPr>
            <w:tcW w:w="1020" w:type="dxa"/>
            <w:vAlign w:val="bottom"/>
            <w:gridSpan w:val="3"/>
          </w:tcPr>
          <w:p>
            <w:pPr>
              <w:jc w:val="right"/>
              <w:ind w:right="5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17,435</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23,282</w:t>
            </w:r>
          </w:p>
        </w:tc>
        <w:tc>
          <w:tcPr>
            <w:tcW w:w="0" w:type="dxa"/>
            <w:vAlign w:val="bottom"/>
          </w:tcPr>
          <w:p>
            <w:pPr>
              <w:spacing w:after="0"/>
              <w:rPr>
                <w:sz w:val="1"/>
                <w:szCs w:val="1"/>
                <w:color w:val="auto"/>
              </w:rPr>
            </w:pPr>
          </w:p>
        </w:tc>
      </w:tr>
      <w:tr>
        <w:trPr>
          <w:trHeight w:val="27"/>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34%</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Ended</w:t>
            </w:r>
          </w:p>
        </w:tc>
        <w:tc>
          <w:tcPr>
            <w:tcW w:w="0" w:type="dxa"/>
            <w:vAlign w:val="bottom"/>
          </w:tcPr>
          <w:p>
            <w:pPr>
              <w:spacing w:after="0"/>
              <w:rPr>
                <w:sz w:val="1"/>
                <w:szCs w:val="1"/>
                <w:color w:val="auto"/>
              </w:rPr>
            </w:pPr>
          </w:p>
        </w:tc>
      </w:tr>
      <w:tr>
        <w:trPr>
          <w:trHeight w:val="161"/>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60"/>
              <w:spacing w:after="0"/>
              <w:rPr>
                <w:sz w:val="20"/>
                <w:szCs w:val="20"/>
                <w:color w:val="auto"/>
              </w:rPr>
            </w:pPr>
            <w:r>
              <w:rPr>
                <w:rFonts w:ascii="Arial" w:cs="Arial" w:eastAsia="Arial" w:hAnsi="Arial"/>
                <w:sz w:val="18"/>
                <w:szCs w:val="18"/>
                <w:color w:val="auto"/>
              </w:rPr>
              <w:t>66%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 primarily consists of lead generation through online spending, as well as lead purchases from the Exchanges.</w:t>
      </w:r>
    </w:p>
    <w:p>
      <w:pPr>
        <w:spacing w:after="0" w:line="16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Overall selling and marketing expense in 2009 decreased $5.8 million from 2008 primarily due to a decrease of $5.5 million in advertising and promotional expenditures. In 2009, Tree.com decreased its online marketing advertising by $2.8 million, from $13.3 million in 2008 to $10.5 million in 2009. Tree.com also decreased its broadcast advertising by $2.3 million, from $6.4 million in 2008 to $4.1 million in 2009.</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decline in selling and marketing expense for the Exchanges segment, both in dollars and as a percentage of revenue, is due to the Exchanges' ability to decrease advertising spend due to naturally higher consumer demand driven by the favorable mortgage rate trends and improvements in organic traffic.</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 Change</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40,079</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73,981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6,217</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Elimination of inter-segment marketing</w:t>
            </w:r>
          </w:p>
        </w:tc>
        <w:tc>
          <w:tcPr>
            <w:tcW w:w="160" w:type="dxa"/>
            <w:vAlign w:val="bottom"/>
          </w:tcPr>
          <w:p>
            <w:pPr>
              <w:spacing w:after="0"/>
              <w:rPr>
                <w:sz w:val="19"/>
                <w:szCs w:val="19"/>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w w:val="95"/>
              </w:rPr>
              <w:t>(10,881)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(15,831)</w:t>
            </w:r>
          </w:p>
        </w:tc>
      </w:tr>
      <w:tr>
        <w:trPr>
          <w:trHeight w:val="21"/>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81,028</w:t>
            </w: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160" w:type="dxa"/>
            <w:vAlign w:val="bottom"/>
          </w:tcPr>
          <w:p>
            <w:pPr>
              <w:jc w:val="right"/>
              <w:ind w:right="55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gridSpan w:val="2"/>
          </w:tcPr>
          <w:p>
            <w:pPr>
              <w:jc w:val="center"/>
              <w:ind w:left="308"/>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16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16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980" w:type="dxa"/>
            <w:vAlign w:val="bottom"/>
            <w:gridSpan w:val="3"/>
          </w:tcPr>
          <w:p>
            <w:pPr>
              <w:jc w:val="right"/>
              <w:ind w:right="240"/>
              <w:spacing w:after="0"/>
              <w:rPr>
                <w:sz w:val="20"/>
                <w:szCs w:val="20"/>
                <w:color w:val="auto"/>
              </w:rPr>
            </w:pPr>
            <w:r>
              <w:rPr>
                <w:rFonts w:ascii="Arial" w:cs="Arial" w:eastAsia="Arial" w:hAnsi="Arial"/>
                <w:sz w:val="18"/>
                <w:szCs w:val="18"/>
                <w:color w:val="auto"/>
              </w:rPr>
              <w:t>63%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Overall selling and marketing expense in 2009 decreased $35.9 million from 2008 primarily due to a decrease of $34.9 million in advertising and promotional expenditures. In 2009, Tree.com decreased its online marketing advertising by $21.7 million, from $46.4 million in 2008 to $24.7 million in 2009. Tree.com also decreased its broadcast advertising by $10.1 million, from $22.5 million in 2008 to $12.4 million in 2009.</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decline in selling and marketing expense for the LendingTree Loans segment, both in dollars and as a percentage of revenue, is related to a decrease in the cost per lead acquired from the Exchanges and receiving "overflow" leads from a partner that received more leads than their capacity could handle. The Exchanges were able to decrease advertising spend due to naturally higher consumer demand driven by the favorable mortgage rate trends and improvements in organic traffic.</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4"/>
          </w:tcPr>
          <w:p>
            <w:pPr>
              <w:jc w:val="center"/>
              <w:ind w:right="63"/>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1,858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5,035</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8,244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9,475</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17,529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22,672</w:t>
            </w:r>
          </w:p>
        </w:tc>
      </w:tr>
      <w:tr>
        <w:trPr>
          <w:trHeight w:val="27"/>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2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Unallocated—corporate, as a percentage of total revenue</w:t>
            </w:r>
          </w:p>
        </w:tc>
        <w:tc>
          <w:tcPr>
            <w:tcW w:w="1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IT, human resources and executive management functions, as well as facilities and infrastructure costs and fees for professional services.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General and administrative expense in 2009 decreased by $5.1 million from 2008. However, the third quarter of 2008 included a $5.5 million charge to non-cash compensation expense due to the modification of equity-based awards related to the spin-off, which consisted of accelerated vesting of certain restricted stock units and the modification of vested stock options.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General and administrative expense within the LendingTree Loans segment declined $1.0 million primarily due to a decrease of $1.2 million in litigation expense.</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General and administrative expense within the Real Estate segment declined $3.0 million due to a reduction of $2.2 million in non-cash compensation and a decrease of $0.7 million in cash compensation and other employee-related costs.</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declined $1.2 million due to a reduction of $3.0 million in non-cash compensation, offset by a $1.0 million increase in cash compensation and other employee-related costs and a $0.7 million increase in professional fees related to various litigation, regulatory and general corporate matters.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4"/>
          </w:tcPr>
          <w:p>
            <w:pPr>
              <w:jc w:val="center"/>
              <w:ind w:right="63"/>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16,524</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19,023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5,750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11,973</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Unallocated—corporate</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20,291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21,612</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51,335</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58,358</w:t>
            </w:r>
          </w:p>
        </w:tc>
      </w:tr>
      <w:tr>
        <w:trPr>
          <w:trHeight w:val="27"/>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26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20" w:type="dxa"/>
            <w:vAlign w:val="bottom"/>
          </w:tcPr>
          <w:p>
            <w:pPr>
              <w:spacing w:after="0"/>
              <w:rPr>
                <w:sz w:val="14"/>
                <w:szCs w:val="1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Unallocated—corporate, as a percentage of total revenue</w:t>
            </w:r>
          </w:p>
        </w:tc>
        <w:tc>
          <w:tcPr>
            <w:tcW w:w="1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General and administrative expense in 2009 decreased by $7.0 million from 2008. However, 2008 included a $5.5 million charge to non-cash compensation expense due to the modification of equity-based awards related to the spin-off, which consisted of accelerated vesting of certain restricted stock units and the modification of vested stock options. The overall decrease also reflects a $1.4 million reduction in compensation and other employee-related costs (excluding non-cash compensation) as a result of prior restructuring activities, and a $0.7 million decrease in facilities costs due to lower headcount and occupying fewer facilities.</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General and administrative expense within the LendingTree Loans segment declined $2.5 million primarily due to a decrease of $1.2 million in litigation expense and a decrease of $0.9 million in compensation and other employee-related costs (excluding non-cash compensation).</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General and administrative expense within the Real Estate segment declined $4.8 million due to a reduction of $2.7 million in non-cash compensation and a decrease of $1.9 million in cash compensation and other employee-related costs as a result of prior restructuring activities.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General and administrative expense within the Unallocated—corporate segment declined $1.3 million due to a reduction of $3.0 million in non-cash compensation, offset by a $0.7 million increase in cash compensation and other employee-related costs and a $1.0 million increase in professional fees related to various litigation, regulatory and general corporate matters.</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spin-off and reductions in base salaries for executives and other employees, the Company has placed greater emphasis on equity compensation than did IAC. In February 2009, the Compensation Committee determined that the Company's compensation programs should have less of a fixed component and, instead, should be much more variable and tied to individual and corporate performance. The Compensation Committee believes placing a greater emphasis on incentive arrangements and equity compensation will result in the Company's executives and employees being paid for performance and will better align their incentives with the Company's strategic goals.</w:t>
      </w:r>
    </w:p>
    <w:p>
      <w:pPr>
        <w:spacing w:after="0" w:line="170"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As of September 30, 2009, there was approximately $3.1 million, $3.5 million and $1.6 million of unrecognized compensation cost, net of estimated forfeitures, related to stock options, RSUs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restricted stock, respectively. These costs are expected to be recognized over a weighted average period of approximately 3.5 years for stock options, 2.2 years for RSUs and 3.4 years for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Exchanges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762</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Unallocated—corporate</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r>
        <w:trPr>
          <w:trHeight w:val="21"/>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w:t>
            </w: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40" w:type="dxa"/>
            <w:vAlign w:val="bottom"/>
          </w:tcPr>
          <w:p>
            <w:pPr>
              <w:spacing w:after="0"/>
              <w:rPr>
                <w:sz w:val="14"/>
                <w:szCs w:val="14"/>
                <w:color w:val="auto"/>
              </w:rPr>
            </w:pPr>
          </w:p>
        </w:tc>
        <w:tc>
          <w:tcPr>
            <w:tcW w:w="1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920" w:type="dxa"/>
            <w:vAlign w:val="bottom"/>
            <w:gridSpan w:val="3"/>
          </w:tcPr>
          <w:p>
            <w:pPr>
              <w:ind w:left="16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92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3"/>
              </w:rPr>
              <w:t>Unallocated—corporate, as a percentage of total revenue</w:t>
            </w:r>
          </w:p>
        </w:tc>
        <w:tc>
          <w:tcPr>
            <w:tcW w:w="1920" w:type="dxa"/>
            <w:vAlign w:val="bottom"/>
            <w:gridSpan w:val="3"/>
          </w:tcPr>
          <w:p>
            <w:pPr>
              <w:ind w:left="16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 in 2009 decreased $0.1 million from 2008, due to a decrease in compensation and other employee-related costs.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Exchanges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2,201</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Unallocated—corporate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Unallocated—corporate, as a percentage of total revenue</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Product development expense in 2009 decreased $0.5 million from 2008, due to decreased compensation and other employee-related costs, offset by an increase in outsourcing and technology contractors.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For a reconciliation of Adjusted EBITDA to operating loss for Tree.com's operating segments, see Note 7 to the consolidated financial statements.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Unallocated and inter-segment eliminations</w:t>
            </w:r>
          </w:p>
        </w:tc>
        <w:tc>
          <w:tcPr>
            <w:tcW w:w="160" w:type="dxa"/>
            <w:vAlign w:val="bottom"/>
          </w:tcPr>
          <w:p>
            <w:pPr>
              <w:spacing w:after="0"/>
              <w:rPr>
                <w:sz w:val="19"/>
                <w:szCs w:val="19"/>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(8,291)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(6,607)</w:t>
            </w:r>
          </w:p>
        </w:tc>
      </w:tr>
      <w:tr>
        <w:trPr>
          <w:trHeight w:val="21"/>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(3,544)</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(8,261)</w:t>
            </w: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00" w:type="dxa"/>
            <w:vAlign w:val="bottom"/>
          </w:tcPr>
          <w:p>
            <w:pPr>
              <w:jc w:val="right"/>
              <w:ind w:right="632"/>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00" w:type="dxa"/>
            <w:vAlign w:val="bottom"/>
          </w:tcPr>
          <w:p>
            <w:pPr>
              <w:spacing w:after="0"/>
              <w:rPr>
                <w:sz w:val="14"/>
                <w:szCs w:val="1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0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Unallocated and inter-segment eliminations, as a percentage of total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Adjusted EBITDA in 2009 improved $4.8 million, from a loss of $8.3 million in 2008 to a loss of $3.5 million in 2009. This reflects a decrease in operating costs principally due to the marketing reductions and previous restructuring activities noted above, while revenue increased slightly.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Nine Months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3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w w:val="81"/>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28,865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9,537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1,885</w:t>
            </w:r>
          </w:p>
        </w:tc>
        <w:tc>
          <w:tcPr>
            <w:tcW w:w="2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(4,246)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Unallocated and inter-segment eliminations</w:t>
            </w:r>
          </w:p>
        </w:tc>
        <w:tc>
          <w:tcPr>
            <w:tcW w:w="160" w:type="dxa"/>
            <w:vAlign w:val="bottom"/>
          </w:tcPr>
          <w:p>
            <w:pPr>
              <w:spacing w:after="0"/>
              <w:rPr>
                <w:sz w:val="19"/>
                <w:szCs w:val="19"/>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w w:val="95"/>
              </w:rPr>
              <w:t>(20,727)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(19,310)</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13,429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(14,912)</w:t>
            </w:r>
          </w:p>
        </w:tc>
      </w:tr>
      <w:tr>
        <w:trPr>
          <w:trHeight w:val="27"/>
        </w:trPr>
        <w:tc>
          <w:tcPr>
            <w:tcW w:w="3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00" w:type="dxa"/>
            <w:vAlign w:val="bottom"/>
          </w:tcPr>
          <w:p>
            <w:pPr>
              <w:jc w:val="right"/>
              <w:ind w:right="672"/>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00" w:type="dxa"/>
            <w:vAlign w:val="bottom"/>
          </w:tcPr>
          <w:p>
            <w:pPr>
              <w:spacing w:after="0"/>
              <w:rPr>
                <w:sz w:val="14"/>
                <w:szCs w:val="1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0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Unallocated and inter-segment eliminations, as a percentage of total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Adjusted EBITDA in 2009 improved $28.3 million, from a loss of $14.9 million in 2008 to a profit of $13.4 million in 2009. This reflects an increase in the LendingTree Loans gross margin, and operating costs decreasing more rapidly than overall revenue in 2009 principally due to the marketing reductions and previous restructuring activities noted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three months ended September 30, 2009 compared to the three months ended September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NM  $</w:t>
            </w: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(3,998)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Exchanges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(2,621)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w w:val="98"/>
              </w:rPr>
              <w:t>(1,714)</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88"/>
              </w:rPr>
              <w:t>64%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(4,812)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Unallocated and inter-segment eliminations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6"/>
              <w:spacing w:after="0"/>
              <w:rPr>
                <w:sz w:val="20"/>
                <w:szCs w:val="20"/>
                <w:color w:val="auto"/>
              </w:rPr>
            </w:pPr>
            <w:r>
              <w:rPr>
                <w:rFonts w:ascii="Arial" w:cs="Arial" w:eastAsia="Arial" w:hAnsi="Arial"/>
                <w:sz w:val="18"/>
                <w:szCs w:val="18"/>
                <w:color w:val="auto"/>
                <w:w w:val="98"/>
              </w:rPr>
              <w:t>(9,613)</w:t>
            </w:r>
          </w:p>
        </w:tc>
        <w:tc>
          <w:tcPr>
            <w:tcW w:w="980" w:type="dxa"/>
            <w:vAlign w:val="bottom"/>
            <w:gridSpan w:val="3"/>
          </w:tcPr>
          <w:p>
            <w:pPr>
              <w:ind w:left="640"/>
              <w:spacing w:after="0"/>
              <w:rPr>
                <w:sz w:val="20"/>
                <w:szCs w:val="20"/>
                <w:color w:val="auto"/>
              </w:rPr>
            </w:pPr>
            <w:r>
              <w:rPr>
                <w:rFonts w:ascii="Arial" w:cs="Arial" w:eastAsia="Arial" w:hAnsi="Arial"/>
                <w:sz w:val="18"/>
                <w:szCs w:val="18"/>
                <w:color w:val="auto"/>
                <w:w w:val="88"/>
              </w:rPr>
              <w:t>13%</w:t>
            </w:r>
          </w:p>
        </w:tc>
        <w:tc>
          <w:tcPr>
            <w:tcW w:w="16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5"/>
              </w:rPr>
              <w:t>(11,024)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w w:val="98"/>
              </w:rPr>
              <w:t>(7,442)</w:t>
            </w:r>
          </w:p>
        </w:tc>
        <w:tc>
          <w:tcPr>
            <w:tcW w:w="11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3"/>
              </w:rPr>
              <w:t>67% $</w:t>
            </w: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5"/>
              </w:rPr>
              <w:t>(22,455)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Unallocated and inter-segment eliminations, as a percentage of total</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Operating loss in 2009 improved $15.0 million from 2008. This reflects a decrease in operating costs principally due to the marketing reductions and previous restructuring activities noted above, while revenue increased slightly.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the nine months ended September 30, 2009 compared to the nine months ended September 30, 2008</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6"/>
          </w:tcPr>
          <w:p>
            <w:pPr>
              <w:jc w:val="center"/>
              <w:ind w:right="38"/>
              <w:spacing w:after="0"/>
              <w:rPr>
                <w:sz w:val="20"/>
                <w:szCs w:val="20"/>
                <w:color w:val="auto"/>
              </w:rPr>
            </w:pPr>
            <w:r>
              <w:rPr>
                <w:rFonts w:ascii="Arial" w:cs="Arial" w:eastAsia="Arial" w:hAnsi="Arial"/>
                <w:sz w:val="14"/>
                <w:szCs w:val="14"/>
                <w:b w:val="1"/>
                <w:bCs w:val="1"/>
                <w:color w:val="auto"/>
                <w:w w:val="88"/>
              </w:rPr>
              <w:t>Nine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6"/>
          </w:tcPr>
          <w:p>
            <w:pPr>
              <w:jc w:val="center"/>
              <w:ind w:right="18"/>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27,415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8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6,877</w:t>
            </w:r>
          </w:p>
        </w:tc>
        <w:tc>
          <w:tcPr>
            <w:tcW w:w="60" w:type="dxa"/>
            <w:vAlign w:val="bottom"/>
          </w:tcPr>
          <w:p>
            <w:pPr>
              <w:spacing w:after="0"/>
              <w:rPr>
                <w:sz w:val="18"/>
                <w:szCs w:val="18"/>
                <w:color w:val="auto"/>
              </w:rPr>
            </w:pPr>
          </w:p>
        </w:tc>
        <w:tc>
          <w:tcPr>
            <w:tcW w:w="920" w:type="dxa"/>
            <w:vAlign w:val="bottom"/>
            <w:gridSpan w:val="3"/>
          </w:tcPr>
          <w:p>
            <w:pPr>
              <w:jc w:val="right"/>
              <w:ind w:right="112"/>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w w:val="90"/>
              </w:rPr>
              <w:t>(109,052)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8"/>
              </w:rPr>
              <w:t>(12,926)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(73,580)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Unallocated and inter-segment eliminations</w:t>
            </w:r>
          </w:p>
        </w:tc>
        <w:tc>
          <w:tcPr>
            <w:tcW w:w="160" w:type="dxa"/>
            <w:vAlign w:val="bottom"/>
          </w:tcPr>
          <w:p>
            <w:pPr>
              <w:spacing w:after="0"/>
              <w:rPr>
                <w:sz w:val="19"/>
                <w:szCs w:val="19"/>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(24,376)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8"/>
                <w:szCs w:val="18"/>
                <w:color w:val="auto"/>
              </w:rPr>
              <w:t>(26,654)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(3,010)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2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w w:val="90"/>
              </w:rPr>
              <w:t>(208,697)</w:t>
            </w:r>
          </w:p>
        </w:tc>
        <w:tc>
          <w:tcPr>
            <w:tcW w:w="0" w:type="dxa"/>
            <w:vAlign w:val="bottom"/>
          </w:tcPr>
          <w:p>
            <w:pPr>
              <w:spacing w:after="0"/>
              <w:rPr>
                <w:sz w:val="1"/>
                <w:szCs w:val="1"/>
                <w:color w:val="auto"/>
              </w:rPr>
            </w:pPr>
          </w:p>
        </w:tc>
      </w:tr>
      <w:tr>
        <w:trPr>
          <w:trHeight w:val="27"/>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w w:val="76"/>
              </w:rPr>
              <w:t>(116)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6"/>
          </w:tcPr>
          <w:p>
            <w:pPr>
              <w:jc w:val="center"/>
              <w:ind w:right="212"/>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4"/>
              </w:rPr>
              <w:t>Ended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Segment Revenue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tcPr>
          <w:p>
            <w:pPr>
              <w:jc w:val="center"/>
              <w:ind w:right="212"/>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4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3"/>
              </w:rPr>
              <w:t>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9"/>
              <w:spacing w:after="0"/>
              <w:rPr>
                <w:sz w:val="20"/>
                <w:szCs w:val="20"/>
                <w:color w:val="auto"/>
              </w:rPr>
            </w:pPr>
            <w:r>
              <w:rPr>
                <w:rFonts w:ascii="Arial" w:cs="Arial" w:eastAsia="Arial" w:hAnsi="Arial"/>
                <w:sz w:val="18"/>
                <w:szCs w:val="18"/>
                <w:color w:val="auto"/>
                <w:w w:val="83"/>
              </w:rPr>
              <w:t>11%</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5"/>
          </w:tcPr>
          <w:p>
            <w:pPr>
              <w:spacing w:after="0"/>
              <w:rPr>
                <w:sz w:val="20"/>
                <w:szCs w:val="20"/>
                <w:color w:val="auto"/>
              </w:rPr>
            </w:pPr>
            <w:r>
              <w:rPr>
                <w:rFonts w:ascii="Arial" w:cs="Arial" w:eastAsia="Arial" w:hAnsi="Arial"/>
                <w:sz w:val="18"/>
                <w:szCs w:val="18"/>
                <w:color w:val="auto"/>
                <w:w w:val="86"/>
              </w:rPr>
              <w:t>Unallocated and inter-segment eliminations, as a percentage of total</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Operating loss in 2009 improved $205.7 million from 2008, primarily as a result of asset impairment charges totaling $164.3 million that were incurred in 2008, and a decrease in operating costs principally due to the marketing reductions and previous restructuring activities noted above. The charge related to LendingTree Loans was a goodwill impairment charge of $0.9 million. The charges associated with the Exchanges were $69.3 million related to goodwill and $33.4 million related to an indefinite-lived intangible asset. The charge related to Real Estate was a goodwill impairment charge of $60.8 million.</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impairments in 2008 resulted from the Company's reassessment of the likely future profitability in light of the persistent adverse mortgage and real estate market realities. These adverse conditions included, among others, constrained liquidity, lender focus on low margin mortgage offerings, the decline in real estate values and a high rate of delinquency for existing mortgages. Tree.com updated its assessment of mortgage and real estate market conditions and Tree.com's responsive operational strategies during the second quarter of 2008, and quantified these considerations in Tree.com's future forecasted results.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to the increase in Adjusted EBITDA discussed above, operating loss in 2009 includes impairment charges of $3.9 million related to definite-lived intangible assets with Real Estate. In the second quarter of 2009, the new Real Estate operating segment leadership undertook significant changes in management, operational focus and marketing efforts related to the new homes referral services business. These changes combined with the continued deterioration of new housing starts and new homes sales in 2009, caused the Company to reassess the remaining useful lives and the likely future recoverability of the remaining value of these intangible assets. In testing the recoverability of these assets, indications of impairment were determined to exist, and subsequent impairment testing resulted in the charge noted above.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the three months ended September 30, 2009 and 2008, Tree.com recorded a tax benefit of $0.2 million and $0.1 million, respectively, which represents effective tax rates of 2.4% and 0.3%, respectively. These tax rates are lower than the federal statutory rate of 35% due to the change in the valuation allowance on deferred tax assets.</w:t>
      </w:r>
    </w:p>
    <w:p>
      <w:pPr>
        <w:spacing w:after="0" w:line="194"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For the nine months ended September 30, 2009 and 2008, Tree.com recorded a tax (provision) benefit of $(0.1) million and $13.9 million, respectively, which represents effective tax rates of (3.6)% and 6.7%, respectively. These tax rates are lower than the federal statutory rate of 35% due principally to non-deductible impairment charges and an increase in the valuation allowance on deferred tax assets.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2009 provision includes a benefit of $0.3 million related to the release of uncertain tax position reserves as a result of the expiration of the statute of limitations. Tree.com believes that it is reasonably possible that its unrecognized tax benefits could decrease by approximately $0.3 million within twelve months of the current reporting date due to the expiration of statutes of limitations. An estimate of other changes in unrecognized tax benefits cannot be made, but are not expected to be significant.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2009, Tree.com had $99.7 million of cash and cash equivalents and restricted cash and cash equivalents.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Net cash provided by operating activities was $24.4 million in the nine months ended September 30, 2009, compared to net cash used of $11.8 million in the same period in 2008. The increase in cash provided of $36.2 million is primarily due to $13.4 million of Adjusted EBITDA, $14.9 million of net cash proceeds in loans held for sale, and a net decrease in working capital.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investing activities in the nine months ended September 30, 2009 of $4.7 million primarily resulted from business acquisitions of</w:t>
      </w:r>
    </w:p>
    <w:p>
      <w:pPr>
        <w:spacing w:after="0" w:line="38"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$5.7 million and capital expenditures of $2.2 million. Net cash used in investing activities in the same period in 2008 of $18.0 million primarily resulted from the payment of contingent consideration associated with the Home Loan Center, Inc. acquisition of $14.5 million and capital expenditures of $3.3 million.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financing activities in 2009 of $6.6 million was primarily due to net borrowings under warehouse lines of credit of $9.1 million, offset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common stock of $3.4 million. Net cash provided by financing activities in 2008 of $66.3 million was primarily due to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and other transfers from IAC of $109.4 million in connection with the spin-off, offset by net repayments under warehouse lines of credit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 million, and payments on notes payable and capital lease obligations of $20.0 million. The net borrowings and repayments under warehouse lines of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related to the change in loans held for sale at LendingTree Loans and are included within cash flow from operations.</w:t>
      </w:r>
    </w:p>
    <w:p>
      <w:pPr>
        <w:spacing w:after="0" w:line="219"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of September 30, 2009, LendingTree Loans had two committed lines of credit ("warehouse lines") totaling $100 million of borrowing capacity. In addition, LendingTree Loans obtained a third warehouse line for $75 million on October 30, 2009, bringing the total borrowing capacity to $175 million. Borrowings under these lines are limited for funding, and are secured by, consumer residential loans that are held for sale. Loans under these warehouse lines are repaid directly from proceeds from the sales of loans by LendingTree Loans.</w:t>
      </w:r>
    </w:p>
    <w:p>
      <w:pPr>
        <w:spacing w:after="0" w:line="197"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$50 million first line is scheduled to expire on December 29, 2009; however, that lender has indicated it is exiting the warehouse lending business and will honor the existing contract only through the stated term. The interest rate under this line is 30-day LIBOR plus 125 basis points.</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$50 million second line is scheduled to expire on April 30, 2010, but can be cancelled at the option of the lender without default upon sixty days notice. This second line includes an additional uncommitted credit facility of $75 million and is guaranteed by Tree.com, Inc., LendingTree, LLC and LendingTree Holdings Corp. The interest rate under the second line is 225 basis points plus the greater of (a) the 30-day LIBOR or (b) 200 basis points. The interest rate under the $75 million uncommitted line is 30-day LIBOR plus 150 basis points. LendingTree Loans is also required to sell at least 50% of the loans it originates to an affiliate of the lender under this line or pay a "pair-off fee" of 37.5 basis points on the difference between the required and actual volume of loans sold.</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$75 million third line is scheduled to expire on October 29, 2010. The interest rate under this line is 30-day LIBOR or 2.0% (whichever is greater) plus 250 basis points for loans being sold to the lender and 30-day LIBOR or 2.0% (whichever is greater) plus 275 basis points for loans not being purchased by the lender.</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and (vi) pre-tax net income requirements. During the quarter ended September 30, 2009, LendingTree Loans was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covenants under the lines. At September 30, 2009, there was $67.1 million outstanding under the committed lines of credit.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of the warehouse lines were lost.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2009, cash and cash equivalents, current capacity under its warehouse lines of credit and access to capital markets, subject to restrictions in the tax sharing agreement, and believes that these are sufficient to fund its operating needs, including debt requirements, commitments and contingencies and capital and investing commitments for the foreseeable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 as of</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60" w:type="dxa"/>
            <w:vAlign w:val="bottom"/>
            <w:gridSpan w:val="4"/>
          </w:tcPr>
          <w:p>
            <w:pPr>
              <w:spacing w:after="0"/>
              <w:rPr>
                <w:sz w:val="20"/>
                <w:szCs w:val="20"/>
                <w:color w:val="auto"/>
              </w:rPr>
            </w:pPr>
            <w:r>
              <w:rPr>
                <w:rFonts w:ascii="Arial" w:cs="Arial" w:eastAsia="Arial" w:hAnsi="Arial"/>
                <w:sz w:val="14"/>
                <w:szCs w:val="14"/>
                <w:b w:val="1"/>
                <w:bCs w:val="1"/>
                <w:color w:val="auto"/>
              </w:rPr>
              <w:t>September 30, 2009</w:t>
            </w:r>
          </w:p>
        </w:tc>
        <w:tc>
          <w:tcPr>
            <w:tcW w:w="14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1-3 Years</w:t>
            </w:r>
          </w:p>
        </w:tc>
        <w:tc>
          <w:tcPr>
            <w:tcW w:w="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67,129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Purchase obligations(a)</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gridSpan w:val="4"/>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60" w:type="dxa"/>
            <w:vAlign w:val="bottom"/>
            <w:gridSpan w:val="4"/>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91,940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73,602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7,300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contracts in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Tree.com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2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Adjusted EBITDA is defined as EBITDA excluding (1) non-cash compensation expense, (2) non-cash intangible asset impairment charges, (3) gain/loss on disposal of assets, (4) restructuring expenses, (5) proceeds from litigation settlements, (6) pro forma adjustments for significant acquisitions, and (7) one-time items. Tree.com believes this measure is useful to investors because it represents the operating results from Tree.com's segments, but excludes the effects of any other non-cash expenses.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EBITDA AND ADJUSTED EBITDA</w:t>
      </w:r>
    </w:p>
    <w:p>
      <w:pPr>
        <w:spacing w:after="0" w:line="231"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For a reconciliation of EBITDA and Adjusted EBITDA to operating loss for Tree.com's operating segments for the three and nine months ended September 30, 2009 and 2008, see Note 7 to the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interest rate lock commitments and lines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The changes in fair value of the derivative instruments are recognized in current earnings as a component of revenue.</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net change in the fair value of the IRLCs and related forward delivery contracts, including the impact of day one gains and servicing value, for the three months ended September 30, 2009 and 2008 resulted in gains of $19.0 million and $14.3 million, respectively, which have been recognized as a component of revenue in the accompanying consolidated statements of operations. The net change in the fair value of the IRLCs and related forward delivery contracts, including the impact of day one gains and servicing value, for the nine months ended September 30, 2009 and 2008 resulted in gains of $74.3 million and $42.1 million, respectively, which have been recognized as a component of revenue in the accompanying consolidated statements of operations.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September 30, 2009, if market interest rates had increased by 100 basis points, the aggregate fair value of the derivative financial instruments and the hedged items at LendingTree Loans would have increased by $0.1 million. As of September 30, 2009, if market interest rates had decreased by 100 basis points, the aggregate fair value of the derivative financial instruments and the hedged items at LendingTree Loans would have decreased by $0.8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monitor and evaluate on an ongoing basis our disclosure controls and procedures and our internal control over financial reporting in order to improve our overall effectiveness. In the course of this evaluation, we modify and refine our internal processes as conditions warrant.</w:t>
      </w:r>
    </w:p>
    <w:p>
      <w:pPr>
        <w:spacing w:after="0" w:line="186"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Chief Executive Officer and Chief Financial Officer, evaluated the effectiveness of our disclosure controls and procedures (as defined by Rule 13a-15(e) and 15d-15(e) under the Exchange Act). Based upon that evaluation, our Chief Executive Officer and Chief Financial Officer concluded that as of the end of the period covered by this report, our disclosure controls and procedures were effective in providing reasonable assurance that information we are required to disclose in our filings with the Securities and Exchange Commission under the Exchange Act is recorded, processed, summarized and reported within the time periods specified in the Commission's rules and Forms, and include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required by Rule 13a-15(d) of the Exchange Act, we, under the supervision and with the participation of our management, including the Chief Executive Officer and Chief Financial Officer, also evaluated whether any changes occurred to our internal control over financial reporting during the period covered by this report that have materially affected, or are reasonably likely to materially affect, such control. Based on that evaluation, there has been no such change during the quarter ended September 30,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the ordinary course of business, the Company and its subsidiaries are parties to litigation involving property, personal injury, contract, intellectual property and other claims. We included a discussion of certain legal proceedings in Part I, Item 3, of our Annual Report on Form 10-K for the year ended December 31, 2008 (the "2008 Form 10-K"), and an update in Part II, Item 1, of our Periodic Reports on Form 10-Q for the quarters ended March 31, 2009 (the "2009</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Quarter 10-Q") and June 30, 2009 (the "2009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Quarter 10-Q"). During the quarter ended September 30, 2009, there were no material developments to the proceedings disclosed in the 2008 Form 10-K and 2009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Quarter 10-Qs and no new material legal proceedings, except as set forth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i w:val="1"/>
          <w:iCs w:val="1"/>
          <w:color w:val="auto"/>
        </w:rPr>
        <w:t xml:space="preserve">Block Financial Corp. v. LendingTree, Inc., </w:t>
      </w:r>
      <w:r>
        <w:rPr>
          <w:rFonts w:ascii="Arial" w:cs="Arial" w:eastAsia="Arial" w:hAnsi="Arial"/>
          <w:sz w:val="18"/>
          <w:szCs w:val="18"/>
          <w:b w:val="1"/>
          <w:bCs w:val="1"/>
          <w:color w:val="auto"/>
        </w:rPr>
        <w:t>No. 01-cv-1007 ODS (U.S. Dist. Ct., W.D. Mo.);</w:t>
      </w:r>
      <w:r>
        <w:rPr>
          <w:rFonts w:ascii="Arial" w:cs="Arial" w:eastAsia="Arial" w:hAnsi="Arial"/>
          <w:sz w:val="18"/>
          <w:szCs w:val="18"/>
          <w:b w:val="1"/>
          <w:bCs w:val="1"/>
          <w:i w:val="1"/>
          <w:iCs w:val="1"/>
          <w:color w:val="auto"/>
        </w:rPr>
        <w:t xml:space="preserve"> LendingTree, LLC v. Block Financial LLC</w:t>
      </w:r>
      <w:r>
        <w:rPr>
          <w:rFonts w:ascii="Arial" w:cs="Arial" w:eastAsia="Arial" w:hAnsi="Arial"/>
          <w:sz w:val="18"/>
          <w:szCs w:val="18"/>
          <w:b w:val="1"/>
          <w:bCs w:val="1"/>
          <w:color w:val="auto"/>
        </w:rPr>
        <w:t>, No. 08-cv-164</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ODS (U.S. Dist. Ct., W.D. Mo.). </w:t>
      </w:r>
      <w:r>
        <w:rPr>
          <w:rFonts w:ascii="Arial" w:cs="Arial" w:eastAsia="Arial" w:hAnsi="Arial"/>
          <w:sz w:val="18"/>
          <w:szCs w:val="18"/>
          <w:color w:val="auto"/>
        </w:rPr>
        <w:t>The court vacated the trial date and a new trial date has not been set.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(Wage/Hour) Litigation</w:t>
      </w:r>
    </w:p>
    <w:p>
      <w:pPr>
        <w:spacing w:after="0" w:line="231"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b w:val="1"/>
          <w:bCs w:val="1"/>
          <w:i w:val="1"/>
          <w:iCs w:val="1"/>
          <w:color w:val="auto"/>
        </w:rPr>
        <w:t xml:space="preserve">Artzi v. LendingTree, LLC, IAC/InterActiveCorp, and Home Loan Center, Inc., No. 00180037 (Cal. Super. Ct., Orange Cty.). </w:t>
      </w:r>
      <w:r>
        <w:rPr>
          <w:rFonts w:ascii="Arial" w:cs="Arial" w:eastAsia="Arial" w:hAnsi="Arial"/>
          <w:sz w:val="18"/>
          <w:szCs w:val="18"/>
          <w:color w:val="auto"/>
        </w:rPr>
        <w:t>On November 5, 2009,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reached an agreement in principle to settle this matter for a nominal sum.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Mortgage Broker Litigation</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Lavette Love v. LendingTree, et al, No. 09cv009598 (Milwaukee County Circuit Court, Milwaukee, WI). </w:t>
      </w:r>
      <w:r>
        <w:rPr>
          <w:rFonts w:ascii="Arial" w:cs="Arial" w:eastAsia="Arial" w:hAnsi="Arial"/>
          <w:sz w:val="16"/>
          <w:szCs w:val="16"/>
          <w:color w:val="auto"/>
        </w:rPr>
        <w:t>This putative class action was filed June 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by Lavette Love, individually and on behalf of all similarly-situated Wisconsin residents, against LendingTree and Home Loan Center. The complaint alleges that LendingTree failed to provide certain disclosures required by the Wisconsin Mortgage Broker Act. The complaint requests an award of statutory penalties, forfeiture of all fees paid and recovery of actual costs, including attorneys' fees. This matter is currently in discovery.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Schnee v. LendingTree, LLC and Home Loan Center, Inc., No. 06CC00211 (Cal. Super. Ct., Orange Cty.). </w:t>
      </w:r>
      <w:r>
        <w:rPr>
          <w:rFonts w:ascii="Arial" w:cs="Arial" w:eastAsia="Arial" w:hAnsi="Arial"/>
          <w:sz w:val="18"/>
          <w:szCs w:val="18"/>
          <w:color w:val="auto"/>
        </w:rPr>
        <w:t>On September 25, 2009, plaintiffs' motion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certification was denied in its entirety.</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Information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two of these lines; our belief that an unfavorable resolution of legal claims against us will not have a material impact on the liquidity, results of operations or financial condition of Tree.com; our belief that we will not incur significant additional costs related to our restructuring activities;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w:t>
      </w:r>
    </w:p>
    <w:p>
      <w:pPr>
        <w:spacing w:after="0" w:line="38"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among others, the risk factors set forth below and those described in our 2008 Form 10-K and 2009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 10-Qs.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213" w:lineRule="exact"/>
        <w:rPr>
          <w:sz w:val="20"/>
          <w:szCs w:val="20"/>
          <w:color w:val="auto"/>
        </w:rPr>
      </w:pPr>
    </w:p>
    <w:p>
      <w:pPr>
        <w:ind w:right="140" w:firstLine="351"/>
        <w:spacing w:after="0" w:line="282" w:lineRule="auto"/>
        <w:rPr>
          <w:sz w:val="20"/>
          <w:szCs w:val="20"/>
          <w:color w:val="auto"/>
        </w:rPr>
      </w:pPr>
      <w:r>
        <w:rPr>
          <w:rFonts w:ascii="Arial" w:cs="Arial" w:eastAsia="Arial" w:hAnsi="Arial"/>
          <w:sz w:val="18"/>
          <w:szCs w:val="18"/>
          <w:color w:val="auto"/>
        </w:rPr>
        <w:t>Except as set forth below, there have been no material changes to the risk factors included in Part I, Item 1A, of the 2008 Form 10-K and Part II, Item IA of the 2009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 10-Qs.</w:t>
      </w:r>
    </w:p>
    <w:p>
      <w:pPr>
        <w:spacing w:after="0" w:line="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Our Lending Business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September 30, 2009, LendingTree Loans had two committed lines of credit ("warehouse lines") totaling $100 million of borrowing capacity. In addition, LendingTree Loans obtained a third warehouse line for $75 million on October 30, 2009, bringing the total borrowing capacity to $175 million. Borrowings under these lines are limited for funding, and are secured by, consumer residential loans that are held for sale. Loans under these warehouse lines are repaid directly from proceeds from the sales of loans by LendingTree Loans.</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$50 million first line is scheduled to expire on December 29, 2009; however, that lender has indicated it is exiting the warehouse lending business and will honor the existing contract only through the stated term. The interest rate under this line is 30-day LIBOR plus 125 basis points.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$50 million second line is scheduled to expire on April 30, 2010, but can be cancelled at the option of the lender without default upon sixty days notice. This second line includes an additional uncommitted credit facility of $75 million and is guaranteed by Tree.com, Inc., LendingTree, LLC and LendingTree Holdings Corp. The interest rate under the second line is 225 basis points plus the greater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(a) the 30-day LIBOR or (b) 200 basis points. The interest rate under the $75 million uncommitted line is 30-day LIBOR plus 150 basis points. LendingTree Loans is also required to sell at least 50% of the loans it originates to an affiliate of the lender under this line or pay a "pair-off fee" of 37.5 basis points on the difference between the required and actual volume of loans sold.</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$75 million third line is scheduled to expire on October 29, 2010. The interest rate under this line is 30-day LIBOR or 2.0% (whichever is greater) plus 250 basis points for loans being sold to the lender and 30-day LIBOR or 2.0% (whichever is greater) plus 275 basis points for loans not being purchased by the lender.</w:t>
      </w:r>
    </w:p>
    <w:p>
      <w:pPr>
        <w:spacing w:after="0" w:line="19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tangible net worth of $44.0 million, (ii) minimum liquidity, (iii) a minimum current ratio, (iv) a maximum ratio of total liabilities to net worth, (v) a maximum leverage ratio and (vi) pre-tax net income requirements. During the quarter ended September 30, 2009, LendingTree Loans was in compliance with the covenants under the lines. At September 30, 2009, there was $67.1 million outstanding under the committed lines of credit.</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of the warehouse lines were lost.</w:t>
      </w:r>
    </w:p>
    <w:p>
      <w:pPr>
        <w:sectPr>
          <w:pgSz w:w="11900" w:h="16838" w:orient="portrait"/>
          <w:cols w:equalWidth="0" w:num="1">
            <w:col w:w="11420"/>
          </w:cols>
          <w:pgMar w:left="240" w:top="131" w:right="239" w:bottom="1440" w:gutter="0" w:footer="0" w:header="0"/>
        </w:sectPr>
      </w:pP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80"/>
        <w:spacing w:after="0"/>
        <w:tabs>
          <w:tab w:leader="none" w:pos="4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878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360" w:hanging="509"/>
        <w:spacing w:after="0" w:line="321" w:lineRule="auto"/>
        <w:tabs>
          <w:tab w:leader="none" w:pos="2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Master Repurchase Agreement, dated as of October 30, 2009, between Home Loan Center, Inc. and JPMorgan Chase Bank, N.A.</w:t>
      </w:r>
    </w:p>
    <w:p>
      <w:pPr>
        <w:spacing w:after="0" w:line="148"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Side Letter, dated as of October 30, 2009, between Home Loan Center, Inc.</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and JPMorgan Chase Bank, N.A.</w:t>
      </w:r>
    </w:p>
    <w:p>
      <w:pPr>
        <w:spacing w:after="0" w:line="219" w:lineRule="exact"/>
        <w:rPr>
          <w:sz w:val="20"/>
          <w:szCs w:val="20"/>
          <w:color w:val="auto"/>
        </w:rPr>
      </w:pPr>
    </w:p>
    <w:p>
      <w:pPr>
        <w:ind w:left="2060" w:right="20" w:hanging="509"/>
        <w:spacing w:after="0" w:line="284" w:lineRule="auto"/>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 of the Securities Exchange Act of 1934 as adopted pursuant to Section 302 of the Sarbanes-Oxley Act of 2002.</w:t>
      </w:r>
    </w:p>
    <w:p>
      <w:pPr>
        <w:spacing w:after="0" w:line="1" w:lineRule="exact"/>
        <w:rPr>
          <w:sz w:val="20"/>
          <w:szCs w:val="20"/>
          <w:color w:val="auto"/>
        </w:rPr>
      </w:pPr>
    </w:p>
    <w:p>
      <w:pPr>
        <w:ind w:left="2060" w:right="20" w:hanging="509"/>
        <w:spacing w:after="0" w:line="281" w:lineRule="auto"/>
        <w:tabs>
          <w:tab w:leader="none" w:pos="2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15d-14(a) of the Securities Exchange Act of 1934 as adopted pursuant to Section 302 of the Sarbanes-Oxley Act of 2002.</w:t>
      </w:r>
    </w:p>
    <w:p>
      <w:pPr>
        <w:spacing w:after="0" w:line="2"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18 U.S.C.</w:t>
      </w:r>
    </w:p>
    <w:p>
      <w:pPr>
        <w:spacing w:after="0" w:line="9" w:lineRule="exact"/>
        <w:rPr>
          <w:sz w:val="20"/>
          <w:szCs w:val="20"/>
          <w:color w:val="auto"/>
        </w:rPr>
      </w:pPr>
    </w:p>
    <w:p>
      <w:pPr>
        <w:ind w:left="2060"/>
        <w:spacing w:after="0" w:line="250" w:lineRule="auto"/>
        <w:rPr>
          <w:sz w:val="20"/>
          <w:szCs w:val="20"/>
          <w:color w:val="auto"/>
        </w:rPr>
      </w:pPr>
      <w:r>
        <w:rPr>
          <w:rFonts w:ascii="Arial" w:cs="Arial" w:eastAsia="Arial" w:hAnsi="Arial"/>
          <w:sz w:val="18"/>
          <w:szCs w:val="18"/>
          <w:color w:val="auto"/>
        </w:rPr>
        <w:t>Section 1350 as adopted pursuant to Section 906 of the Sarbanes-Oxley Act of 2002.</w:t>
      </w:r>
    </w:p>
    <w:p>
      <w:pPr>
        <w:spacing w:after="0" w:line="1"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U.S.C.</w:t>
      </w:r>
    </w:p>
    <w:p>
      <w:pPr>
        <w:spacing w:after="0" w:line="9" w:lineRule="exact"/>
        <w:rPr>
          <w:sz w:val="20"/>
          <w:szCs w:val="20"/>
          <w:color w:val="auto"/>
        </w:rPr>
      </w:pPr>
    </w:p>
    <w:p>
      <w:pPr>
        <w:ind w:left="2060"/>
        <w:spacing w:after="0" w:line="261" w:lineRule="auto"/>
        <w:rPr>
          <w:sz w:val="20"/>
          <w:szCs w:val="20"/>
          <w:color w:val="auto"/>
        </w:rPr>
      </w:pPr>
      <w:r>
        <w:rPr>
          <w:rFonts w:ascii="Arial" w:cs="Arial" w:eastAsia="Arial" w:hAnsi="Arial"/>
          <w:sz w:val="18"/>
          <w:szCs w:val="18"/>
          <w:color w:val="auto"/>
        </w:rPr>
        <w:t>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58420</wp:posOffset>
            </wp:positionV>
            <wp:extent cx="17068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80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400"/>
        <w:spacing w:after="0" w:line="281" w:lineRule="auto"/>
        <w:rPr>
          <w:sz w:val="20"/>
          <w:szCs w:val="20"/>
          <w:color w:val="auto"/>
        </w:rPr>
      </w:pPr>
      <w:r>
        <w:rPr>
          <w:rFonts w:ascii="Arial" w:cs="Arial" w:eastAsia="Arial" w:hAnsi="Arial"/>
          <w:sz w:val="16"/>
          <w:szCs w:val="16"/>
          <w:color w:val="auto"/>
        </w:rPr>
        <w:t>Exhibit 10.1 to the Registrant's Current Report on Form 8-K filed October 30, 2009.</w:t>
      </w:r>
    </w:p>
    <w:p>
      <w:pPr>
        <w:ind w:right="1400"/>
        <w:spacing w:after="0" w:line="254" w:lineRule="auto"/>
        <w:rPr>
          <w:sz w:val="20"/>
          <w:szCs w:val="20"/>
          <w:color w:val="auto"/>
        </w:rPr>
      </w:pPr>
      <w:r>
        <w:rPr>
          <w:rFonts w:ascii="Arial" w:cs="Arial" w:eastAsia="Arial" w:hAnsi="Arial"/>
          <w:sz w:val="18"/>
          <w:szCs w:val="18"/>
          <w:color w:val="auto"/>
        </w:rPr>
        <w:t>Exhibit 10.2 to the Registrant's Current Report on Form 8-K filed October 30, 2009. †</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5" w:lineRule="exact"/>
        <w:rPr>
          <w:sz w:val="20"/>
          <w:szCs w:val="20"/>
          <w:color w:val="auto"/>
        </w:rPr>
      </w:pPr>
    </w:p>
    <w:p>
      <w:pPr>
        <w:sectPr>
          <w:pgSz w:w="11900" w:h="16838" w:orient="portrait"/>
          <w:cols w:equalWidth="0" w:num="2">
            <w:col w:w="7380" w:space="260"/>
            <w:col w:w="3780"/>
          </w:cols>
          <w:pgMar w:left="240" w:top="131" w:right="239" w:bottom="1440" w:gutter="0" w:footer="0" w:header="0"/>
          <w:type w:val="continuous"/>
        </w:sectPr>
      </w:pPr>
    </w:p>
    <w:p>
      <w:pPr>
        <w:spacing w:after="0" w:line="127"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08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270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78"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80"/>
        <w:spacing w:after="0"/>
        <w:tabs>
          <w:tab w:leader="none" w:pos="4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878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380" w:hanging="509"/>
        <w:spacing w:after="0" w:line="321" w:lineRule="auto"/>
        <w:tabs>
          <w:tab w:leader="none" w:pos="2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Master Repurchase Agreement, dated as of October 30, 2009, between Home Loan Center, Inc. and JPMorgan Chase Bank, N.A.</w:t>
      </w:r>
    </w:p>
    <w:p>
      <w:pPr>
        <w:spacing w:after="0" w:line="391"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Side Letter, dated as of October 30, 2009, between Home Loan Center, Inc.</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and JPMorgan Chase Bank, N.A.</w:t>
      </w:r>
    </w:p>
    <w:p>
      <w:pPr>
        <w:spacing w:after="0" w:line="200" w:lineRule="exact"/>
        <w:rPr>
          <w:sz w:val="20"/>
          <w:szCs w:val="20"/>
          <w:color w:val="auto"/>
        </w:rPr>
      </w:pPr>
    </w:p>
    <w:p>
      <w:pPr>
        <w:spacing w:after="0" w:line="262" w:lineRule="exact"/>
        <w:rPr>
          <w:sz w:val="20"/>
          <w:szCs w:val="20"/>
          <w:color w:val="auto"/>
        </w:rPr>
      </w:pPr>
    </w:p>
    <w:p>
      <w:pPr>
        <w:ind w:left="2060" w:hanging="509"/>
        <w:spacing w:after="0" w:line="306" w:lineRule="auto"/>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808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99"/>
        <w:spacing w:after="0" w:line="301" w:lineRule="auto"/>
        <w:rPr>
          <w:sz w:val="20"/>
          <w:szCs w:val="20"/>
          <w:color w:val="auto"/>
        </w:rPr>
      </w:pPr>
      <w:r>
        <w:rPr>
          <w:rFonts w:ascii="Arial" w:cs="Arial" w:eastAsia="Arial" w:hAnsi="Arial"/>
          <w:sz w:val="16"/>
          <w:szCs w:val="16"/>
          <w:color w:val="auto"/>
        </w:rPr>
        <w:t>Exhibit 10.1 to the Registrant's Current Report on Form 8-K filed October 30, 2009.</w:t>
      </w:r>
    </w:p>
    <w:p>
      <w:pPr>
        <w:spacing w:after="0" w:line="191" w:lineRule="exact"/>
        <w:rPr>
          <w:sz w:val="20"/>
          <w:szCs w:val="20"/>
          <w:color w:val="auto"/>
        </w:rPr>
      </w:pPr>
    </w:p>
    <w:p>
      <w:pPr>
        <w:ind w:right="199"/>
        <w:spacing w:after="0" w:line="306" w:lineRule="auto"/>
        <w:rPr>
          <w:sz w:val="20"/>
          <w:szCs w:val="20"/>
          <w:color w:val="auto"/>
        </w:rPr>
      </w:pPr>
      <w:r>
        <w:rPr>
          <w:rFonts w:ascii="Arial" w:cs="Arial" w:eastAsia="Arial" w:hAnsi="Arial"/>
          <w:sz w:val="16"/>
          <w:szCs w:val="16"/>
          <w:color w:val="auto"/>
        </w:rPr>
        <w:t>Exhibit 10.2 to the Registrant's Current Report on Form 8-K filed October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4" w:lineRule="exact"/>
        <w:rPr>
          <w:sz w:val="20"/>
          <w:szCs w:val="20"/>
          <w:color w:val="auto"/>
        </w:rPr>
      </w:pPr>
    </w:p>
    <w:p>
      <w:pPr>
        <w:sectPr>
          <w:pgSz w:w="11900" w:h="16838" w:orient="portrait"/>
          <w:cols w:equalWidth="0" w:num="2">
            <w:col w:w="7400" w:space="240"/>
            <w:col w:w="2579"/>
          </w:cols>
          <w:pgMar w:left="240" w:top="131"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16"/>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w w:val="95"/>
              </w:rPr>
              <w:t>Certification of the Chief Financial Officer pursuant to Rule 13a-14(a) or</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w w:val="89"/>
              </w:rPr>
              <w:t>Rule 15d-14(a) of the Securities Exchange Act of 1934, as adopted pursuant</w:t>
            </w:r>
          </w:p>
        </w:tc>
        <w:tc>
          <w:tcPr>
            <w:tcW w:w="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to Section 302 of the Sarbanes-Oxley Act of 2002.</w:t>
            </w:r>
          </w:p>
        </w:tc>
        <w:tc>
          <w:tcPr>
            <w:tcW w:w="28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Executive Officer pursuant to 18 U.S.C.</w:t>
            </w:r>
          </w:p>
        </w:tc>
        <w:tc>
          <w:tcPr>
            <w:tcW w:w="280" w:type="dxa"/>
            <w:vAlign w:val="bottom"/>
          </w:tcPr>
          <w:p>
            <w:pPr>
              <w:ind w:left="12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28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Financial Officer pursuant to 18 U.S.C.</w:t>
            </w:r>
          </w:p>
        </w:tc>
        <w:tc>
          <w:tcPr>
            <w:tcW w:w="280" w:type="dxa"/>
            <w:vAlign w:val="bottom"/>
          </w:tcPr>
          <w:p>
            <w:pPr>
              <w:ind w:left="12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28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280" w:type="dxa"/>
            <w:vAlign w:val="bottom"/>
          </w:tcPr>
          <w:p>
            <w:pPr>
              <w:spacing w:after="0"/>
              <w:rPr>
                <w:sz w:val="19"/>
                <w:szCs w:val="19"/>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7120" w:val="left"/>
        </w:tabs>
        <w:rPr>
          <w:sz w:val="20"/>
          <w:szCs w:val="20"/>
          <w:color w:val="auto"/>
        </w:rPr>
      </w:pPr>
      <w:r>
        <w:rPr>
          <w:rFonts w:ascii="Arial" w:cs="Arial" w:eastAsia="Arial" w:hAnsi="Arial"/>
          <w:sz w:val="18"/>
          <w:szCs w:val="18"/>
          <w:color w:val="auto"/>
        </w:rPr>
        <w:t>Dated: November 5,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7060" w:val="left"/>
        </w:tabs>
        <w:rPr>
          <w:sz w:val="20"/>
          <w:szCs w:val="20"/>
          <w:color w:val="auto"/>
        </w:rPr>
      </w:pPr>
      <w:r>
        <w:rPr>
          <w:rFonts w:ascii="Arial" w:cs="Arial" w:eastAsia="Arial" w:hAnsi="Arial"/>
          <w:sz w:val="18"/>
          <w:szCs w:val="18"/>
          <w:color w:val="auto"/>
        </w:rPr>
        <w:t>Dated: November 5,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67" w:name="page68"/>
    <w:bookmarkEnd w:id="67"/>
    <w:p>
      <w:pPr>
        <w:spacing w:after="0"/>
        <w:rPr>
          <w:rFonts w:ascii="Arial" w:cs="Arial" w:eastAsia="Arial" w:hAnsi="Arial"/>
          <w:sz w:val="22"/>
          <w:szCs w:val="22"/>
          <w:color w:val="0000EE"/>
        </w:rPr>
      </w:pPr>
      <w:hyperlink w:anchor="page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Douglas R. Lebda, certify, pursuant to Section 906 of the Sarbanes-Oxley Act of 2002, 18 U.S.C. Section 1350, that:</w:t>
      </w:r>
    </w:p>
    <w:p>
      <w:pPr>
        <w:spacing w:after="0" w:line="239" w:lineRule="exact"/>
        <w:rPr>
          <w:sz w:val="20"/>
          <w:szCs w:val="20"/>
          <w:color w:val="auto"/>
        </w:rPr>
      </w:pPr>
    </w:p>
    <w:p>
      <w:pPr>
        <w:ind w:left="1080" w:right="2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2009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7120" w:val="left"/>
        </w:tabs>
        <w:rPr>
          <w:sz w:val="20"/>
          <w:szCs w:val="20"/>
          <w:color w:val="auto"/>
        </w:rPr>
      </w:pPr>
      <w:r>
        <w:rPr>
          <w:rFonts w:ascii="Arial" w:cs="Arial" w:eastAsia="Arial" w:hAnsi="Arial"/>
          <w:sz w:val="18"/>
          <w:szCs w:val="18"/>
          <w:color w:val="auto"/>
        </w:rPr>
        <w:t>Dated: November 5,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62865</wp:posOffset>
            </wp:positionV>
            <wp:extent cx="2795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A. Packey, certify, pursuant to Section 906 of the Sarbanes-Oxley Act of 2002, 18 U.S.C. Section 1350, that:</w:t>
      </w:r>
    </w:p>
    <w:p>
      <w:pPr>
        <w:spacing w:after="0" w:line="239" w:lineRule="exact"/>
        <w:rPr>
          <w:sz w:val="20"/>
          <w:szCs w:val="20"/>
          <w:color w:val="auto"/>
        </w:rPr>
      </w:pPr>
    </w:p>
    <w:p>
      <w:pPr>
        <w:ind w:left="1080" w:right="2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fiscal quarter ended September 30, 2009 of Tree.com, Inc. (the "Report") which this statement accompanies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6640" w:val="left"/>
        </w:tabs>
        <w:rPr>
          <w:sz w:val="20"/>
          <w:szCs w:val="20"/>
          <w:color w:val="auto"/>
        </w:rPr>
      </w:pPr>
      <w:r>
        <w:rPr>
          <w:rFonts w:ascii="Arial" w:cs="Arial" w:eastAsia="Arial" w:hAnsi="Arial"/>
          <w:sz w:val="18"/>
          <w:szCs w:val="18"/>
          <w:color w:val="auto"/>
        </w:rPr>
        <w:t>Dated: November 5,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62230</wp:posOffset>
            </wp:positionV>
            <wp:extent cx="33191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2019-12-11T05:57:09Z</dcterms:created>
  <dcterms:modified xsi:type="dcterms:W3CDTF">2019-12-11T05:57:09Z</dcterms:modified>
</cp:coreProperties>
</file>