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Peyree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1415 VANTAGE PARK DRIVE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LendingTree, Inc.</w:t>
              </w:r>
            </w:hyperlink>
            <w:r>
              <w:rPr/>
              <w:t xml:space="preserve"> [ </w:t>
            </w:r>
            <w:r>
              <w:rPr>
                <w:rFonts w:ascii="Times;serif" w:hAnsi="Times;serif"/>
                <w:color w:val="0000FF"/>
                <w:sz w:val="24"/>
                <w:shd w:fill="FFFFFF" w:val="clear"/>
              </w:rPr>
              <w:t>TREE</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837"/>
        <w:gridCol w:w="446"/>
        <w:gridCol w:w="751"/>
        <w:gridCol w:w="1183"/>
        <w:gridCol w:w="988"/>
        <w:gridCol w:w="108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126,983</w:t>
            </w:r>
            <w:r>
              <w:rPr>
                <w:rFonts w:ascii="Times;serif" w:hAnsi="Times;serif"/>
                <w:color w:val="008000"/>
                <w:position w:val="7"/>
                <w:sz w:val="16"/>
                <w:sz w:val="20"/>
                <w:shd w:fill="FFFFFF" w:val="clear"/>
              </w:rPr>
              <w:t>(2)</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1,574</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24.35</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125,409</w:t>
            </w:r>
            <w:r>
              <w:rPr>
                <w:rFonts w:ascii="Times;serif" w:hAnsi="Times;serif"/>
                <w:color w:val="008000"/>
                <w:position w:val="7"/>
                <w:sz w:val="16"/>
                <w:sz w:val="20"/>
                <w:shd w:fill="FFFFFF" w:val="clear"/>
              </w:rPr>
              <w:t>(2)</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9,622</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Through a revocable trust</w:t>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1,689</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Through a grantor retained annuity trust</w:t>
            </w:r>
            <w:r>
              <w:rPr>
                <w:rFonts w:ascii="Times;serif" w:hAnsi="Times;serif"/>
                <w:color w:val="008000"/>
                <w:position w:val="7"/>
                <w:sz w:val="16"/>
                <w:sz w:val="20"/>
                <w:shd w:fill="FFFFFF" w:val="clear"/>
              </w:rPr>
              <w:t>(3)</w:t>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1,689</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Through a grantor retained annuity trust</w:t>
            </w:r>
          </w:p>
        </w:tc>
      </w:tr>
    </w:tbl>
    <w:tbl>
      <w:tblPr>
        <w:tblW w:w="1214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Vested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Performance vested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485 shares of Common Stock acquired through the LendingTree, Inc. Employee Stock Purchase Plan on July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person's spouse is the sole beneficiary of this grantor retained annuity trust. The reporting person disclaims beneficial ownership of the shares, and this report shall not be deemed an admission that the reporting person is the beneficial owner of the shares for purposes of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performance vested restricted stock units shall vest upon the Company's achievement of specified price hurdles during the four-year period after the grant date, as follows: (1) at a price of $41.17, 1/3 of the performance vested restricted stock units, of which 1/2 will vest upon the achievement of the price hurdle, and the remaining 1/2 will vest upon the first anniversary of achievement of such price hurdle; (2) at a price of $52.94, 1/3 of the performance vested restricted stock units, of which 1/2 will vest upon the achievement of the price hurdle, and the remaining 1/2 will vest upon the first anniversary of achievement of such price hurdle; and (3) at a price of $64.70, 1/3 of the performance vested restricted stock units, of which 1/2 will vest upon the achievement of the price hurdle, and the remaining 1/2 will vest upon the first anniversary of achievement of such price hurdle.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(Continued from F4) The price hurdle shall be deemed "achieved" if during the performance period, there is a date on which (with respect to 45 trading days immediately preceding such date) the average closing stock price during such 45-trading-day period of the Company's common stock equaled the applicable price hurdle stock price. To the extent that any Performance Vested RSUs do not become vested by the fourth anniversary of the Award Date, any such unvested performance vested restricted stock units shall be immediately forfeited.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Heather Enlow-Novitsky, as Attorney-in-Fact for Scott Peyree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1876" TargetMode="External"/><Relationship Id="rId5" Type="http://schemas.openxmlformats.org/officeDocument/2006/relationships/hyperlink" Target="http://www.sec.gov/cgi-bin/browse-edgar?action=getcompany&amp;CIK=0001434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947</Words>
  <Characters>5052</Characters>
  <CharactersWithSpaces>5895</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