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167640</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4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183515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920" w:right="1360" w:hanging="3547"/>
        <w:spacing w:after="0" w:line="313" w:lineRule="auto"/>
        <w:tabs>
          <w:tab w:leader="none" w:pos="91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920" w:hanging="511"/>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2" w:lineRule="exact"/>
        <w:rPr>
          <w:sz w:val="24"/>
          <w:szCs w:val="24"/>
          <w:color w:val="auto"/>
        </w:rPr>
      </w:pPr>
    </w:p>
    <w:p>
      <w:pPr>
        <w:ind w:left="3700"/>
        <w:spacing w:after="0"/>
        <w:tabs>
          <w:tab w:leader="none" w:pos="68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105410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337185</wp:posOffset>
            </wp:positionV>
            <wp:extent cx="142367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70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26-2414818</w:t>
      </w:r>
    </w:p>
    <w:p>
      <w:pPr>
        <w:spacing w:after="0" w:line="26"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2440"/>
        <w:spacing w:after="0"/>
        <w:rPr>
          <w:sz w:val="20"/>
          <w:szCs w:val="20"/>
          <w:color w:val="auto"/>
        </w:rPr>
      </w:pPr>
      <w:r>
        <w:rPr>
          <w:rFonts w:ascii="Arial" w:cs="Arial" w:eastAsia="Arial" w:hAnsi="Arial"/>
          <w:sz w:val="15"/>
          <w:szCs w:val="15"/>
          <w:color w:val="auto"/>
        </w:rPr>
        <w:t>Identification No.)</w:t>
      </w:r>
    </w:p>
    <w:p>
      <w:pPr>
        <w:spacing w:after="0" w:line="153"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92710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7" w:lineRule="exact"/>
        <w:rPr>
          <w:sz w:val="24"/>
          <w:szCs w:val="24"/>
          <w:color w:val="auto"/>
        </w:rPr>
      </w:pPr>
    </w:p>
    <w:p>
      <w:pPr>
        <w:jc w:val="both"/>
        <w:ind w:firstLine="205"/>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32" w:lineRule="exact"/>
        <w:rPr>
          <w:sz w:val="24"/>
          <w:szCs w:val="24"/>
          <w:color w:val="auto"/>
        </w:rPr>
      </w:pPr>
    </w:p>
    <w:p>
      <w:pPr>
        <w:ind w:left="180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73" w:lineRule="exact"/>
        <w:rPr>
          <w:sz w:val="24"/>
          <w:szCs w:val="24"/>
          <w:color w:val="auto"/>
        </w:rPr>
      </w:pPr>
    </w:p>
    <w:p>
      <w:pPr>
        <w:sectPr>
          <w:pgSz w:w="11900" w:h="16838" w:orient="portrait"/>
          <w:cols w:equalWidth="0" w:num="2">
            <w:col w:w="7020" w:space="720"/>
            <w:col w:w="3680"/>
          </w:cols>
          <w:pgMar w:left="240" w:top="233"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o</w:t>
      </w:r>
    </w:p>
    <w:p>
      <w:pPr>
        <w:spacing w:after="0" w:line="83"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56" w:lineRule="exact"/>
        <w:rPr>
          <w:sz w:val="24"/>
          <w:szCs w:val="24"/>
          <w:color w:val="auto"/>
        </w:rPr>
      </w:pPr>
    </w:p>
    <w:p>
      <w:pPr>
        <w:ind w:left="7360"/>
        <w:spacing w:after="0"/>
        <w:rPr>
          <w:sz w:val="20"/>
          <w:szCs w:val="20"/>
          <w:color w:val="auto"/>
        </w:rPr>
      </w:pPr>
      <w:r>
        <w:rPr>
          <w:rFonts w:ascii="Arial" w:cs="Arial" w:eastAsia="Arial" w:hAnsi="Arial"/>
          <w:sz w:val="17"/>
          <w:szCs w:val="17"/>
          <w:color w:val="auto"/>
        </w:rPr>
        <w:t>Emerging growth company o</w:t>
      </w:r>
    </w:p>
    <w:p>
      <w:pPr>
        <w:spacing w:after="0" w:line="358" w:lineRule="exact"/>
        <w:rPr>
          <w:sz w:val="24"/>
          <w:szCs w:val="24"/>
          <w:color w:val="auto"/>
        </w:rPr>
      </w:pPr>
    </w:p>
    <w:p>
      <w:pPr>
        <w:ind w:firstLine="162"/>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4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20, 2018, there were 12,816,845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40">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40">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42">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43">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44">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44">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184,101</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152,773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365,136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285,288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 xml:space="preserve">Cost of revenue </w:t>
            </w:r>
            <w:r>
              <w:rPr>
                <w:rFonts w:ascii="Arial" w:cs="Arial" w:eastAsia="Arial" w:hAnsi="Arial"/>
                <w:sz w:val="18"/>
                <w:szCs w:val="18"/>
                <w:i w:val="1"/>
                <w:iCs w:val="1"/>
                <w:color w:val="auto"/>
                <w:w w:val="93"/>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6,043</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11,739</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123,946</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109,141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249,990</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202,392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24,759</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47,573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5,967</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12,227</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7,687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1,633</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3,304</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3,964</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7,927</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5,217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(908)</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(192)</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165,978</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143,804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331,663</w:t>
            </w: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269,435</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18,123</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33,473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15,853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(5,912)</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15,128</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27,524</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14,622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29,721</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53,182</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44,849</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80,706</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15,805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(6,635)</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42,547</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74,071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14,184</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12,416</w:t>
            </w:r>
          </w:p>
        </w:tc>
        <w:tc>
          <w:tcPr>
            <w:tcW w:w="4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11,965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12,254</w:t>
            </w:r>
          </w:p>
        </w:tc>
        <w:tc>
          <w:tcPr>
            <w:tcW w:w="3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11,896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14,147</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14,527</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6.59</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5.56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(0.54)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(0.46)</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6.04</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5.10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156"/>
        </w:trPr>
        <w:tc>
          <w:tcPr>
            <w:tcW w:w="9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3"/>
          </w:tcPr>
          <w:p>
            <w:pPr>
              <w:jc w:val="right"/>
              <w:ind w:right="31"/>
              <w:spacing w:after="0" w:line="157" w:lineRule="exact"/>
              <w:rPr>
                <w:sz w:val="20"/>
                <w:szCs w:val="20"/>
                <w:color w:val="auto"/>
              </w:rPr>
            </w:pPr>
            <w:r>
              <w:rPr>
                <w:rFonts w:ascii="Arial" w:cs="Arial" w:eastAsia="Arial" w:hAnsi="Arial"/>
                <w:sz w:val="14"/>
                <w:szCs w:val="14"/>
                <w:b w:val="1"/>
                <w:bCs w:val="1"/>
                <w:i w:val="1"/>
                <w:iCs w:val="1"/>
                <w:color w:val="auto"/>
                <w:w w:val="89"/>
              </w:rPr>
              <w:t>(in thousands, except par value and</w:t>
            </w:r>
          </w:p>
        </w:tc>
      </w:tr>
      <w:tr>
        <w:trPr>
          <w:trHeight w:val="188"/>
        </w:trPr>
        <w:tc>
          <w:tcPr>
            <w:tcW w:w="9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right"/>
              <w:ind w:right="631"/>
              <w:spacing w:after="0"/>
              <w:rPr>
                <w:sz w:val="20"/>
                <w:szCs w:val="20"/>
                <w:color w:val="auto"/>
              </w:rPr>
            </w:pPr>
            <w:r>
              <w:rPr>
                <w:rFonts w:ascii="Arial" w:cs="Arial" w:eastAsia="Arial" w:hAnsi="Arial"/>
                <w:sz w:val="14"/>
                <w:szCs w:val="14"/>
                <w:b w:val="1"/>
                <w:bCs w:val="1"/>
                <w:i w:val="1"/>
                <w:iCs w:val="1"/>
                <w:color w:val="auto"/>
              </w:rPr>
              <w:t>share amounts)</w:t>
            </w: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293,301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368,550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$1,191 and $675, respectively)</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80,135</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53,444</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13,856</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387,516</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438,041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$12,689 and $13,043, respectively)</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37,876</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36,431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124,903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113,368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81,654</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81,125</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73,163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1,793</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1,910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2,428</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709,333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693,459</w:t>
            </w:r>
          </w:p>
        </w:tc>
      </w:tr>
      <w:tr>
        <w:trPr>
          <w:trHeight w:val="34"/>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70,721</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77,183</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46,576</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15)</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18,782</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14,507</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107,852</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147,516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244,480</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238,199</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7,958</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1,597</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361,905</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398,585</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$.01 par value; 50,000,000 shares authorized; 15,138,620 and 14,218,572 shares issued, respectively, and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12,742,751 and 11,979,434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1,110,688</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1,087,582</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(632,910)</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(708,354)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Treasury stock; 2,395,869 and 2,239,138 shares, respectively</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(131,088)</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(85,085)</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587</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347,428</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294,874</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709,333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693,459</w:t>
            </w:r>
          </w:p>
        </w:tc>
      </w:tr>
      <w:tr>
        <w:trPr>
          <w:trHeight w:val="27"/>
        </w:trPr>
        <w:tc>
          <w:tcPr>
            <w:tcW w:w="90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186"/>
              <w:spacing w:after="0" w:line="139"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right"/>
              <w:ind w:right="145"/>
              <w:spacing w:after="0" w:line="158"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3"/>
                <w:szCs w:val="13"/>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96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3"/>
                <w:szCs w:val="13"/>
                <w:color w:val="auto"/>
              </w:rPr>
            </w:pPr>
          </w:p>
        </w:tc>
        <w:tc>
          <w:tcPr>
            <w:tcW w:w="1100" w:type="dxa"/>
            <w:vAlign w:val="bottom"/>
          </w:tcPr>
          <w:p>
            <w:pPr>
              <w:jc w:val="right"/>
              <w:ind w:right="184"/>
              <w:spacing w:after="0" w:line="158" w:lineRule="exact"/>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jc w:val="right"/>
              <w:ind w:right="145"/>
              <w:spacing w:after="0" w:line="158"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3"/>
                <w:szCs w:val="13"/>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80" w:type="dxa"/>
            <w:vAlign w:val="bottom"/>
          </w:tcPr>
          <w:p>
            <w:pPr>
              <w:jc w:val="right"/>
              <w:ind w:right="146"/>
              <w:spacing w:after="0"/>
              <w:rPr>
                <w:sz w:val="20"/>
                <w:szCs w:val="20"/>
                <w:color w:val="auto"/>
              </w:rPr>
            </w:pPr>
            <w:r>
              <w:rPr>
                <w:rFonts w:ascii="Arial" w:cs="Arial" w:eastAsia="Arial" w:hAnsi="Arial"/>
                <w:sz w:val="13"/>
                <w:szCs w:val="13"/>
                <w:b w:val="1"/>
                <w:bCs w:val="1"/>
                <w:color w:val="auto"/>
                <w:w w:val="90"/>
              </w:rPr>
              <w:t>Noncontrolling</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Deficit</w:t>
            </w:r>
          </w:p>
        </w:tc>
        <w:tc>
          <w:tcPr>
            <w:tcW w:w="9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3"/>
                <w:szCs w:val="13"/>
                <w:b w:val="1"/>
                <w:bCs w:val="1"/>
                <w:i w:val="1"/>
                <w:iCs w:val="1"/>
                <w:color w:val="auto"/>
                <w:w w:val="87"/>
              </w:rPr>
              <w:t>(in thousands)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294,874</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14,218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1,087,582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(708,354)</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2,239</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(85,085)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589</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74,071</w:t>
            </w:r>
          </w:p>
        </w:tc>
        <w:tc>
          <w:tcPr>
            <w:tcW w:w="94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6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74,071</w:t>
            </w:r>
          </w:p>
        </w:tc>
        <w:tc>
          <w:tcPr>
            <w:tcW w:w="92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22,287</w:t>
            </w:r>
          </w:p>
        </w:tc>
        <w:tc>
          <w:tcPr>
            <w:tcW w:w="9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22,287</w:t>
            </w: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5"/>
                <w:szCs w:val="15"/>
                <w:color w:val="auto"/>
              </w:rPr>
              <w:t>(46,003)</w:t>
            </w:r>
          </w:p>
        </w:tc>
        <w:tc>
          <w:tcPr>
            <w:tcW w:w="94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6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65"/>
              <w:spacing w:after="0"/>
              <w:rPr>
                <w:sz w:val="20"/>
                <w:szCs w:val="20"/>
                <w:color w:val="auto"/>
              </w:rPr>
            </w:pPr>
            <w:r>
              <w:rPr>
                <w:rFonts w:ascii="Arial" w:cs="Arial" w:eastAsia="Arial" w:hAnsi="Arial"/>
                <w:sz w:val="15"/>
                <w:szCs w:val="15"/>
                <w:color w:val="auto"/>
              </w:rPr>
              <w:t>157</w:t>
            </w:r>
          </w:p>
        </w:tc>
        <w:tc>
          <w:tcPr>
            <w:tcW w:w="2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(46,003)</w:t>
            </w:r>
          </w:p>
        </w:tc>
        <w:tc>
          <w:tcPr>
            <w:tcW w:w="160" w:type="dxa"/>
            <w:vAlign w:val="bottom"/>
          </w:tcPr>
          <w:p>
            <w:pPr>
              <w:spacing w:after="0"/>
              <w:rPr>
                <w:sz w:val="18"/>
                <w:szCs w:val="18"/>
                <w:color w:val="auto"/>
              </w:rPr>
            </w:pPr>
          </w:p>
        </w:tc>
        <w:tc>
          <w:tcPr>
            <w:tcW w:w="108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options, restricted stock awards and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7"/>
              </w:rPr>
              <w:t>restricted stock units, net of withholding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832</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920</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823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Cumulative effect adjustment due to</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ASU 2014-09</w:t>
            </w:r>
          </w:p>
        </w:tc>
        <w:tc>
          <w:tcPr>
            <w:tcW w:w="22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1,373</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1,373</w:t>
            </w:r>
          </w:p>
        </w:tc>
        <w:tc>
          <w:tcPr>
            <w:tcW w:w="9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7"/>
              </w:rPr>
              <w:t>Issuance of 0.625% Convertible Senior</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net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Noncontrolling interest</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5"/>
                <w:szCs w:val="15"/>
                <w:color w:val="auto"/>
              </w:rPr>
              <w:t>(2)</w:t>
            </w:r>
          </w:p>
        </w:tc>
        <w:tc>
          <w:tcPr>
            <w:tcW w:w="94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6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58"/>
        </w:trPr>
        <w:tc>
          <w:tcPr>
            <w:tcW w:w="2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2018</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347,428</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1,110,688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(632,910)</w:t>
            </w:r>
          </w:p>
        </w:tc>
        <w:tc>
          <w:tcPr>
            <w:tcW w:w="9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2,396</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(131,088)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587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Net income and comprehensive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74,071</w:t>
            </w:r>
          </w:p>
        </w:tc>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14,184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6,635</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r>
      <w:tr>
        <w:trPr>
          <w:trHeight w:val="237"/>
        </w:trPr>
        <w:tc>
          <w:tcPr>
            <w:tcW w:w="8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80,706</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impairments and disposal of assets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1,889</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7,927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3,304</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amortization of intangibles and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396</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Non-cash compensation expense</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22,287</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513</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865</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convertible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5,623</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(26,841)</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 contingent consideration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(21,900)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2,522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15,264</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48,224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Ovation, net of cash acquired</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(11,683)</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SnapCap</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DepositAccounts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MagnifyMoney,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(18,441)</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(57,026)</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Proceeds from exercise of stock options, net of payments related to net-share settlement of stock-based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895</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Contingent consideration payments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(25,600)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0.625% 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Payment of convertible note hedge transactions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sale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(47,101)</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(71,890)</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274,612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provided by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(75,067)</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265,810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(4,224)</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Net (decrease) increase in cash, cash equivalents, restricted cash and restricted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(79,291)</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264,505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372,641</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95,220</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293,350</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359,725</w:t>
            </w:r>
          </w:p>
        </w:tc>
      </w:tr>
      <w:tr>
        <w:trPr>
          <w:trHeight w:val="27"/>
        </w:trPr>
        <w:tc>
          <w:tcPr>
            <w:tcW w:w="8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loans and other credit-based offerings.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and other related offerings. The Company primarily seeks to match in-market consumers with multiple lenders on its marketplace who can provide them with competing quotes for the loans, deposits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June 30, 2018 and for the three and six months ended June 30, 2018 and 2017,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2018 are not necessarily indicative of the results to be expected for the year ending December 31, 2018, or any other period. The accompanying consolidated balance sheet as of December 31, 2017 was derived from audited financial statements included in the Company's annual report on Form 10-K for the year ended December 31, 2017 (the "2017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2017 Annual Report.</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Certain prior year amounts have been reclassified to conform to current year presentation.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discussion in Note 2—Significant Accounting Policies for the impact of adopting Accounting Standards Update ("ASU") 2016-18 on the presentation of changes in restricted cash in the statement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combination; contingent consideration related to business combinations; litigation accruals; contract assets; various other allowances, reserves and accruals; and assumptions related to the determination of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June 30, 2018,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June 2018, the Financial Accounting Standards Board ("FASB") issued ASU 2018-07 which simplifies the accounting for nonemployee share-based payments by expanding the scope of Accounting Standards Codification ("ASC") Topic 718, Compensation—Stock Compensation, to include share-based payment transactions for acquiring goods and services from nonemployees. Under the new guidance, most of the initial and subsequent measurement for such payments to nonemployees is aligned with the requirements for share-based payments to employees. This ASU is effective for annual and interim reporting periods beginning after December 15, 2018, with early adoption permitted. Entities must transition to the new guidance through a cumulative-effect adjustment to retained earnings as of the beginning of the fiscal year of adoption. The Company early-adopted this ASU during the second quarter of 2018, with no impact to its consolidated financial statements.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2017, the FASB issued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and early adoption was permitted. The Company adopted this ASU during the first quarter of 2018.</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and early adoption was permitted. The retrospective transition method, requiring adjustment to all comparative periods presented, is required. The Company adopted this ASU during the first quarter of 2018. The adoption resulted in an immaterial reclassification of cash outflows from investing activities to operating activities for the six months ended June 30, 2017.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4—Cash and Restricted Cash for the reconciliation of cash and cash equivalents and restricted cash reported on the balance sheet to the total of such amounts shown on the statement of cash flows.</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August 2016, the FASB issued ASU 2016-15 which addresses eight cash flow classification issues, eliminating the diversity in practice. This ASU is effective for annual and interim reporting periods beginning after December 15, 2017, and early adoption was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adopted this ASU during the first quarter of 2018, and there was no adjustment to prior periods. Pursuant to adoption of this ASU, contingent consideration payments made are classified as cash outflows from financing activities up to the amount of the contingent consideration liability recognized at the acquisition date, and the portion of payments in excess of that initial liability are classified as cash outflows from operating activities.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6—Business Acquisitions for additional information.</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will adopt the ASU as of January 1, 2019.</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May 2014, the FASB issued ASU 2014-09 related to revenue recognition. This guidance introduces ASC Topic 606, Revenue from Contracts with Customers, and supersedes the revenue recognition requirements in ASC Topic 605, Revenue Recognition. In 2016, the FASB issued final amendments clarifying implementation guidance for principal versus agent considerations, identifying performance obligations, assessing collectability, presenting sales taxes, measuring noncash consideration and certain other transition matters. The clarification ASUs must be adopted concurrently with the adoption of ASU 2014-09 (collectively, "ASC Topic 606"). Under the new ASUs, the timing of recognizing revenue for closing fees and approval fees in the Company's non-mortgage product category has been accelerated to the point when a loan request or a credit card consumer is delivered to the customer as opposed to when the consumer loan is closed by the lender or credit card approval is made by the issuer and communicated to the Company.</w:t>
      </w:r>
    </w:p>
    <w:p>
      <w:pPr>
        <w:spacing w:after="0" w:line="1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has adopted ASC Topic 606 as of January 1, 2018 using the modified retrospective transition approach. The Company recognized the cumulative effect of initially applying ASC Topic 606 as an adjustment to the opening balance of accumulated deficit. Under this approach, revenue for 2017 is reported in the consolidated statements of operations and comprehensive income on the historical basis, and revenue for 2018 is reported in the consolidated statements of operations and comprehensive income under ASC Topic 606. A comparison of revenue for 2018 periods to the historical basis is included below. The Company does not expect the adoption of ASC Topic 606 to have a material effect on annual revenue or net income from continuing operations on an ongoing basis.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3—Revenue for additional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The cumulative effect of the changes made to the consolidated January 1, 2018 balance sheet for the adoption of ASC Topic 606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4"/>
                <w:szCs w:val="14"/>
                <w:color w:val="auto"/>
              </w:rPr>
            </w:pPr>
          </w:p>
        </w:tc>
        <w:tc>
          <w:tcPr>
            <w:tcW w:w="12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due to</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ASC Topic 606</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1,903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20,156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(708,354)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1,373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(706,981)</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impact of adoption on the consolidated income statement and balance sheet for the periods ended June 30, 2018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center"/>
              <w:ind w:left="457"/>
              <w:spacing w:after="0"/>
              <w:rPr>
                <w:sz w:val="20"/>
                <w:szCs w:val="20"/>
                <w:color w:val="auto"/>
              </w:rPr>
            </w:pPr>
            <w:r>
              <w:rPr>
                <w:rFonts w:ascii="Arial" w:cs="Arial" w:eastAsia="Arial" w:hAnsi="Arial"/>
                <w:sz w:val="14"/>
                <w:szCs w:val="14"/>
                <w:b w:val="1"/>
                <w:bCs w:val="1"/>
                <w:color w:val="auto"/>
                <w:w w:val="93"/>
              </w:rPr>
              <w:t>Three Months Ended June 30, 2018</w:t>
            </w: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left="179"/>
              <w:spacing w:after="0"/>
              <w:rPr>
                <w:sz w:val="20"/>
                <w:szCs w:val="20"/>
                <w:color w:val="auto"/>
              </w:rPr>
            </w:pPr>
            <w:r>
              <w:rPr>
                <w:rFonts w:ascii="Arial" w:cs="Arial" w:eastAsia="Arial" w:hAnsi="Arial"/>
                <w:sz w:val="14"/>
                <w:szCs w:val="14"/>
                <w:b w:val="1"/>
                <w:bCs w:val="1"/>
                <w:color w:val="auto"/>
                <w:w w:val="92"/>
              </w:rPr>
              <w:t>Six Months Ended June 30, 2018</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3"/>
          </w:tcPr>
          <w:p>
            <w:pPr>
              <w:jc w:val="center"/>
              <w:ind w:left="37"/>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As Reported</w:t>
            </w:r>
          </w:p>
        </w:tc>
        <w:tc>
          <w:tcPr>
            <w:tcW w:w="22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Effect of Change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ASC Topic 606</w:t>
            </w:r>
          </w:p>
        </w:tc>
        <w:tc>
          <w:tcPr>
            <w:tcW w:w="114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1"/>
              </w:rPr>
              <w:t>ASC Topic 606</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184,101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183,400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58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9"/>
              </w:rPr>
              <w:t>365,136</w:t>
            </w:r>
          </w:p>
        </w:tc>
        <w:tc>
          <w:tcPr>
            <w:tcW w:w="26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364,244</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29,721</w:t>
            </w: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29,900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53,182</w:t>
            </w:r>
          </w:p>
        </w:tc>
        <w:tc>
          <w:tcPr>
            <w:tcW w:w="26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53,413</w:t>
            </w: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44,849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44,327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5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80,706</w:t>
            </w:r>
          </w:p>
        </w:tc>
        <w:tc>
          <w:tcPr>
            <w:tcW w:w="260" w:type="dxa"/>
            <w:vAlign w:val="bottom"/>
          </w:tcPr>
          <w:p>
            <w:pPr>
              <w:jc w:val="center"/>
              <w:ind w:left="1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80,045</w:t>
            </w:r>
          </w:p>
        </w:tc>
        <w:tc>
          <w:tcPr>
            <w:tcW w:w="60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588"/>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w w:val="98"/>
              </w:rPr>
              <w:t>As Reported</w:t>
            </w: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00" w:type="dxa"/>
            <w:vAlign w:val="bottom"/>
          </w:tcPr>
          <w:p>
            <w:pPr>
              <w:spacing w:after="0"/>
              <w:rPr>
                <w:sz w:val="12"/>
                <w:szCs w:val="12"/>
                <w:color w:val="auto"/>
              </w:rPr>
            </w:pPr>
          </w:p>
        </w:tc>
        <w:tc>
          <w:tcPr>
            <w:tcW w:w="12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vMerge w:val="continue"/>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ASC Topic 606</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w w:val="87"/>
              </w:rPr>
              <w:t>13,856</w:t>
            </w:r>
          </w:p>
        </w:tc>
        <w:tc>
          <w:tcPr>
            <w:tcW w:w="7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4"/>
              </w:rPr>
              <w:t>11,061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8"/>
                <w:szCs w:val="18"/>
                <w:color w:val="auto"/>
                <w:w w:val="87"/>
              </w:rPr>
              <w:t>73,163</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w w:val="94"/>
              </w:rPr>
              <w:t>73,693</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(632,910)</w:t>
            </w:r>
          </w:p>
        </w:tc>
        <w:tc>
          <w:tcPr>
            <w:tcW w:w="7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(635,175)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616"/>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6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18"/>
                <w:szCs w:val="18"/>
                <w:color w:val="auto"/>
              </w:rPr>
            </w:pPr>
          </w:p>
        </w:tc>
        <w:tc>
          <w:tcPr>
            <w:tcW w:w="1180" w:type="dxa"/>
            <w:vAlign w:val="bottom"/>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3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1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products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66,948</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71,515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140,410</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134,453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Non-mortgage products</w:t>
            </w: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cards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38,747</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84,879</w:t>
            </w: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70,765</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Personal loans</w:t>
            </w:r>
          </w:p>
        </w:tc>
        <w:tc>
          <w:tcPr>
            <w:tcW w:w="110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36,210</w:t>
            </w:r>
          </w:p>
        </w:tc>
        <w:tc>
          <w:tcPr>
            <w:tcW w:w="7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20,521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62,175</w:t>
            </w:r>
          </w:p>
        </w:tc>
        <w:tc>
          <w:tcPr>
            <w:tcW w:w="7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37,535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42,196</w:t>
            </w: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77,672</w:t>
            </w:r>
          </w:p>
        </w:tc>
        <w:tc>
          <w:tcPr>
            <w:tcW w:w="7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42,535</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non-mortgage products</w:t>
            </w:r>
          </w:p>
        </w:tc>
        <w:tc>
          <w:tcPr>
            <w:tcW w:w="1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5"/>
              </w:rPr>
              <w:t>117,153</w:t>
            </w: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81,258</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224,726</w:t>
            </w:r>
          </w:p>
        </w:tc>
        <w:tc>
          <w:tcPr>
            <w:tcW w:w="7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150,835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revenue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5"/>
              </w:rPr>
              <w:t>184,101</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152,773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365,136</w:t>
            </w:r>
          </w:p>
        </w:tc>
        <w:tc>
          <w:tcPr>
            <w:tcW w:w="7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285,288</w:t>
            </w:r>
          </w:p>
        </w:tc>
        <w:tc>
          <w:tcPr>
            <w:tcW w:w="0" w:type="dxa"/>
            <w:vAlign w:val="bottom"/>
          </w:tcPr>
          <w:p>
            <w:pPr>
              <w:spacing w:after="0"/>
              <w:rPr>
                <w:sz w:val="1"/>
                <w:szCs w:val="1"/>
                <w:color w:val="auto"/>
              </w:rPr>
            </w:pPr>
          </w:p>
        </w:tc>
      </w:tr>
      <w:tr>
        <w:trPr>
          <w:trHeight w:val="27"/>
        </w:trPr>
        <w:tc>
          <w:tcPr>
            <w:tcW w:w="37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considered customer expectations of performance, materiality and the core principles of ASC Topic 606. The Company's services are generally transferred to the customer at a point in time.</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Variable consideration is included in revenue if it is probable that a significant future reversal of cumulative revenue under the contract will not occur. Certain recent acquisitions have not been included in the estimate of variable consideration due to lack of historical information to determine an estimate. The estimate for variable consideration will be included as historical experience is developed.</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within the mortgage product category is primarily generated from upfront match fees paid by network lenders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Revenue recognition on match fees was not impacted by the adoption of ASC Topic 606, as the Company's contractual right to the match fee consideration is contemporaneous with the satisfaction of the performance obligation to deliver a loan request to the customer.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match and other upfront fees, revenue within the non-mortgage product category is also generated from closing fees and approval fees.</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Closing fees are derived from lenders on certain auto loans, business loans, personal loans and student loans when the lender funds a loan with the consumer. Prior to the adoption of ASC Topic 606, closed loan fees were recognized at the time the lender reported the closed loan to the Company, which could be several months after the original request was transmitted.</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Approval fees are derived from credit card issuers when the credit card consumer receives card approval from the credit card issuer. Prior to the adoption of ASC Topic 606, approval fees were recognized at the time the credit card issuer reported the card approval for the consumer to the Company, which is generally within two weeks after the consumer's request was transmitted.</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will record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term between satisfaction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of the Company's performance obligation and when the Company's right to consideration becomes unconditional is generally less than 90 days.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Upfront fees and subscription fees are derived from consumers in our credit services business, which was acquired on June 11, 2018. Upfront fees paid by consumers are recognized as revenue over the estimated time the consumer will remain a customer and receive services. Subscription fees are recognized over the period a consumer is receiving services.</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contract asset recorded within prepaid and other current assets on the consolidated balance sheets related to estimated variable consideration was $1.9 million and $2.8 million on January 1, 2018 and June 30, 2018, respectively. The increase in the contract asset from January 1, 2018 to June 30, 2018 is primarily due to increases in the number of consumers sent to personal loan lenders and timing within the quarter of consumers sent to credit card issuers.</w:t>
      </w:r>
    </w:p>
    <w:p>
      <w:pPr>
        <w:spacing w:after="0" w:line="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the acquisition of Ovation Credit Services, Inc. ("Ovation") on June 11, 2018, a $0.1 million contract liability was recorded within accrued expenses and other current liabilities on the June 30, 2018 consolidated balance sheet related to the upfront fees paid by consumers.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an increase to such revenue from prior periods of $0.2 million in the second quarter of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Both the mortgage and non-mortgage product categories are included in the Company's single reportable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payment terms vary by customer and services offered. The term between invoicing and when payment is due is generally 30 days or less.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commissions are incremental costs of obtaining contracts with customers. The Company expenses sales commissions when incurred as the duration of contracts with customers is less than one year, based on the right for either party to terminate the contract with less than one year's notice without compensation to either party. These costs are recorded within selling and marketing expense on the consolidated statements of operations and comprehensive income.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right="277"/>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293,301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368,550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4,091</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293,350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372,641</w:t>
            </w:r>
          </w:p>
        </w:tc>
      </w:tr>
      <w:tr>
        <w:trPr>
          <w:trHeight w:val="378"/>
        </w:trPr>
        <w:tc>
          <w:tcPr>
            <w:tcW w:w="83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center"/>
              <w:ind w:right="277"/>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restricted 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4,091</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Goodwill</w:t>
            </w:r>
          </w:p>
        </w:tc>
        <w:tc>
          <w:tcPr>
            <w:tcW w:w="280" w:type="dxa"/>
            <w:vAlign w:val="bottom"/>
          </w:tcPr>
          <w:p>
            <w:pPr>
              <w:spacing w:after="0"/>
              <w:rPr>
                <w:sz w:val="14"/>
                <w:szCs w:val="14"/>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Net Goodwill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Impairment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596,456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113,368</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Acquisition of Ovation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11,535</w:t>
            </w:r>
          </w:p>
        </w:tc>
        <w:tc>
          <w:tcPr>
            <w:tcW w:w="28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607,991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124,903</w:t>
            </w:r>
          </w:p>
        </w:tc>
        <w:tc>
          <w:tcPr>
            <w:tcW w:w="0" w:type="dxa"/>
            <w:vAlign w:val="bottom"/>
          </w:tcPr>
          <w:p>
            <w:pPr>
              <w:spacing w:after="0"/>
              <w:rPr>
                <w:sz w:val="1"/>
                <w:szCs w:val="1"/>
                <w:color w:val="auto"/>
              </w:rPr>
            </w:pPr>
          </w:p>
        </w:tc>
      </w:tr>
      <w:tr>
        <w:trPr>
          <w:trHeight w:val="378"/>
        </w:trPr>
        <w:tc>
          <w:tcPr>
            <w:tcW w:w="68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51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71,512</w:t>
            </w:r>
          </w:p>
        </w:tc>
        <w:tc>
          <w:tcPr>
            <w:tcW w:w="28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70,983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81,654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81,125</w:t>
            </w:r>
          </w:p>
        </w:tc>
        <w:tc>
          <w:tcPr>
            <w:tcW w:w="0" w:type="dxa"/>
            <w:vAlign w:val="bottom"/>
          </w:tcPr>
          <w:p>
            <w:pPr>
              <w:spacing w:after="0"/>
              <w:rPr>
                <w:sz w:val="1"/>
                <w:szCs w:val="1"/>
                <w:color w:val="auto"/>
              </w:rPr>
            </w:pPr>
          </w:p>
        </w:tc>
      </w:tr>
      <w:tr>
        <w:trPr>
          <w:trHeight w:val="27"/>
        </w:trPr>
        <w:tc>
          <w:tcPr>
            <w:tcW w:w="6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34,800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(4,715)</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30,085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(748)</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95,660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(24,148)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71,512</w:t>
            </w:r>
          </w:p>
        </w:tc>
        <w:tc>
          <w:tcPr>
            <w:tcW w:w="0" w:type="dxa"/>
            <w:vAlign w:val="bottom"/>
          </w:tcPr>
          <w:p>
            <w:pPr>
              <w:spacing w:after="0"/>
              <w:rPr>
                <w:sz w:val="1"/>
                <w:szCs w:val="1"/>
                <w:color w:val="auto"/>
              </w:rPr>
            </w:pPr>
          </w:p>
        </w:tc>
      </w:tr>
      <w:tr>
        <w:trPr>
          <w:trHeight w:val="288"/>
        </w:trPr>
        <w:tc>
          <w:tcPr>
            <w:tcW w:w="398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33,100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(3,239)</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29,861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86,960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(15,977)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70,983</w:t>
            </w:r>
          </w:p>
        </w:tc>
        <w:tc>
          <w:tcPr>
            <w:tcW w:w="0" w:type="dxa"/>
            <w:vAlign w:val="bottom"/>
          </w:tcPr>
          <w:p>
            <w:pPr>
              <w:spacing w:after="0"/>
              <w:rPr>
                <w:sz w:val="1"/>
                <w:szCs w:val="1"/>
                <w:color w:val="auto"/>
              </w:rPr>
            </w:pPr>
          </w:p>
        </w:tc>
      </w:tr>
      <w:tr>
        <w:trPr>
          <w:trHeight w:val="459"/>
        </w:trPr>
        <w:tc>
          <w:tcPr>
            <w:tcW w:w="398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2018,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17,952</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6,870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17,246</w:t>
            </w:r>
          </w:p>
        </w:tc>
      </w:tr>
      <w:tr>
        <w:trPr>
          <w:trHeight w:val="27"/>
        </w:trPr>
        <w:tc>
          <w:tcPr>
            <w:tcW w:w="9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71,512</w:t>
            </w:r>
          </w:p>
        </w:tc>
      </w:tr>
      <w:tr>
        <w:trPr>
          <w:trHeight w:val="27"/>
        </w:trPr>
        <w:tc>
          <w:tcPr>
            <w:tcW w:w="99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6—BUSINESS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paid $12.2 million in initial cash consideration and could make up to two additional earnout payments, each ranging from zero to $4.375 million, based on certain defined operating metrics during the earnout periods July 1, 2018 through June 30, 2019 and July 1, 2019 through June 30, 2020. These additional payments, to the extent earned, will be payable in cash. The Company has estimated a preliminary purchase price of $18.0 million, comprised of the upfront cash payment of $12.2 million and $5.8 million for the estimated fair value of the earnout payments, which is included in non-current contingent consideration in the accompanying balance sheet.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after the final determination of purchase price will be recorded in operating income (expense) in the consolidated statements of operations and comprehensive income.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The preliminary allocation of purchase price to the assets acquired and liabilities assumed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Arial" w:cs="Arial" w:eastAsia="Arial" w:hAnsi="Arial"/>
                <w:sz w:val="16"/>
                <w:szCs w:val="16"/>
                <w:b w:val="1"/>
                <w:bCs w:val="1"/>
                <w:color w:val="auto"/>
                <w:w w:val="98"/>
              </w:rPr>
              <w:t>Preliminary Fair Value</w:t>
            </w:r>
          </w:p>
        </w:tc>
      </w:tr>
      <w:tr>
        <w:trPr>
          <w:trHeight w:val="33"/>
        </w:trPr>
        <w:tc>
          <w:tcPr>
            <w:tcW w:w="9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11,535</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preliminary purchase price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17,987</w:t>
            </w:r>
          </w:p>
        </w:tc>
      </w:tr>
      <w:tr>
        <w:trPr>
          <w:trHeight w:val="34"/>
        </w:trPr>
        <w:tc>
          <w:tcPr>
            <w:tcW w:w="9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trademarks and tradenames. The estimated fair values of the developed technology were determined using excess earnings analysis, the customer relationships were determined using cost savings analysis and the trademarks and tradenames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ind w:right="352"/>
              <w:spacing w:after="0"/>
              <w:rPr>
                <w:sz w:val="20"/>
                <w:szCs w:val="20"/>
                <w:color w:val="auto"/>
              </w:rPr>
            </w:pPr>
            <w:r>
              <w:rPr>
                <w:rFonts w:ascii="Arial" w:cs="Arial" w:eastAsia="Arial" w:hAnsi="Arial"/>
                <w:sz w:val="16"/>
                <w:szCs w:val="16"/>
                <w:b w:val="1"/>
                <w:bCs w:val="1"/>
                <w:color w:val="auto"/>
                <w:w w:val="99"/>
              </w:rPr>
              <w:t>Preliminary Fair Value</w:t>
            </w: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00" w:type="dxa"/>
            <w:vAlign w:val="bottom"/>
          </w:tcPr>
          <w:p>
            <w:pPr>
              <w:spacing w:after="0"/>
              <w:rPr>
                <w:sz w:val="21"/>
                <w:szCs w:val="21"/>
                <w:color w:val="auto"/>
              </w:rPr>
            </w:pPr>
          </w:p>
        </w:tc>
        <w:tc>
          <w:tcPr>
            <w:tcW w:w="2140" w:type="dxa"/>
            <w:vAlign w:val="bottom"/>
          </w:tcPr>
          <w:p>
            <w:pPr>
              <w:jc w:val="right"/>
              <w:ind w:right="172"/>
              <w:spacing w:after="0"/>
              <w:rPr>
                <w:sz w:val="20"/>
                <w:szCs w:val="20"/>
                <w:color w:val="auto"/>
              </w:rPr>
            </w:pPr>
            <w:r>
              <w:rPr>
                <w:rFonts w:ascii="Arial" w:cs="Arial" w:eastAsia="Arial" w:hAnsi="Arial"/>
                <w:sz w:val="18"/>
                <w:szCs w:val="18"/>
                <w:color w:val="auto"/>
              </w:rPr>
              <w:t>1,700</w:t>
            </w:r>
          </w:p>
        </w:tc>
        <w:tc>
          <w:tcPr>
            <w:tcW w:w="20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2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8,700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 years</w:t>
            </w:r>
          </w:p>
        </w:tc>
      </w:tr>
      <w:tr>
        <w:trPr>
          <w:trHeight w:val="34"/>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2018, the Company has not completed its determination of the final purchase price or the final allocation of the purchase price to the assets and liabilities of the acquisition. The purchase price and final allocation of purchase price is expected to be finalized in the third quarter of 2018. Any adjustment to the preliminary purchase price or the assets and liabilities assumed with the acquisition will adjust goodwill.</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preliminary goodwill of $11.5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w:t>
      </w:r>
    </w:p>
    <w:p>
      <w:pPr>
        <w:spacing w:after="0" w:line="1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Subsequent to the acquisition date, the Company’s consolidated results of operations include the results of the acquired Ovation business. In both of the second quarter and first six months of 2018, revenue of $0.5 million and immaterial net loss from continuing operations have been included in the Company’s consolidated results of operations. Acquisition-related costs were $0.3 million in both of the second quarter and first six months of 2018, and are included in general and administrative expense on the consolidated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CompareCards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16, 2016, the Company acquired all of the membership interests of Iron Horse Holdings, LLC, which does business under the name CompareCards ("CompareCards"). CompareCards is an online marketing platform for credit cards, which the Company is utilizing to grow its existing credit card business. The acquisition has been accounted for as a business combination. During 2017, the Company finalized the determination of the purchase price allocation with respect to the assets acquired and liabilities assumed.</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paid $80.7 million in initial cash consideration and agreed to make two earnout payments, each up to $22.5 million, based on the amount of earnings before interest, taxes, depreciation and amortization CompareCards generates during the periods of January 1, 2017 through December 31, 2017 and January 1, 2018 through December 31, 2018, or up to $45.0 million in aggregate payments. The purchase price for the acquisition is $103.8 million comprised of an upfront cash payment of $80.7 million on November 16, 2016 and $23.1 million for the estimated fair value of the earnout payments at the time of closing the acquisition. In the first quarter of 2018, the Company paid $22.5 million related to the earnout payment for the period of January 1, 2017 through December 31, 2017, which is included within cash flows from financing activities on the consolidated statement of cash flows. In the second quarter of 2018, the Company paid $22.5 million related to the earnout payment for the period of January 1, 2018 through December 31, 2018, of which $0.6 million is included within cash flows from financing activities and $21.9 million is included within cash flows from operating activities on the consolidated statement of cash flows.</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and first six months of 2018, the Company recorded $0.2 million and $0.7 million, respectively, of contingent consideration expense within operating income in the consolidated statement of operations and comprehensive income due to the change in estimated fair value of the earnout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The acquisition has been accounted for as a business combination. During 2017, the Company finalized the determination of the purchase price allocation with respect to the assets acquired and liabilities assumed.</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 The purchase price for the acquisition is $29.0 million, comprised of the upfront cash payment of $24.0 million and $5.0 million for the estimated fair value of the contingent consideration at the time of closing the acquisition.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third quarter of 2017, the Company made a payment of $1.0 million associated with a specified increase in the Federal Funds rate in June 2017. In each of the first and second quarters of 2018, the Company paid $1.0 million associated with specified increases in the Federal Funds rate in December 2017 and March 2018, respectively, which are included within cash flows from financing activities on the consolidated statement of cash flows. As of June 30, 2018, the estimated fair value of the contingent consideration totaled $5.3 million, of which $4.4 million is included in current contingent consideration and $0.9 million is included in non-current contingent consideration in the accompanying consolidated balance sheet. The estimated fair value of the portion of the contingent consideration payments based on increases in interest rates is determined using a scenario approach based on the interest rate forecasts of Federal Open Market Committee participants. The estimated fair value of the portion of the contingent consideration payments potentially earned based on net revenue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second quarter and first six months of 2018, the Company recorded $0.4 million and $1.3 million, respectively, of contingent consideration expense in the consolidated statement of operations and comprehensive income due to the change in estimated fair value of the contingent consideration.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2018, the Company paid $1.0 million associated with a specified increase in the Federal Funds rate in June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SnapCap</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 The acquisition has been accounted for as a business combination. During 2017, the Company finalized the determination of the purchase price allocation with respect to the assets acquired and liabilities assumed.</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 The purchase price for the acquisition is $18.2 million, comprised of the upfront cash payment of $11.9 million and $6.3 million for the estimated fair value of the contingent consideration.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June 30, 2018, the estimated fair value of the contingent consideration totaled $4.1 million, of which $2.9 million is included in current contingent consideration and $1.2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second quarter and first six months of 2018, the Company recorded gains of $0.8 million and $2.9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438" w:lineRule="auto"/>
        <w:rPr>
          <w:sz w:val="20"/>
          <w:szCs w:val="20"/>
          <w:color w:val="auto"/>
        </w:rPr>
      </w:pPr>
      <w:r>
        <w:rPr>
          <w:rFonts w:ascii="Arial" w:cs="Arial" w:eastAsia="Arial" w:hAnsi="Arial"/>
          <w:sz w:val="18"/>
          <w:szCs w:val="18"/>
          <w:color w:val="auto"/>
        </w:rPr>
        <w:t xml:space="preserve">respectively, in the consolidated statement of operations and comprehensive income due to the change in estimated fair value of the contingent consideration. </w:t>
      </w:r>
      <w:r>
        <w:rPr>
          <w:rFonts w:ascii="Arial" w:cs="Arial" w:eastAsia="Arial" w:hAnsi="Arial"/>
          <w:sz w:val="18"/>
          <w:szCs w:val="18"/>
          <w:i w:val="1"/>
          <w:iCs w:val="1"/>
          <w:u w:val="single" w:color="auto"/>
          <w:color w:val="auto"/>
        </w:rPr>
        <w:t>Pro forma Financial Results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financial results for the second quarters and first six months of 2017 and 2018 combine the consolidated results of the Company and DepositAccounts, SnapCap, Ovation and Camino Del Avion (Delaware), LLC (“MagnifyMoney”) giving effect to the acquisitions as if the DepositAccounts, MagnifyMoney and SnapCap acquisitions had been completed on January 1, 2016 and as if the Ovation acquisition had been completed on January 1, 2017. This unaudited pro forma financial information is presented for informational purposes only and is not indicative of future operations or results had the acquisitions been completed as of January 1, 2016 or 2017, or any other date.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The provision for income taxes from continuing operations has also been adjusted to reflect taxes on the historical results of operations of DepositAccounts and SnapCap. DepositAccounts and SnapCap did not pay taxes at the entity level as these entities were limited liability companies whose members elected for them to be taxed as a partnership.</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98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2018</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185,820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158,737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w w:val="92"/>
              </w:rPr>
              <w:t>369,201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296,935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45,188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7,758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61"/>
              <w:spacing w:after="0"/>
              <w:rPr>
                <w:sz w:val="20"/>
                <w:szCs w:val="20"/>
                <w:color w:val="auto"/>
              </w:rPr>
            </w:pPr>
            <w:r>
              <w:rPr>
                <w:rFonts w:ascii="Arial" w:cs="Arial" w:eastAsia="Arial" w:hAnsi="Arial"/>
                <w:sz w:val="18"/>
                <w:szCs w:val="18"/>
                <w:color w:val="auto"/>
              </w:rPr>
              <w:t>80,956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14,966</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pro forma net income from continuing operations in the second quarter and first six months of 2018 includes the aggregate after tax contingent consideration gain associated with the CompareCards, DepositAccounts and SnapCap earnouts of $0.1 million and $0.7 million, respectively. The unaudited pro forma net income from continuing operations in the second quarter and first six months of 2017 includes the after tax contingent consideration expense associated with the CompareCards earnouts of $5.6 million and $10.9 million, respectively.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net income from continuing operations for the first six months of 2017 has been adjusted to include acquisition-related costs of $0.3 million incurred by the Company that are directly attributable to the Ovation acquisition, which will not have an ongoing impact. Accordingly, these acquisition-related costs have been eliminated from the unaudited pro forma net income from continuing operations for the second quarter and first six months of 2018. Acquisition-related costs incurred by the Company, DepositAccounts and MagnifyMoney that are directly attributable to the DepositAccounts and MagnifyMoney acquisitions, and which will not have an on-going impact, have been eliminated from the unaudited pro forma net income from continuing operations for the second quarter and first six months of 2017.</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78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36,588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40,727</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2,072</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3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5,546</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Contribution to LendingTree Foundation</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10,000</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8,843</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10,795</w:t>
            </w:r>
          </w:p>
        </w:tc>
      </w:tr>
      <w:tr>
        <w:trPr>
          <w:trHeight w:val="237"/>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8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70,721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77,183</w:t>
            </w:r>
          </w:p>
        </w:tc>
      </w:tr>
      <w:tr>
        <w:trPr>
          <w:trHeight w:val="34"/>
        </w:trPr>
        <w:tc>
          <w:tcPr>
            <w:tcW w:w="47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59"/>
        </w:trPr>
        <w:tc>
          <w:tcPr>
            <w:tcW w:w="4780" w:type="dxa"/>
            <w:vAlign w:val="bottom"/>
          </w:tcPr>
          <w:p>
            <w:pPr>
              <w:spacing w:after="0"/>
              <w:rPr>
                <w:sz w:val="24"/>
                <w:szCs w:val="24"/>
                <w:color w:val="auto"/>
              </w:rPr>
            </w:pPr>
          </w:p>
        </w:tc>
        <w:tc>
          <w:tcPr>
            <w:tcW w:w="3560" w:type="dxa"/>
            <w:vAlign w:val="bottom"/>
          </w:tcPr>
          <w:p>
            <w:pPr>
              <w:jc w:val="right"/>
              <w:ind w:right="245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48"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12,416</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12,254</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1,176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1,363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1,564</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135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177</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420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733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14,147</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14,527</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13,552</w:t>
            </w:r>
          </w:p>
        </w:tc>
      </w:tr>
      <w:tr>
        <w:trPr>
          <w:trHeight w:val="27"/>
        </w:trPr>
        <w:tc>
          <w:tcPr>
            <w:tcW w:w="516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of the three and six months ended June 30, 2018, the weighted average shares that were anti-dilutive, and therefore excluded from the calculation of diluted income per share, included options to purchase 0.4 million shares of common stock.</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the second quarter of 2017 could be converted into the Company’s common stock in the future,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 Shares of the Company’s common stock associated with these instruments were excluded from the calculation of diluted income per share for the three and six months ended June 30, 2017, as they were anti-dilutive since the conversion price of the Convertible Senior Notes and the strike price of the warrants were greater than the average market price of the Company’s common stock during the second quarter of 2017. Other than the shares associated with the 0.625% Convertible Senior Notes and the warrants, no shares related to potentially dilutive securities were excluded from the calculation of diluted income per share for the three and six months ended June 30,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each of January 2010, May 2014, January 2016, February 2016 and February 2018, the board of directors authorized and the Company announced the repurchase of up to $10.0 million, $10.0 million, $50.0 million, $40.0 million and $100.0 million, respectively, of LendingTree's common stock. During the six months ended June 30, 2018, the Company purchased 156,731 shares of its common stock pursuant to this stock repurchase program. At June 30, 2018, approximately $81.7 million of the previous authorizations to repurchase common stock remain available for the Company to purchase its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79</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1,433</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2,934</w:t>
            </w:r>
          </w:p>
        </w:tc>
        <w:tc>
          <w:tcPr>
            <w:tcW w:w="6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1,177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8,490</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17,229</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1,176</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1,987</w:t>
            </w:r>
          </w:p>
        </w:tc>
        <w:tc>
          <w:tcPr>
            <w:tcW w:w="6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1,045</w:t>
            </w:r>
          </w:p>
        </w:tc>
      </w:tr>
      <w:tr>
        <w:trPr>
          <w:trHeight w:val="27"/>
        </w:trPr>
        <w:tc>
          <w:tcPr>
            <w:tcW w:w="5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11,178</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22,287</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5,130</w:t>
            </w:r>
          </w:p>
        </w:tc>
      </w:tr>
      <w:tr>
        <w:trPr>
          <w:trHeight w:val="459"/>
        </w:trPr>
        <w:tc>
          <w:tcPr>
            <w:tcW w:w="5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rPr>
              <w:t>18</w:t>
            </w:r>
          </w:p>
        </w:tc>
        <w:tc>
          <w:tcPr>
            <w:tcW w:w="6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1,863,739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30.70</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52,148</w:t>
            </w:r>
          </w:p>
        </w:tc>
        <w:tc>
          <w:tcPr>
            <w:tcW w:w="32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328.73</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(723,510)</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17.84</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(2,682)</w:t>
            </w:r>
          </w:p>
        </w:tc>
        <w:tc>
          <w:tcPr>
            <w:tcW w:w="32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267.28</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2018</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1,189,695</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51.05</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4.66</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200,359</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2018</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1,010,061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20.03</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3.87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195,761</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$213.80 on the last trading day of the quarter ended June 30, 2018 and the exercise price, multiplied by the number of shares covered by in-the-money options) that would have been received by the option holder had the option holder exercised these options on June 30, 2018.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six months ended June 30, 2018, the Company granted stock options to certain employees and members of the board of directors with a weighted average grant date fair value per share of $167.11, calculated using the Black-Scholes option pricing model, which vesting periods include</w:t>
      </w: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(a) immediate vesting on grant date (b) one year from grant date (c) two years from the grant date, (d) three years from the grant date and (e) four years from the grant date.</w:t>
      </w:r>
    </w:p>
    <w:p>
      <w:pPr>
        <w:spacing w:after="0" w:line="13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5.00 - 6.34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 - 53%</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2.33% - 2.90%</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2018,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with performance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60" w:type="dxa"/>
            <w:vAlign w:val="bottom"/>
          </w:tcPr>
          <w:p>
            <w:pPr>
              <w:spacing w:after="0"/>
              <w:rPr>
                <w:sz w:val="12"/>
                <w:szCs w:val="12"/>
                <w:color w:val="auto"/>
              </w:rPr>
            </w:pPr>
          </w:p>
        </w:tc>
        <w:tc>
          <w:tcPr>
            <w:tcW w:w="88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(per option)</w:t>
            </w:r>
          </w:p>
        </w:tc>
        <w:tc>
          <w:tcPr>
            <w:tcW w:w="520" w:type="dxa"/>
            <w:vAlign w:val="bottom"/>
          </w:tcPr>
          <w:p>
            <w:pPr>
              <w:spacing w:after="0"/>
              <w:rPr>
                <w:sz w:val="16"/>
                <w:szCs w:val="16"/>
                <w:color w:val="auto"/>
              </w:rPr>
            </w:pP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37,877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2018</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37,877</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9.45</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$213.80 on the last trading day of the quarter ended June 30, 2018 and the exercise price, multiplied by the number of shares covered by in-the-money options) that would have been received by the option holder had the option holder exercised these options on June 30, 2018. The intrinsic value changes based on the market value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changes in outstanding nonvested restricted stock units ("RSUs"), exclusive of RSUs granted to the Chairman and Chief Executive Officer in 2018 described below,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152,829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121.68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54,538</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336.59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(57,736)</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(4,734)</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144,897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211.18</w:t>
            </w:r>
          </w:p>
        </w:tc>
        <w:tc>
          <w:tcPr>
            <w:tcW w:w="0" w:type="dxa"/>
            <w:vAlign w:val="bottom"/>
          </w:tcPr>
          <w:p>
            <w:pPr>
              <w:spacing w:after="0"/>
              <w:rPr>
                <w:sz w:val="1"/>
                <w:szCs w:val="1"/>
                <w:color w:val="auto"/>
              </w:rPr>
            </w:pPr>
          </w:p>
        </w:tc>
      </w:tr>
      <w:tr>
        <w:trPr>
          <w:trHeight w:val="648"/>
        </w:trPr>
        <w:tc>
          <w:tcPr>
            <w:tcW w:w="7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gridSpan w:val="2"/>
          </w:tcPr>
          <w:p>
            <w:pPr>
              <w:ind w:left="340"/>
              <w:spacing w:after="0"/>
              <w:rPr>
                <w:sz w:val="20"/>
                <w:szCs w:val="20"/>
                <w:color w:val="auto"/>
              </w:rPr>
            </w:pPr>
            <w:r>
              <w:rPr>
                <w:rFonts w:ascii="Arial" w:cs="Arial" w:eastAsia="Arial" w:hAnsi="Arial"/>
                <w:sz w:val="18"/>
                <w:szCs w:val="18"/>
                <w:color w:val="auto"/>
                <w:w w:val="93"/>
              </w:rPr>
              <w:t>A summary of the changes in outstanding nonvested RSUs with performance conditions is as follows: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111,205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160.34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(12,226)</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(2,652)</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96,327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168.52</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 Grants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Grants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2017, the Company’s Compensation Committee approved new compensation arrangements for its Chairman and Chief Executive Officer. The new compensation arrangements include the issuance of performance based equity compensation grants with a modeled total grant date value of $87.5 million of which 25% (119,015 shares) would be in the form of time-vested restricted stock awards with a performance condition and 75% (a maximum of 769,376 shares) would be in the form of performance-based nonqualified stock options.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performance-based nonqualified stock options have a target number of shares that vest upon achieving targeted total shareholder return performance of 110% stock price appreciation and a maximum number of shares for achieving superior performance up to 167% of the target number of shares. No shares will vest unless 70% of the targeted performance is achieved. Time-based service vesting conditions would also have to be satisfied in order for performance-vested shares to become fully vested and no longer subject to forfeiture. On July 26, 2017, an initial grant of performance-based nonqualified stock options with a target number of shares of 402,694 and a maximum number of shares of 672,499 were issued with an exercise price of $183.80, the closing stock price on July 26, 2017. The performance measurement period ends on September 30, 2022. The fair value of the performance-based stock options will be recognized on a straight-line basis through the vest date of September 30, 2022, whether or not any of the total shareholder return targets are met.</w:t>
      </w:r>
    </w:p>
    <w:p>
      <w:pPr>
        <w:spacing w:after="0" w:line="11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Fifth Amended and Restated 2008 Stock and Annual Incentive Plan (the "2008 Plan") imposes a per employee upper annual grant limit of 672,500 shares. As a result, the remaining 58,010 target performance-based nonqualified stock options and potential performance-based restricted stock awards were awarded on January 2, 2018. The form of the awards consisted of 31,336 performance-based nonqualified stock options with a per share exercise price of $340.25, and 26,674 performance-based restricted stock awards, substituting for an equal number of the performance-based options, to compensate for the increase in the exercise price of the performance-based option granted on July 26, 2017. These performance-based nonqualified stock options and performance-based restricted stock awards were issued with respective total grant date fair values of $9.5 million and $1.9 million.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performance-based nonqualified stock options of 312,008 and performance-based restricted stock awards of 19,175 had been earned, which have a vest date of September 30, 2022.</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 2018, the 119,015 time-vested restricted stock awards with a performance condition were granted. The terms of these awards were fixed in the approved new compensation agreements in July 2017 with a total grant date fair value of $21.9 million. The performance condition was tied to the Company's operating results during the first six months of 2018, and has been met. During the six months ended June 30, 2018, 35,703 of these awards vested.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Grants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16, 2018, the Company’s Compensation Committee approved the issuance of performance based equity compensation grants to its Chairman and Chief Executive Officer with a modeled total grant date value of $7.5 million, of which 50% (9,896 shares) would be in the form of time-vested restricted stock units and 50% (a maximum of 21,982 shares) would be in the form of performance-based nonqualified stock options. On February 16, 2018, the 9,896 time-vested restricted stock units were granted with a grant date fair value of $378.95.</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performance-based nonqualified stock options have a target number of shares that vest upon achieving targeted total shareholder return performance of 81% stock price appreciation and a maximum number of shares for achieving superior performance up to 167% of the target number of shares. No shares will vest unless 41% of the targeted performance is achieved. Time-based service vesting conditions would also have to be satisfied in order for performance-vested shares to become fully vested and no longer subject to forfeiture. On February 16, 2018, the performance-based nonqualified stock options with a target number of shares of 13,163 and a maximum number of shares of 21,982 were issued with an exercise price of $378.95, the closing stock price on February 16, 2018. The performance measurement period ends on March 31, 2022. The fair value of the performance-based stock options will be recognized on a straight-line basis through the vest date of March 31, 2022, whether or not any of the total shareholder return targets are met. As of June 30, 2018, the performance targets associated with the performance-based nonqualified stock options had not been met.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and six months ended June 30, 2018, the Company recorded $5.4 million and $10.7 million, respectively, in stock-based compensation expense related to the 2017 and 2018 grants to its Chairman and Chief Executive Officer in the consolidated statement of operations and comprehensive income.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6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402,694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183.80</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44,499</w:t>
            </w:r>
          </w:p>
        </w:tc>
        <w:tc>
          <w:tcPr>
            <w:tcW w:w="36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351.70</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2018</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447,193</w:t>
            </w: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200.51</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9.12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12,081</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$213.80 on the last trading day of the quarter ended June 30, 2018 and the exercise price, multiplied by the number of shares covered by in-the-money options) that would have been received by the option holder had the option holder exercised these options on June 30, 2018.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six months ended June 30, 2018, the Company granted stock options with a weighted average grant date fair value per share of $296.80, calculated using the Monte Carlo simulation model, which have vesting dates of March 31, 2022 and September 30, 2022.</w:t>
      </w:r>
    </w:p>
    <w:p>
      <w:pPr>
        <w:spacing w:after="0" w:line="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Monte Carlo simulation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7.00 - 7.15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2.38% - 2.81%</w:t>
            </w:r>
          </w:p>
        </w:tc>
      </w:tr>
    </w:tbl>
    <w:p>
      <w:pPr>
        <w:spacing w:after="0" w:line="148"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2018,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2"/>
          </w:tcPr>
          <w:p>
            <w:pPr>
              <w:jc w:val="right"/>
              <w:ind w:right="24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9"/>
              </w:rPr>
              <w:t>2017</w:t>
            </w:r>
          </w:p>
        </w:tc>
      </w:tr>
      <w:tr>
        <w:trPr>
          <w:trHeight w:val="190"/>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20" w:type="dxa"/>
            <w:vAlign w:val="bottom"/>
            <w:gridSpan w:val="5"/>
          </w:tcPr>
          <w:p>
            <w:pPr>
              <w:jc w:val="right"/>
              <w:ind w:right="179"/>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66"/>
        </w:trPr>
        <w:tc>
          <w:tcPr>
            <w:tcW w:w="5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29,721</w:t>
            </w:r>
          </w:p>
        </w:tc>
        <w:tc>
          <w:tcPr>
            <w:tcW w:w="122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53,182</w:t>
            </w:r>
          </w:p>
        </w:tc>
        <w:tc>
          <w:tcPr>
            <w:tcW w:w="8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1,183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2120" w:type="dxa"/>
            <w:vAlign w:val="bottom"/>
            <w:gridSpan w:val="2"/>
          </w:tcPr>
          <w:p>
            <w:pPr>
              <w:jc w:val="right"/>
              <w:ind w:right="964"/>
              <w:spacing w:after="0"/>
              <w:rPr>
                <w:sz w:val="20"/>
                <w:szCs w:val="20"/>
                <w:color w:val="auto"/>
              </w:rPr>
            </w:pPr>
            <w:r>
              <w:rPr>
                <w:rFonts w:ascii="Arial" w:cs="Arial" w:eastAsia="Arial" w:hAnsi="Arial"/>
                <w:sz w:val="18"/>
                <w:szCs w:val="18"/>
                <w:i w:val="1"/>
                <w:iCs w:val="1"/>
                <w:color w:val="auto"/>
              </w:rPr>
              <w:t>-196.5 %</w:t>
            </w: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w w:val="92"/>
              </w:rPr>
              <w:t>-1.3 %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2"/>
          </w:tcPr>
          <w:p>
            <w:pPr>
              <w:jc w:val="right"/>
              <w:ind w:right="579"/>
              <w:spacing w:after="0"/>
              <w:rPr>
                <w:sz w:val="20"/>
                <w:szCs w:val="20"/>
                <w:color w:val="auto"/>
              </w:rPr>
            </w:pPr>
            <w:r>
              <w:rPr>
                <w:rFonts w:ascii="Arial" w:cs="Arial" w:eastAsia="Arial" w:hAnsi="Arial"/>
                <w:sz w:val="18"/>
                <w:szCs w:val="18"/>
                <w:i w:val="1"/>
                <w:iCs w:val="1"/>
                <w:color w:val="auto"/>
              </w:rPr>
              <w:t>-193.2 %</w:t>
            </w: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-8.1 %</w:t>
            </w:r>
          </w:p>
        </w:tc>
      </w:tr>
      <w:tr>
        <w:trPr>
          <w:trHeight w:val="27"/>
        </w:trPr>
        <w:tc>
          <w:tcPr>
            <w:tcW w:w="550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122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c>
          <w:tcPr>
            <w:tcW w:w="84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 months ended June 30, 2018, the effective tax rate varied from the federal statutory rate of 21% primarily due to a tax benefit of $33.7 million and $60.9 million, respectively,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 months ended June 30, 2017, the effective tax rate varied from the federal statutory rate of 35% primarily due to a tax benefit of $3.8 million and $7.6 million, respectively, recognized for excess tax benefits due to employee exercises of stock options and vesting of restricted stock in accordance with ASU 2016-09.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4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190"/>
        </w:trPr>
        <w:tc>
          <w:tcPr>
            <w:tcW w:w="5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6"/>
        </w:trPr>
        <w:tc>
          <w:tcPr>
            <w:tcW w:w="5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Income tax expense - excluding excess tax benefit on stock compensation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(7,688)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34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33,667</w:t>
            </w:r>
          </w:p>
        </w:tc>
        <w:tc>
          <w:tcPr>
            <w:tcW w:w="4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60,870</w:t>
            </w:r>
          </w:p>
        </w:tc>
        <w:tc>
          <w:tcPr>
            <w:tcW w:w="4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7,603</w:t>
            </w:r>
          </w:p>
        </w:tc>
      </w:tr>
      <w:tr>
        <w:trPr>
          <w:trHeight w:val="27"/>
        </w:trPr>
        <w:tc>
          <w:tcPr>
            <w:tcW w:w="5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29,721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53,182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1,183</w:t>
            </w:r>
          </w:p>
        </w:tc>
      </w:tr>
      <w:tr>
        <w:trPr>
          <w:trHeight w:val="27"/>
        </w:trPr>
        <w:tc>
          <w:tcPr>
            <w:tcW w:w="5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during the 30 consecutive trading day period ending on, and including the last trading day of the immediately preceding calendar quarter is greater than or equal to 130% of the conversion price on each applicable trading day;</w:t>
      </w:r>
    </w:p>
    <w:p>
      <w:pPr>
        <w:spacing w:after="0" w:line="89"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continued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 Holders of the Notes are not entitled to convert the Notes during the calendar quarter ended September 30, 2018 as the last reported sales price of the Company's common stock, for at least 20 trading days (whether or not consecutive) during the period of 30 consecutive trading days ending on June 30, 2018, was not greater than or equal to 130% of the conversion price of the Notes on each applicable trading day.</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six months of 2018, the Company recorded interest expense on the Notes of $7.2 million which consisted of $0.9 million associated with the 0.625% coupon rate, $5.6 million associated with the accretion of the debt discount, and $0.7 million associated with the amortization of the debt issuance costs. In the first six months of 2017, the Company recorded interest expense on the Notes of $1.2 million which consisted of $0.2 million associated with the 0.625% coupon rate, $0.9 million associated with the accretion of the debt discount, and $0.1 million associated with the amortization of the debt issuance costs. The debt discount is being amortized over the term of the debt.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2018, the fair value of the Notes is estimated to be approximately $361.5 million using the Level 1 observable input of the last quoted market price on June 29,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49,579</w:t>
            </w:r>
          </w:p>
        </w:tc>
        <w:tc>
          <w:tcPr>
            <w:tcW w:w="3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55,202</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5,941</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6,599</w:t>
            </w:r>
          </w:p>
        </w:tc>
      </w:tr>
      <w:tr>
        <w:trPr>
          <w:trHeight w:val="237"/>
        </w:trPr>
        <w:tc>
          <w:tcPr>
            <w:tcW w:w="8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244,480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238,199</w:t>
            </w:r>
          </w:p>
        </w:tc>
      </w:tr>
      <w:tr>
        <w:trPr>
          <w:trHeight w:val="34"/>
        </w:trPr>
        <w:tc>
          <w:tcPr>
            <w:tcW w:w="8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21, 2017, the Company's wholly-owned subsidiary, LendingTree, LLC, entered into an amended and restated $250.0 million five-year senior secured revolving credit facility which matures on November 21, 2022 (the “Revolving Credit Facility”). The Revolving Credit Facility replaced the Company's previous $125.0 million revolving credit facility. Borrowings under the Revolving Credit Facility can be used to finance working capital needs, capital expenditures and general corporate purposes, including to finance permitted acquisitions. As of June 30, 2018, the Company does not have any borrowings outstanding under the Revolving Credit Facility.</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by an additional $100.0 million, or a greater amount provided that a total consolidated senior secured debt to EBITDA ratio does not exceed 2.50 to 1.00.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June 30, 2018.</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debt issuance costs of $1.4 million related to the Revolving Credit Facility are being amortized to interest expense over the life of the Revolving Credit Facility of five years, and are included in prepaid and other current assets and other non-current assets in the Company's consolidated balance sheet.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2018, the Company had a litigation settlement accrual of $8.0 million in discontinued operations. As of December 31, 2017, the Company had litigation settlement accruals of $0.3 million and $4.0 million in continuing operations and discontinued operations, respectively. The litigation settlement accrual relates to litigation matters that were either settled or a firm offer for settlement was extended, thereby establishing an accrual amount that is both probable and reasonably estimable.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July 9, 2015, HLC filed its answer to RFC’s complaint, denying the material allegations of the complaint and asserting numerous defenses thereto. The parties filed their respective motions for summary judgment in April 2018; oral arguments with respect to the motions for summary judgment were heard in June 2018. Trial is currently expected to begin in October 2018. Plaintiff is seeking damages of $61.0 million in this action; HLC intends to vigorously defend this action. An estimated liability of $7.0 million for this matter is included in the accompanying consolidated balance sheet as of June 30,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Lehman Brothers Holdings Inc. v. 1st Advantage Mortgage, LLC et al., Case No. 08-13555 (SCC), Adversary Proceeding No. 16-01342 (SCC) (Bankr. S.D.N.Y.). </w:t>
      </w:r>
      <w:r>
        <w:rPr>
          <w:rFonts w:ascii="Arial" w:cs="Arial" w:eastAsia="Arial" w:hAnsi="Arial"/>
          <w:sz w:val="16"/>
          <w:szCs w:val="16"/>
          <w:color w:val="auto"/>
        </w:rPr>
        <w:t>In February 2016, Lehman Brothers Holdings, Inc. (“LBHI”) filed an Adversary Complaint against Home Loan Center and approximately 149</w:t>
      </w:r>
      <w:r>
        <w:rPr>
          <w:rFonts w:ascii="Arial" w:cs="Arial" w:eastAsia="Arial" w:hAnsi="Arial"/>
          <w:sz w:val="16"/>
          <w:szCs w:val="16"/>
          <w:i w:val="1"/>
          <w:iCs w:val="1"/>
          <w:color w:val="auto"/>
        </w:rPr>
        <w:t xml:space="preserve"> </w:t>
      </w:r>
      <w:r>
        <w:rPr>
          <w:rFonts w:ascii="Arial" w:cs="Arial" w:eastAsia="Arial" w:hAnsi="Arial"/>
          <w:sz w:val="16"/>
          <w:szCs w:val="16"/>
          <w:color w:val="auto"/>
        </w:rPr>
        <w:t>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w:t>
      </w:r>
    </w:p>
    <w:p>
      <w:pPr>
        <w:spacing w:after="0" w:line="2" w:lineRule="exact"/>
        <w:rPr>
          <w:sz w:val="20"/>
          <w:szCs w:val="20"/>
          <w:color w:val="auto"/>
        </w:rPr>
      </w:pPr>
    </w:p>
    <w:p>
      <w:pPr>
        <w:jc w:val="both"/>
        <w:ind w:firstLine="8"/>
        <w:spacing w:after="0" w:line="252" w:lineRule="auto"/>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indemnification from HLC and the other defendants for losses allegedly incurred by LBHI in respect of defective mortgage loans sold by defendants to LBHI or its affiliates; and (3) interest, attorneys' fees and costs incurred by LBHI in the litigation. On March 31, 2017, HLC filed an omnibus motion to dismiss with other defendants.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An estimated liability of $1.0 million for this matter is included in the accompanying consolidated balance sheet as of June 30,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Other than the 0.625% Convertible Senior Notes and the Warrants, the carrying amounts of the Company's financial instruments are equal to fair value at June 30, 2018.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 on the 0.625% Convertible Senior Notes and the Warrants.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Contingent consideration payments related to acquisitions are measured at fair value each reporting period using Level 3 unobservable inputs. The changes in the fair value of the Company's Level 3 liabilities during the three and six months ended June 30, 2018 and 2017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33,108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31,846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57,349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23,100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(908)</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18,139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5,800</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5,800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(23,500)</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(47,000)</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15,241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46,227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15,241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46,227</w:t>
            </w:r>
          </w:p>
        </w:tc>
      </w:tr>
      <w:tr>
        <w:trPr>
          <w:trHeight w:val="27"/>
        </w:trPr>
        <w:tc>
          <w:tcPr>
            <w:tcW w:w="6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contingent consideration liability at June 30, 2018 is the estimated fair value of the earnout payments of the DepositAccounts, SnapCap and Ovation acquisitions. The Company will make payments ranging from $1.0 million to $6.0 million based on the achievement of defined milestone and performance targets for DepositAccounts, payments ranging from zero to $9.0 million based on the achievement of certain defined earnings targets for SnapCap, and payments ranging from zero to $8.75 million based on the achievement of certain defined operating metrics for Ovation.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6—Business Acquisition for additional information on the contingent consideration for each of these respective acquisitions.</w:t>
      </w:r>
    </w:p>
    <w:p>
      <w:pPr>
        <w:spacing w:after="0" w:line="11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spacing w:after="0"/>
              <w:rPr>
                <w:sz w:val="14"/>
                <w:szCs w:val="14"/>
                <w:color w:val="auto"/>
              </w:rPr>
            </w:pPr>
          </w:p>
        </w:tc>
      </w:t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66,948</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140,410</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134,453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118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w w:val="98"/>
              </w:rPr>
              <w:t>117,153</w:t>
            </w:r>
          </w:p>
        </w:tc>
        <w:tc>
          <w:tcPr>
            <w:tcW w:w="8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81,258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224,726</w:t>
            </w:r>
          </w:p>
        </w:tc>
        <w:tc>
          <w:tcPr>
            <w:tcW w:w="7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150,835</w:t>
            </w:r>
          </w:p>
        </w:tc>
      </w:tr>
      <w:tr>
        <w:trPr>
          <w:trHeight w:val="27"/>
        </w:trPr>
        <w:tc>
          <w:tcPr>
            <w:tcW w:w="3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w w:val="98"/>
              </w:rPr>
              <w:t>184,101</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152,773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365,136</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285,288</w:t>
            </w:r>
          </w:p>
        </w:tc>
      </w:tr>
      <w:tr>
        <w:trPr>
          <w:trHeight w:val="459"/>
        </w:trPr>
        <w:tc>
          <w:tcPr>
            <w:tcW w:w="3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28</w:t>
            </w: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(8,399)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612</w:t>
            </w:r>
          </w:p>
        </w:tc>
        <w:tc>
          <w:tcPr>
            <w:tcW w:w="4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1,764</w:t>
            </w:r>
          </w:p>
        </w:tc>
        <w:tc>
          <w:tcPr>
            <w:tcW w:w="4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873</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(2,302)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(6,635)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six months ended June 30, 2018 and 2017, loss from discontinued operations was primarily due to litigation settlements and contingencies and legal fees associated with ongoing legal proceedings.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aggregate loans sold, subsequent settlements and remaining unsettled loans.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Arial" w:cs="Arial" w:eastAsia="Arial" w:hAnsi="Arial"/>
                <w:sz w:val="16"/>
                <w:szCs w:val="16"/>
                <w:b w:val="1"/>
                <w:bCs w:val="1"/>
                <w:color w:val="auto"/>
                <w:w w:val="96"/>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8"/>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Arial" w:cs="Arial" w:eastAsia="Arial" w:hAnsi="Arial"/>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76"/>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Remaining unsettled balance as of June 30, 2018</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459"/>
        </w:trPr>
        <w:tc>
          <w:tcPr>
            <w:tcW w:w="67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29</w:t>
            </w:r>
          </w:p>
        </w:tc>
        <w:tc>
          <w:tcPr>
            <w:tcW w:w="1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$4.3 million to $7.8 million at June 30, 2018. The reserve balance recorded as of June 30, 2018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6,804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750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7,554</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sheets as of June 30, 2018 and December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16—SUBSEQUENT EVENT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23, 2018, the Company acquired Student Loan Hero, Inc. (“Student Loan Hero”) for $60.7 million cash consideration at the closing of the transaction. Student Loan Hero, a personal finance website dedicated to helping student loan borrowers manage their student debt, offers current and former students in-depth financial comparison tools, educational resources, and unbiased, personalized advice.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2017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loans and lines of credit, reverse mortgage loans, auto loans, credit cards, deposit accounts, personal loans, student loans, small business loans and other related offerings. In addition, we offer tools and resources, including free credit scores, that facilitate comparison shopping for these loans, deposits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loans and other product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in the notes to the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23, 2018, we acquired Student Loan Hero, Inc. (“Student Loan Hero”) for $60.7 million cash consideration at the closing of the transaction. Student Loan Hero, a personal finance website dedicated to helping student loan borrowers manage their student debt, offers current and former students in-depth financial comparison tools, educational resources, and unbiased, personalized advice.</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11, 2018, we acquired Ovation Credit Services, Inc. (“Ovation”), a leading provider of credit services with a strong customer service reputation for $12.2 million at the closing of the transaction and potential contingent consideration payments of up to $8.75 million through June 2020, subject to achieving specified targets.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will enable us to help more consumers achieve their original financial goals through the LendingTree platform.</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19, 2017, we acquired certain assets of Snap Capital LLC, which does business under the name SnapCap for $11.9 million in cash at closing and contingent consideration payments of up to $9.0 million through March 31, 2020. SnapCap is a tech-enabled online platform, which connects business owners with lenders offering small business loans, lines of credit and merchant cash advance products through a concierge-based sales approach. We believe that by combining SnapCap's high-touch, high-conversion sales approach with our brand and performance marketing expertise, we can derive substantial revenue synergies and accelerate growth in our small business offering.</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20, 2017, we acquired the membership interests of Camino Del Avion (Delaware), LLC, which does business under the name MagnifyMoney for $29.6 million cash consideration at the closing of the transaction. MagnifyMoney is a leading consumer-facing media property that offers editorial content, expert commentary, tools and resources to help consumers compare 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14, 2017, we acquired substantially all of the assets of Deposits Online, LLC, which does business under the name DepositAccounts.com (“DepositAccounts”) for $24.0 million in cash at closing and contingent consideration payments of up to $9.0 million through June 30, 2020.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represents our first offering to address the asset side of the consumer balance sheet.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North Carolina Office Properties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we completed the acquisition of two office buildings in Charlotte, North Carolina, for $23.5 million in cash. The buildings were acquired with the intent to use such buildings as our principal executive offices in the future; any unused space in the buildings may continue to be occupied by tenants. We are re-evaluating our plans for these buildings.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our expansion in North Carolina, we received a grant from the state that provides up to $4.9 million in reimbursements over 12 years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student loan products occurs in the third quarter coinciding with collegiate enrollment in late summer. Other factors affecting our business include macro factors such as credit availability in the market, interest rates, the strength of the economy and employment.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30-year mortgage interest rates have increased steadily during 2018 to a monthly average of 4.57% in June 2018. On a quarterly basis, 30-year mortgage interest rates in the second quarter of 2018 averaged 4.54%, as compared to 3.99% in the second quarter of 2017 and 4.27% in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193040</wp:posOffset>
            </wp:positionV>
            <wp:extent cx="4639310" cy="2830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931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Typically, as mortgage interest rates rise, there are fewer consumers in the marketplace seeking refinancings and, accordingly, the mix of mortgage origination dollars moves towards purchase mortgages. According to Mortgage Bankers Association ("MBA") data, total purchase origination dollars increased to 74% of total mortgage origination dollars in the second quarter of 2018 from 63% in the first quarter of 2018, while total refinance origination dollars decreased to 26% of total mortgage origination dollars in the second quarter of 2018 from 37% in the first quarter of 2018. In the second quarter of 2018, the volume of total refinance origination dollars decreased 20% from the second quarter of 2017 and 8% from the first quarter of 2018.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Looking forward, MBA is projecting 30-year mortgage interest rates to increase through the end of the year. According to MBA projections, the mix of mortgage origination dollars will move toward purchase mortgages during 2018 with the refinance share representing approximately 29% for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 to the National Association of Realtors ("NAR"), despite strong demand in the real estate market, limited inventory of new and existing homes is contributing to declining sales levels. The NAR expects a slight decrease of 0.4% in existing home sales in 2018 from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2018 and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Three Months Ended 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3"/>
          </w:tcPr>
          <w:p>
            <w:pPr>
              <w:jc w:val="center"/>
              <w:ind w:right="63"/>
              <w:spacing w:after="0"/>
              <w:rPr>
                <w:sz w:val="20"/>
                <w:szCs w:val="20"/>
                <w:color w:val="auto"/>
              </w:rPr>
            </w:pPr>
            <w:r>
              <w:rPr>
                <w:rFonts w:ascii="Arial" w:cs="Arial" w:eastAsia="Arial" w:hAnsi="Arial"/>
                <w:sz w:val="16"/>
                <w:szCs w:val="16"/>
                <w:b w:val="1"/>
                <w:bCs w:val="1"/>
                <w:color w:val="auto"/>
                <w:w w:val="91"/>
              </w:rPr>
              <w:t>Six Months Ended June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040" w:type="dxa"/>
            <w:vAlign w:val="bottom"/>
          </w:tcPr>
          <w:p>
            <w:pPr>
              <w:jc w:val="right"/>
              <w:ind w:right="623"/>
              <w:spacing w:after="0" w:line="147"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06"/>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00" w:type="dxa"/>
            <w:vAlign w:val="bottom"/>
          </w:tcPr>
          <w:p>
            <w:pPr>
              <w:jc w:val="right"/>
              <w:ind w:right="563"/>
              <w:spacing w:after="0" w:line="147"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2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gridSpan w:val="4"/>
          </w:tcPr>
          <w:p>
            <w:pPr>
              <w:ind w:left="400"/>
              <w:spacing w:after="0"/>
              <w:rPr>
                <w:sz w:val="20"/>
                <w:szCs w:val="20"/>
                <w:color w:val="auto"/>
              </w:rPr>
            </w:pPr>
            <w:r>
              <w:rPr>
                <w:rFonts w:ascii="Arial" w:cs="Arial" w:eastAsia="Arial" w:hAnsi="Arial"/>
                <w:sz w:val="13"/>
                <w:szCs w:val="13"/>
                <w:b w:val="1"/>
                <w:bCs w:val="1"/>
                <w:i w:val="1"/>
                <w:iCs w:val="1"/>
                <w:color w:val="auto"/>
              </w:rPr>
              <w:t>(Dollars in thousands)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66,948</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(4,567)</w:t>
            </w:r>
          </w:p>
        </w:tc>
        <w:tc>
          <w:tcPr>
            <w:tcW w:w="1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  $</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140,410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134,453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5,957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117,153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81,258</w:t>
            </w:r>
          </w:p>
        </w:tc>
        <w:tc>
          <w:tcPr>
            <w:tcW w:w="240" w:type="dxa"/>
            <w:vAlign w:val="bottom"/>
          </w:tcPr>
          <w:p>
            <w:pPr>
              <w:spacing w:after="0"/>
              <w:rPr>
                <w:sz w:val="20"/>
                <w:szCs w:val="20"/>
                <w:color w:val="auto"/>
              </w:rPr>
            </w:pPr>
          </w:p>
        </w:tc>
        <w:tc>
          <w:tcPr>
            <w:tcW w:w="1040" w:type="dxa"/>
            <w:vAlign w:val="bottom"/>
          </w:tcPr>
          <w:p>
            <w:pPr>
              <w:jc w:val="right"/>
              <w:ind w:right="263"/>
              <w:spacing w:after="0"/>
              <w:rPr>
                <w:sz w:val="20"/>
                <w:szCs w:val="20"/>
                <w:color w:val="auto"/>
              </w:rPr>
            </w:pPr>
            <w:r>
              <w:rPr>
                <w:rFonts w:ascii="Arial" w:cs="Arial" w:eastAsia="Arial" w:hAnsi="Arial"/>
                <w:sz w:val="16"/>
                <w:szCs w:val="16"/>
                <w:color w:val="auto"/>
              </w:rPr>
              <w:t>35,895</w:t>
            </w:r>
          </w:p>
        </w:tc>
        <w:tc>
          <w:tcPr>
            <w:tcW w:w="90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6"/>
                <w:szCs w:val="16"/>
                <w:color w:val="auto"/>
              </w:rPr>
              <w:t>224,726</w:t>
            </w:r>
          </w:p>
        </w:tc>
        <w:tc>
          <w:tcPr>
            <w:tcW w:w="16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6"/>
                <w:szCs w:val="16"/>
                <w:color w:val="auto"/>
              </w:rPr>
              <w:t>150,835</w:t>
            </w:r>
          </w:p>
        </w:tc>
        <w:tc>
          <w:tcPr>
            <w:tcW w:w="220" w:type="dxa"/>
            <w:vAlign w:val="bottom"/>
          </w:tcPr>
          <w:p>
            <w:pPr>
              <w:spacing w:after="0"/>
              <w:rPr>
                <w:sz w:val="20"/>
                <w:szCs w:val="20"/>
                <w:color w:val="auto"/>
              </w:rPr>
            </w:pPr>
          </w:p>
        </w:tc>
        <w:tc>
          <w:tcPr>
            <w:tcW w:w="1000" w:type="dxa"/>
            <w:vAlign w:val="bottom"/>
          </w:tcPr>
          <w:p>
            <w:pPr>
              <w:jc w:val="right"/>
              <w:ind w:right="203"/>
              <w:spacing w:after="0"/>
              <w:rPr>
                <w:sz w:val="20"/>
                <w:szCs w:val="20"/>
                <w:color w:val="auto"/>
              </w:rPr>
            </w:pPr>
            <w:r>
              <w:rPr>
                <w:rFonts w:ascii="Arial" w:cs="Arial" w:eastAsia="Arial" w:hAnsi="Arial"/>
                <w:sz w:val="16"/>
                <w:szCs w:val="16"/>
                <w:color w:val="auto"/>
              </w:rPr>
              <w:t>73,891</w:t>
            </w:r>
          </w:p>
        </w:tc>
        <w:tc>
          <w:tcPr>
            <w:tcW w:w="960" w:type="dxa"/>
            <w:vAlign w:val="bottom"/>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184,101</w:t>
            </w: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152,773</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31,328</w:t>
            </w:r>
          </w:p>
        </w:tc>
        <w:tc>
          <w:tcPr>
            <w:tcW w:w="126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21 %</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365,136</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285,288</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79,848</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28 %</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xml:space="preserve">Cost of revenue </w:t>
            </w:r>
            <w:r>
              <w:rPr>
                <w:rFonts w:ascii="Arial" w:cs="Arial" w:eastAsia="Arial" w:hAnsi="Arial"/>
                <w:sz w:val="16"/>
                <w:szCs w:val="16"/>
                <w:i w:val="1"/>
                <w:iCs w:val="1"/>
                <w:color w:val="auto"/>
                <w:w w:val="93"/>
              </w:rPr>
              <w:t>(exclusive of depreciation</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w w:val="93"/>
              </w:rPr>
              <w:t>and amortization shown separately below)</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6,043</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1,879</w:t>
            </w: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45 %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11,739</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7,755</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3,984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123,946</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109,141</w:t>
            </w:r>
          </w:p>
        </w:tc>
        <w:tc>
          <w:tcPr>
            <w:tcW w:w="2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14,805</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14 %</w:t>
            </w:r>
          </w:p>
        </w:tc>
        <w:tc>
          <w:tcPr>
            <w:tcW w:w="760" w:type="dxa"/>
            <w:vAlign w:val="bottom"/>
          </w:tcPr>
          <w:p>
            <w:pPr>
              <w:jc w:val="right"/>
              <w:spacing w:after="0"/>
              <w:rPr>
                <w:sz w:val="20"/>
                <w:szCs w:val="20"/>
                <w:color w:val="auto"/>
              </w:rPr>
            </w:pPr>
            <w:r>
              <w:rPr>
                <w:rFonts w:ascii="Arial" w:cs="Arial" w:eastAsia="Arial" w:hAnsi="Arial"/>
                <w:sz w:val="16"/>
                <w:szCs w:val="16"/>
                <w:color w:val="auto"/>
              </w:rPr>
              <w:t>249,990</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202,392</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47,598</w:t>
            </w:r>
          </w:p>
        </w:tc>
        <w:tc>
          <w:tcPr>
            <w:tcW w:w="90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24,759</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12,094</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12,665</w:t>
            </w: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105 %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47,573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23,932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5,967</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4,064</w:t>
            </w:r>
          </w:p>
        </w:tc>
        <w:tc>
          <w:tcPr>
            <w:tcW w:w="2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1,903</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47 %</w:t>
            </w:r>
          </w:p>
        </w:tc>
        <w:tc>
          <w:tcPr>
            <w:tcW w:w="760" w:type="dxa"/>
            <w:vAlign w:val="bottom"/>
          </w:tcPr>
          <w:p>
            <w:pPr>
              <w:jc w:val="right"/>
              <w:spacing w:after="0"/>
              <w:rPr>
                <w:sz w:val="20"/>
                <w:szCs w:val="20"/>
                <w:color w:val="auto"/>
              </w:rPr>
            </w:pPr>
            <w:r>
              <w:rPr>
                <w:rFonts w:ascii="Arial" w:cs="Arial" w:eastAsia="Arial" w:hAnsi="Arial"/>
                <w:sz w:val="16"/>
                <w:szCs w:val="16"/>
                <w:color w:val="auto"/>
              </w:rPr>
              <w:t>12,227</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7,687</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4,540</w:t>
            </w:r>
          </w:p>
        </w:tc>
        <w:tc>
          <w:tcPr>
            <w:tcW w:w="90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(175)</w:t>
            </w:r>
          </w:p>
        </w:tc>
        <w:tc>
          <w:tcPr>
            <w:tcW w:w="12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3,964</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2,608</w:t>
            </w:r>
          </w:p>
        </w:tc>
        <w:tc>
          <w:tcPr>
            <w:tcW w:w="2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1,356</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52 %</w:t>
            </w:r>
          </w:p>
        </w:tc>
        <w:tc>
          <w:tcPr>
            <w:tcW w:w="760" w:type="dxa"/>
            <w:vAlign w:val="bottom"/>
          </w:tcPr>
          <w:p>
            <w:pPr>
              <w:jc w:val="right"/>
              <w:spacing w:after="0"/>
              <w:rPr>
                <w:sz w:val="20"/>
                <w:szCs w:val="20"/>
                <w:color w:val="auto"/>
              </w:rPr>
            </w:pPr>
            <w:r>
              <w:rPr>
                <w:rFonts w:ascii="Arial" w:cs="Arial" w:eastAsia="Arial" w:hAnsi="Arial"/>
                <w:sz w:val="16"/>
                <w:szCs w:val="16"/>
                <w:color w:val="auto"/>
              </w:rPr>
              <w:t>7,927</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5,217</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2,710</w:t>
            </w:r>
          </w:p>
        </w:tc>
        <w:tc>
          <w:tcPr>
            <w:tcW w:w="90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consideration</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9,393</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(9,560)</w:t>
            </w:r>
          </w:p>
        </w:tc>
        <w:tc>
          <w:tcPr>
            <w:tcW w:w="12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(102)%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18,139</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(19,047)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28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(244)</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(99)%</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260" w:type="dxa"/>
            <w:vAlign w:val="bottom"/>
          </w:tcPr>
          <w:p>
            <w:pPr>
              <w:spacing w:after="0"/>
              <w:rPr>
                <w:sz w:val="20"/>
                <w:szCs w:val="20"/>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(401)</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Litigation settlements and contingencies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(455)</w:t>
            </w:r>
          </w:p>
        </w:tc>
        <w:tc>
          <w:tcPr>
            <w:tcW w:w="12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(160)%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(881)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165,978</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143,804</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22,174</w:t>
            </w:r>
          </w:p>
        </w:tc>
        <w:tc>
          <w:tcPr>
            <w:tcW w:w="12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15 %</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331,663</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269,435</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62,228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23 %</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18,123</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8,969</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9,154</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102 %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33,473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15,853</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17,620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111 %</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1,845</w:t>
            </w: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171 %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(5,912)</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4,668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375 %</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Other (expense) income</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84</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646 %</w:t>
            </w: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50</w:t>
            </w:r>
          </w:p>
        </w:tc>
        <w:tc>
          <w:tcPr>
            <w:tcW w:w="900" w:type="dxa"/>
            <w:vAlign w:val="bottom"/>
          </w:tcPr>
          <w:p>
            <w:pPr>
              <w:jc w:val="right"/>
              <w:spacing w:after="0"/>
              <w:rPr>
                <w:sz w:val="20"/>
                <w:szCs w:val="20"/>
                <w:color w:val="auto"/>
              </w:rPr>
            </w:pPr>
            <w:r>
              <w:rPr>
                <w:rFonts w:ascii="Arial" w:cs="Arial" w:eastAsia="Arial" w:hAnsi="Arial"/>
                <w:sz w:val="16"/>
                <w:szCs w:val="16"/>
                <w:color w:val="auto"/>
              </w:rPr>
              <w:t>385 %</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15,128</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7,903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7,225</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91 %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27,524</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14,622</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12,902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88 %</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29,721</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29,617</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28,478 %</w:t>
            </w:r>
          </w:p>
        </w:tc>
        <w:tc>
          <w:tcPr>
            <w:tcW w:w="760" w:type="dxa"/>
            <w:vAlign w:val="bottom"/>
          </w:tcPr>
          <w:p>
            <w:pPr>
              <w:jc w:val="right"/>
              <w:spacing w:after="0"/>
              <w:rPr>
                <w:sz w:val="20"/>
                <w:szCs w:val="20"/>
                <w:color w:val="auto"/>
              </w:rPr>
            </w:pPr>
            <w:r>
              <w:rPr>
                <w:rFonts w:ascii="Arial" w:cs="Arial" w:eastAsia="Arial" w:hAnsi="Arial"/>
                <w:sz w:val="16"/>
                <w:szCs w:val="16"/>
                <w:color w:val="auto"/>
              </w:rPr>
              <w:t>53,182</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1,183</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51,999</w:t>
            </w:r>
          </w:p>
        </w:tc>
        <w:tc>
          <w:tcPr>
            <w:tcW w:w="900" w:type="dxa"/>
            <w:vAlign w:val="bottom"/>
          </w:tcPr>
          <w:p>
            <w:pPr>
              <w:jc w:val="right"/>
              <w:spacing w:after="0"/>
              <w:rPr>
                <w:sz w:val="20"/>
                <w:szCs w:val="20"/>
                <w:color w:val="auto"/>
              </w:rPr>
            </w:pPr>
            <w:r>
              <w:rPr>
                <w:rFonts w:ascii="Arial" w:cs="Arial" w:eastAsia="Arial" w:hAnsi="Arial"/>
                <w:sz w:val="16"/>
                <w:szCs w:val="16"/>
                <w:color w:val="auto"/>
              </w:rPr>
              <w:t>4,396 %</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7"/>
              </w:rPr>
              <w:t>Net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44,849</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8,007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36,842</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460 %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80,706</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15,805</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64,901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411 %</w:t>
            </w:r>
          </w:p>
        </w:tc>
      </w:tr>
      <w:tr>
        <w:trPr>
          <w:trHeight w:val="216"/>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w w:val="91"/>
              </w:rPr>
              <w:t>Loss from discontinued operations, net of</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tax</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(689)</w:t>
            </w:r>
          </w:p>
        </w:tc>
        <w:tc>
          <w:tcPr>
            <w:tcW w:w="28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1,613</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234 %</w:t>
            </w:r>
          </w:p>
        </w:tc>
        <w:tc>
          <w:tcPr>
            <w:tcW w:w="760" w:type="dxa"/>
            <w:vAlign w:val="bottom"/>
          </w:tcPr>
          <w:p>
            <w:pPr>
              <w:jc w:val="right"/>
              <w:spacing w:after="0"/>
              <w:rPr>
                <w:sz w:val="20"/>
                <w:szCs w:val="20"/>
                <w:color w:val="auto"/>
              </w:rPr>
            </w:pPr>
            <w:r>
              <w:rPr>
                <w:rFonts w:ascii="Arial" w:cs="Arial" w:eastAsia="Arial" w:hAnsi="Arial"/>
                <w:sz w:val="16"/>
                <w:szCs w:val="16"/>
                <w:color w:val="auto"/>
              </w:rPr>
              <w:t>(6,635)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(1,621)</w:t>
            </w:r>
          </w:p>
        </w:tc>
        <w:tc>
          <w:tcPr>
            <w:tcW w:w="26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5,014</w:t>
            </w:r>
          </w:p>
        </w:tc>
        <w:tc>
          <w:tcPr>
            <w:tcW w:w="900" w:type="dxa"/>
            <w:vAlign w:val="bottom"/>
          </w:tcPr>
          <w:p>
            <w:pPr>
              <w:jc w:val="right"/>
              <w:spacing w:after="0"/>
              <w:rPr>
                <w:sz w:val="20"/>
                <w:szCs w:val="20"/>
                <w:color w:val="auto"/>
              </w:rPr>
            </w:pPr>
            <w:r>
              <w:rPr>
                <w:rFonts w:ascii="Arial" w:cs="Arial" w:eastAsia="Arial" w:hAnsi="Arial"/>
                <w:sz w:val="16"/>
                <w:szCs w:val="16"/>
                <w:color w:val="auto"/>
              </w:rPr>
              <w:t>309 %</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Net income and comprehensive income</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42,547</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7,318</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35,229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481 %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74,071</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14,184</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59,887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422 %</w:t>
            </w:r>
          </w:p>
        </w:tc>
      </w:tr>
      <w:tr>
        <w:trPr>
          <w:trHeight w:val="27"/>
        </w:trPr>
        <w:tc>
          <w:tcPr>
            <w:tcW w:w="2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increased in the second quarter of 2018 compared to the second quarter of 2017 due to an increase in our non-mortgage products of $35.9 million, partially offset by a decrease in our mortgage products of $4.6 million. Revenue increased in the first six months of 2018 compared to the first six months of 2017 due to increases in our non-mortgage products of $73.9 million and in our mortgage products of $6.0 million.</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non-mortgage products include the following non-mortgage lending products: personal loans, credit cards, home equity loans and lines of credit, reverse mortgage loans, auto loans, small business loans and student loans. Our non-mortgage products also include deposit accounts, home improvement referrals and other credit products such as credit repair and debt settlement. Many of our non-mortgage products are not individually significant to revenue. The increase in revenue from our non-mortgage products in the second quarter and first six months of 2018 from the second quarter and first six months of 2017 is primarily due to increases in our personal loans, home equity and credit cards products.</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personal loans product increased $15.7 million to $36.2 million in the second quarter of 2018 from $20.5 million in the second quarter of 2017, or 77%, and increased $24.7 million to $62.2 million in the first six months of 2018 from $37.5 million in the first six months of 2017, or 66%, due to increased revenue earned per consumer. Additionally, the number of consumers completing request forms increased as a result of increased lender demand and corresponding increases in selling and marketing efforts.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credit cards product increased $1.7 million to $38.7 million in the second quarter of 2018 from $37.0 million in the second quarter of 2017, or 5%, due to increases in click traffic sent to issuers. Revenue from our credit card product increased $14.1 million to $84.9 million in the first six months of 2018 from $70.8 million in the first six months of 2017, or 20%, due to increased revenue earned per consumer, as well as increases in click traffic sent to issuers.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periods presented, no other non-mortgage product represented more than 10% of revenue, however certain other non-mortgage products experienced notable increases. Revenue from our home equity product increased by $5.6 million in the second quarter of 2018 compared to the second quarter of 2017 and increased by $12.6 million in the first six months of 2018 compared to the first six months of 2017 due to increases in the number of consumers completing request forms as a result of increases in lender coverage and lender demand, and corresponding increases in selling and marketing efforts, partially offset by decreased revenue earned per consumer. We believe the market for our non-mortgage products remains under-penetrated and we believe long-term growth prospects are strong for non-mortgage products.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Revenue from our mortgage products decreased in the second quarter of 2018 compared to the second quarter of 2017 due to a decrease in revenue from our refinance product of $7.3 million, partially offset by an increase in revenue from our purchase product of $2.7 million. Revenue from our refinance product decreased in the second quarter of 2018 compared to the second quarter of 2017 primarily due to a decrease in the number of consumers completing request forms as a result of fewer consumers seeking refinancing in a period of rising interest rates. Revenue from our purchase product increased in the second quarter of 2018 compared to the second quarter of 2017 due to an increase in revenue earned per consumer. Revenue from our mortgage products increased in the first six months of 2018 compared to the first six months of 2017 primarily due to an increase in revenue from our purchase product of $5.6 million. The increase in revenue from our purchase product in the first six months of 2018 compared to the first six months of 2017 is primarily due to an increase in revenue earned per consumer.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revenue increased in the second quarter of 2018 from the second quarter of 2017, primarily due to an increase of $1.1 million in compensation and benefits as a result of increases in headcount and an increase of $0.6 million in credit scoring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consistent at 3% in both the second quarter of 2018 and the second quarter of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first six months of 2018 from the first six months of 2017, primarily due to an increase of $2.0 million in compensation and benefits as a result of increases in headcount, an increase of $0.9 million in credit scoring fees and an increase of $0.8 million in website network hosting and server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consistent at 3% in both the first six months of 2018 and the first six months of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3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increase in selling and marketing expense in the second quarter and first six months of 2018 compared to the second quarter and first six months of 2017 were primarily due to increases in advertising and promotional expense of $11.9 million and $40.9 million, respectively, as discussed below.</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7"/>
              </w:rPr>
              <w:t>Three Months Ended June 30,</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9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140" w:type="dxa"/>
            <w:vAlign w:val="bottom"/>
          </w:tcPr>
          <w:p>
            <w:pPr>
              <w:jc w:val="right"/>
              <w:ind w:right="676"/>
              <w:spacing w:after="0" w:line="153"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5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120" w:type="dxa"/>
            <w:vAlign w:val="bottom"/>
          </w:tcPr>
          <w:p>
            <w:pPr>
              <w:jc w:val="right"/>
              <w:ind w:right="656"/>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7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80" w:type="dxa"/>
            <w:vAlign w:val="bottom"/>
            <w:gridSpan w:val="4"/>
          </w:tcPr>
          <w:p>
            <w:pPr>
              <w:jc w:val="right"/>
              <w:ind w:right="434"/>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113,289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92,791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20,498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224,709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173,451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51,258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14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10,172</w:t>
            </w:r>
          </w:p>
        </w:tc>
        <w:tc>
          <w:tcPr>
            <w:tcW w:w="320" w:type="dxa"/>
            <w:vAlign w:val="bottom"/>
          </w:tcPr>
          <w:p>
            <w:pPr>
              <w:spacing w:after="0"/>
              <w:rPr>
                <w:sz w:val="21"/>
                <w:szCs w:val="21"/>
                <w:color w:val="auto"/>
              </w:rPr>
            </w:pPr>
          </w:p>
        </w:tc>
        <w:tc>
          <w:tcPr>
            <w:tcW w:w="1140" w:type="dxa"/>
            <w:vAlign w:val="bottom"/>
          </w:tcPr>
          <w:p>
            <w:pPr>
              <w:jc w:val="right"/>
              <w:ind w:right="196"/>
              <w:spacing w:after="0"/>
              <w:rPr>
                <w:sz w:val="20"/>
                <w:szCs w:val="20"/>
                <w:color w:val="auto"/>
              </w:rPr>
            </w:pPr>
            <w:r>
              <w:rPr>
                <w:rFonts w:ascii="Arial" w:cs="Arial" w:eastAsia="Arial" w:hAnsi="Arial"/>
                <w:sz w:val="18"/>
                <w:szCs w:val="18"/>
                <w:color w:val="auto"/>
              </w:rPr>
              <w:t>(9,977)</w:t>
            </w: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3,435</w:t>
            </w:r>
          </w:p>
        </w:tc>
        <w:tc>
          <w:tcPr>
            <w:tcW w:w="3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17,404</w:t>
            </w:r>
          </w:p>
        </w:tc>
        <w:tc>
          <w:tcPr>
            <w:tcW w:w="320" w:type="dxa"/>
            <w:vAlign w:val="bottom"/>
          </w:tcPr>
          <w:p>
            <w:pPr>
              <w:spacing w:after="0"/>
              <w:rPr>
                <w:sz w:val="21"/>
                <w:szCs w:val="21"/>
                <w:color w:val="auto"/>
              </w:rPr>
            </w:pP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(13,969)</w:t>
            </w: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2,891</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1,497</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1,394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6,259</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2,607</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3,652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18"/>
        </w:trPr>
        <w:tc>
          <w:tcPr>
            <w:tcW w:w="1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Total advertising</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expense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116,375</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b w:val="1"/>
                <w:bCs w:val="1"/>
                <w:color w:val="auto"/>
              </w:rPr>
              <w:t>104,460</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6"/>
              <w:spacing w:after="0"/>
              <w:rPr>
                <w:sz w:val="20"/>
                <w:szCs w:val="20"/>
                <w:color w:val="auto"/>
              </w:rPr>
            </w:pPr>
            <w:r>
              <w:rPr>
                <w:rFonts w:ascii="Arial" w:cs="Arial" w:eastAsia="Arial" w:hAnsi="Arial"/>
                <w:sz w:val="18"/>
                <w:szCs w:val="18"/>
                <w:b w:val="1"/>
                <w:bCs w:val="1"/>
                <w:color w:val="auto"/>
              </w:rPr>
              <w:t>11,915</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234,403</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b w:val="1"/>
                <w:bCs w:val="1"/>
                <w:color w:val="auto"/>
              </w:rPr>
              <w:t>193,462</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56"/>
              <w:spacing w:after="0"/>
              <w:rPr>
                <w:sz w:val="20"/>
                <w:szCs w:val="20"/>
                <w:color w:val="auto"/>
              </w:rPr>
            </w:pPr>
            <w:r>
              <w:rPr>
                <w:rFonts w:ascii="Arial" w:cs="Arial" w:eastAsia="Arial" w:hAnsi="Arial"/>
                <w:sz w:val="18"/>
                <w:szCs w:val="18"/>
                <w:b w:val="1"/>
                <w:bCs w:val="1"/>
                <w:color w:val="auto"/>
              </w:rPr>
              <w:t>40,941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34"/>
        </w:trPr>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driven by lender demand for our products, which is matched to corresponding consumer loan requests. We adjust our selling and marketing expenditures dynamically in relation to anticipated revenue opportunities in order to ensure sufficient consumer inquiries to profitably meet lender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increased our advertising expenditures in the second quarter and first six months of 2018 compared to the second quarter and first six months of 2017 in order to generate additional consumer inquiries to meet the increased demand of lenders on our marketplace.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General and administrative expense increased in the second quarter of 2018 from the second quarter of 2017, and in the first six months of 2018 from the first six months of 2017, primarily due to increases in compensation and benefits of $8.9 million and $18.8 million, respectively, as a result of increases in headcount and long-term equity awards granted to our Chairman and Chief Executive Officer in the third quarter of 2017 and in the first quarter of 2018, which awards have both time and significant performance-based vesting conditions. We also granted long-term equity awards to certain members of our leadership team in the fourth quarter of 2017 and in the first quarter of 2018. General and administrative expense is expected to increase in future periods due to the non-cash compensation expense related to these grants. For additional information regarding the awards granted to our Chairman and Chief Executive Officer, see Note 9—Stock-Based Compensation in the notes to the consolidated financial statements included elsewhere in this report. Non-cash compensation expense is excluded from Adjusted Earnings Before Interest, Taxes, Depreciation and Amortization ("Adjusted EBITDA"), as discussed below. In addition, we incurred a charge of $1.6 million in the second quarter and first six months of 2018 due to the write-off of certain fixed assets.</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increased to 13% in the second quarter and first six months of 2018 compared to 8% in the second quarter and first six months of 2017 due to the items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development expense increased in the second quarter and first six months of 2018 compared to the second quarter and first six months of 2017, as we continued to invest in internal development of new and enhanced features, functionality and business opportunities that we believe will enable us to better and more fully serve consumers and lenders.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intangibles increased in the second quarter and first six months of 2018 compared to the second quarter and first six months of 2017 primarily due to intangible assets associated with our business acquisitions in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During the second quarter of 2018, we recorded a net $0.2 million gain due to adjustments in the estimated fair value of the earnout payments related to the CompareCards, DepositAccounts and SnapCap acquisitions. We recorded a $0.8 million gain due to the decreased probability of achievement of certain defined operating results for SnapCap. This was partially offset by contingent consideration expense of $0.2 million for the CompareCards acquisition due to the passage of time increasing the estimated fair value of the earnout payment for CompareCards, and contingent consideration expense of $0.4 million for the DepositAccounts acquisition due to an increased probability of achievement of certain defined earnout targets. During the first six months of 2018, we recorded a net $0.9 million gain due to adjustments in the estimated fair value of the earnout payments related to the CompareCards, DepositAccounts and SnapCap acquisitions. We recorded a $2.9 million gain due to the decreased probability of achievement of certain defined operating results for SnapCap. This was partially offset by contingent consideration expense of $0.7 million for the CompareCards acquisition due to the passage of time increasing the estimated fair value of the earnout payments for CompareCards, and contingent consideration expense of $1.3 million for the DepositAccounts acquisition due to an increased probability of achievement of certain defined earnout targets.</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and first six months of 2017, we recorded $9.4 million and $18.1 million, respectively, of contingent consideration expense due to an adjustment in the estimated fair value of the earnout payments related to the CompareCards acquisition primarily due to increased performance of CompareCards.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2018, the effective tax rate varied from the federal statutory rate of 21% primarily due to a tax benefit of $33.7 million and $60.9 million, respectively,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and first six months of 2017, the effective tax rate varied from the federal statutory rate of 35% primarily due to a tax benefit of $3.8 million and $7.6 million, respectively, recognized for excess tax benefits due to employee exercises of stock options and vesting of restricted stock in accordance with ASU 2016-09.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second quarter of 2018.</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 be considered a substitute for or superior to GAAP results. We provide and encourage investors to examine the reconciling adjustments between the GAAP and non-GAAP measures discussed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0" w:lineRule="auto"/>
        <w:tabs>
          <w:tab w:leader="none" w:pos="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20" w:type="dxa"/>
            <w:vAlign w:val="bottom"/>
            <w:gridSpan w:val="3"/>
          </w:tcPr>
          <w:p>
            <w:pPr>
              <w:jc w:val="right"/>
              <w:ind w:right="59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33"/>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9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8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4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44,849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80,706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15,805</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3,964</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7,927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1,633</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3,304</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3,511</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Loss on impairments and disposal of assets</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1,797</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1,889</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309</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11,178</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22,287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5,130</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18,139</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625</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689</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2,924</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5,912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Rental depreciation and amortization of intangibles</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396</w:t>
            </w:r>
          </w:p>
        </w:tc>
        <w:tc>
          <w:tcPr>
            <w:tcW w:w="4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525</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(29,721)</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(53,182)</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16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37,109</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27,010</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68,829</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50,827</w:t>
            </w:r>
          </w:p>
        </w:tc>
      </w:tr>
      <w:tr>
        <w:trPr>
          <w:trHeight w:val="34"/>
        </w:trPr>
        <w:tc>
          <w:tcPr>
            <w:tcW w:w="4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59"/>
        </w:trPr>
        <w:tc>
          <w:tcPr>
            <w:tcW w:w="474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June 30, 2018, we had $293.3 million of cash and cash equivalents and an immaterial amount of restricted cash and cash equivalents, compared to $368.6 million of cash and cash equivalents and $4.1 million of restricted cash and cash equivalents as of December 31, 2017.</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June 2018, we acquired Ovation for $12.2 million in cash at closing and potential future contingent consideration payments of up to $8.75 million through June 30, 2020, subject to achieving specified targets.</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first six months of 2018, we purchased an aggregate of 156,731 shares of our common stock pursuant to a stock repurchase program for $46.0 million. Additionally, we paid $1.1 million in the first quarter of 2018 related to common stock repurchased in the fourth quarter of 2017.</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May 2017, we issued $300.0 million of our 0.625% Convertible Senior Notes for net proceeds of $290.7 million. We used approximately $18.1 million of the net proceeds to enter into Convertible Note Hedge and Warrant transactions.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September 2017, we acquired certain assets of SnapCap for $11.9 million in cash at closing and potential future contingent consideration payments of up to $9.0 million through March 31, 2020, subject to achieving specified targets.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2017, we acquired the membership interests of MagnifyMoney for $29.6 million cash consideration at the closing of the transaction.</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June 2017, we acquired substantially all of the assets of DepositAccounts for $24.0 million in cash at closing and potential future contingent consideration payments of up to $9.0 million through June 30, 2020, subject to achieving specified targets. We made contingent consideration payments of $1.0 million in the third quarter of 2017, $1.0 million in the first quarter of 2018, $1.0 million in the second quarter of 2018, and $1.0 million in July 2018.</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2016, we acquired CompareCards for $80.7 million in cash at closing and potential future contingent consideration payments of up to $22.5 million for each of 2017 and 2018, subject to achieving specified targets. We made the initial $22.5 million earnout payment in the first quarter of 2018 and paid the remaining $22.5 million earnout in the second quarter of 2018, of which $21.9 million is included within cash flows from operating activities on the consolidated statement of cash flows for the first six months of 2018.</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amended and restated revolving credit facility described below is an additional potential source of liquidity.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2018, we acquired Student Loan Hero for $60.7 million cash consideration at the closing of the transaction.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21, 2017, we entered into an amended and restated $250.0 million five-year senior secured revolving credit facility which matures on November 21, 2022 (the “Revolving Credit Facility”). Borrowings under the Revolving Credit Facility can be used to finance working capital needs, capital expenditures and general corporate purposes, including to finance permitted acquisitions. As of July 26, 2018, we do not have any borrowings under the Revolving Credit Facility.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46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46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left="57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15,264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48,224</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(18,441)</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(57,026)</w:t>
            </w:r>
          </w:p>
        </w:tc>
      </w:tr>
      <w:tr>
        <w:trPr>
          <w:trHeight w:val="27"/>
        </w:trPr>
        <w:tc>
          <w:tcPr>
            <w:tcW w:w="4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(71,890)</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274,612</w:t>
            </w:r>
          </w:p>
        </w:tc>
      </w:tr>
      <w:tr>
        <w:trPr>
          <w:trHeight w:val="453"/>
        </w:trPr>
        <w:tc>
          <w:tcPr>
            <w:tcW w:w="4640" w:type="dxa"/>
            <w:vAlign w:val="bottom"/>
            <w:tcBorders>
              <w:top w:val="single" w:sz="8" w:color="999999"/>
            </w:tcBorders>
          </w:tcPr>
          <w:p>
            <w:pPr>
              <w:spacing w:after="0"/>
              <w:rPr>
                <w:sz w:val="24"/>
                <w:szCs w:val="24"/>
                <w:color w:val="auto"/>
              </w:rPr>
            </w:pPr>
          </w:p>
        </w:tc>
        <w:tc>
          <w:tcPr>
            <w:tcW w:w="3680" w:type="dxa"/>
            <w:vAlign w:val="bottom"/>
            <w:tcBorders>
              <w:top w:val="single" w:sz="8" w:color="999999"/>
            </w:tcBorders>
          </w:tcPr>
          <w:p>
            <w:pPr>
              <w:jc w:val="right"/>
              <w:ind w:right="2430"/>
              <w:spacing w:after="0"/>
              <w:rPr>
                <w:sz w:val="20"/>
                <w:szCs w:val="20"/>
                <w:color w:val="auto"/>
              </w:rPr>
            </w:pPr>
            <w:r>
              <w:rPr>
                <w:rFonts w:ascii="Arial" w:cs="Arial" w:eastAsia="Arial" w:hAnsi="Arial"/>
                <w:sz w:val="18"/>
                <w:szCs w:val="18"/>
                <w:color w:val="auto"/>
              </w:rPr>
              <w:t>39</w:t>
            </w:r>
          </w:p>
        </w:tc>
        <w:tc>
          <w:tcPr>
            <w:tcW w:w="360" w:type="dxa"/>
            <w:vAlign w:val="bottom"/>
            <w:tcBorders>
              <w:top w:val="single" w:sz="8" w:color="999999"/>
            </w:tcBorders>
          </w:tcPr>
          <w:p>
            <w:pPr>
              <w:spacing w:after="0"/>
              <w:rPr>
                <w:sz w:val="24"/>
                <w:szCs w:val="24"/>
                <w:color w:val="auto"/>
              </w:rPr>
            </w:pPr>
          </w:p>
        </w:tc>
        <w:tc>
          <w:tcPr>
            <w:tcW w:w="1180" w:type="dxa"/>
            <w:vAlign w:val="bottom"/>
            <w:tcBorders>
              <w:top w:val="single" w:sz="8" w:color="999999"/>
            </w:tcBorders>
          </w:tcPr>
          <w:p>
            <w:pPr>
              <w:spacing w:after="0"/>
              <w:rPr>
                <w:sz w:val="24"/>
                <w:szCs w:val="24"/>
                <w:color w:val="auto"/>
              </w:rPr>
            </w:pPr>
          </w:p>
        </w:tc>
        <w:tc>
          <w:tcPr>
            <w:tcW w:w="540" w:type="dxa"/>
            <w:vAlign w:val="bottom"/>
            <w:tcBorders>
              <w:top w:val="single" w:sz="8" w:color="999999"/>
            </w:tcBorders>
          </w:tcPr>
          <w:p>
            <w:pPr>
              <w:spacing w:after="0"/>
              <w:rPr>
                <w:sz w:val="24"/>
                <w:szCs w:val="24"/>
                <w:color w:val="auto"/>
              </w:rPr>
            </w:pPr>
          </w:p>
        </w:tc>
        <w:tc>
          <w:tcPr>
            <w:tcW w:w="1000" w:type="dxa"/>
            <w:vAlign w:val="bottom"/>
            <w:tcBorders>
              <w:top w:val="single" w:sz="8" w:color="999999"/>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attributable to continuing operations decreased in the first six months of 2018 from the first six months of 2017 primarily due to the $21.9 million portion of the CompareCards earnout payment made in the second quarter of 2018 in excess of the contingent consideration liability recognized at the acquisition date. Further, the increase in revenue in the first six months of 2018 from the first six months of 2017 was offset by an increase in selling and marketing expense and a net decrease in cash from changes in working capital primarily driven by changes in accounts receivable and accounts payable, accrued expenses and other current liabilities.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attributable to continuing operations in the first six months of 2018 of $18.4 million consisted primarily of the acquisition of Ovation for $11.7 million, net of cash acquired, and capital expenditures of $6.7 million related to internally developed software.</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2017 of $57.0 million consisted primarily of the acquisition of MagnifyMoney for $29.4 million, net of cash acquired, the acquisition of DepositAccounts for $24.0 million and capital expenditures of $3.6 million related to internally developed software.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the first six months of 2018 of $71.9 million consisted primarily of $25.6 million of contingent consideration payments for CompareCards, DepositAccounts and SimpleTuition and $47.1 million for the repurchase of our stock.</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six months of 2017 of $274.6 million consisted primarily of $300.0 million of gross proceeds from the issuance of convertible senior notes and $43.4 million of proceeds from the sale of warrants in connection with the convertible senior notes, partially offset by $61.5 million for the payment of convertible note hedge transactions and $8.6 million for the payment of convertible senior note issuance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Other than our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July 26, 2018, there were no borrowings under the Revolving Credit Facility. Increases in the Federal Funds interest rates may also affect contingent consideration payable to DepositAccounts.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6—Business Acquisition—Changes in Contingent Consideration—DepositAccounts.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 See also the risk factor "Adverse conditions in the primary and secondary mortgage markets, as well as the general economy, could materially and adversely affect our business, financial condition and results of operations," in Part I, Item 1A (Risk Factors) in our 2017 Annual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2018,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2018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2017 Annual Report and updated that information in Note 12—Contingencies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2017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each of January 2010, May 2014, January 2016, February 2016 and February 2018, the board of directors authorized and we announced a stock repurchase program which allowed for the repurchase of up to $10.0 million, $10.0 million, $50.0 million, $40.0 million and $100.0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June 30, 2018, 126,315 shares of common stock were repurchased under the stock repurchase program. As of July 20, 2018, approximately $81.7 million remains authorized for share repurchase.</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2018, 21,288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4/1/18 - 4/30/18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68,492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292.37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52,756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101,747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5/1/18 - 5/31/18</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75,023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271.93</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73,559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81,745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6/1/18 - 6/30/18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256.84</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81,745</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147,603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281.00</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126,315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81,745</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April 2018, May 2018 and June 2018, 15,736 shares, 1,464 shares and 4,088 shares, respectively (totaling 21,288 shares), were purchased to satisfy federal and state withholding obligations of our employees upon the settlement of restricted stock units and restricted stock awards, all in accordance with our Fifth Amended and Restated 2008 Stock and Award Incentive Plan, as described above.</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125" w:right="1440"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Exhibit</w:t>
            </w:r>
          </w:p>
        </w:tc>
        <w:tc>
          <w:tcPr>
            <w:tcW w:w="210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w:t>
            </w:r>
          </w:p>
        </w:tc>
        <w:tc>
          <w:tcPr>
            <w:tcW w:w="6420" w:type="dxa"/>
            <w:vAlign w:val="bottom"/>
            <w:gridSpan w:val="8"/>
            <w:shd w:val="clear" w:color="auto" w:fill="CCEEFF"/>
          </w:tcPr>
          <w:p>
            <w:pPr>
              <w:spacing w:after="0" w:line="202" w:lineRule="exact"/>
              <w:rPr>
                <w:rFonts w:ascii="Arial" w:cs="Arial" w:eastAsia="Arial" w:hAnsi="Arial"/>
                <w:sz w:val="18"/>
                <w:szCs w:val="18"/>
                <w:color w:val="0000FF"/>
              </w:rPr>
            </w:pPr>
            <w:hyperlink r:id="rId20">
              <w:r>
                <w:rPr>
                  <w:rFonts w:ascii="Arial" w:cs="Arial" w:eastAsia="Arial" w:hAnsi="Arial"/>
                  <w:sz w:val="18"/>
                  <w:szCs w:val="18"/>
                  <w:color w:val="0000FF"/>
                </w:rPr>
                <w:t>Amended and Restated Certificate of Incorporation of LendingTree, Inc.</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0000FF"/>
              <w:bottom w:val="single" w:sz="8" w:color="CCEEFF"/>
            </w:tcBorders>
            <w:shd w:val="clear" w:color="auto" w:fill="CCEEFF"/>
          </w:tcPr>
          <w:p>
            <w:pPr>
              <w:spacing w:after="0"/>
              <w:rPr>
                <w:sz w:val="21"/>
                <w:szCs w:val="21"/>
                <w:color w:val="auto"/>
              </w:rPr>
            </w:pPr>
          </w:p>
        </w:tc>
        <w:tc>
          <w:tcPr>
            <w:tcW w:w="2260" w:type="dxa"/>
            <w:vAlign w:val="bottom"/>
            <w:tcBorders>
              <w:top w:val="single" w:sz="8" w:color="0000FF"/>
              <w:bottom w:val="single" w:sz="8" w:color="CCEEFF"/>
            </w:tcBorders>
            <w:shd w:val="clear" w:color="auto" w:fill="CCEEFF"/>
          </w:tcPr>
          <w:p>
            <w:pPr>
              <w:spacing w:after="0"/>
              <w:rPr>
                <w:sz w:val="21"/>
                <w:szCs w:val="21"/>
                <w:color w:val="auto"/>
              </w:rPr>
            </w:pPr>
          </w:p>
        </w:tc>
        <w:tc>
          <w:tcPr>
            <w:tcW w:w="56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w:t>
            </w:r>
          </w:p>
        </w:tc>
        <w:tc>
          <w:tcPr>
            <w:tcW w:w="6420" w:type="dxa"/>
            <w:vAlign w:val="bottom"/>
            <w:gridSpan w:val="8"/>
          </w:tcPr>
          <w:p>
            <w:pPr>
              <w:spacing w:after="0" w:line="202" w:lineRule="exact"/>
              <w:rPr>
                <w:rFonts w:ascii="Arial" w:cs="Arial" w:eastAsia="Arial" w:hAnsi="Arial"/>
                <w:sz w:val="18"/>
                <w:szCs w:val="18"/>
                <w:color w:val="0000FF"/>
              </w:rPr>
            </w:pPr>
            <w:hyperlink r:id="rId21">
              <w:r>
                <w:rPr>
                  <w:rFonts w:ascii="Arial" w:cs="Arial" w:eastAsia="Arial" w:hAnsi="Arial"/>
                  <w:sz w:val="18"/>
                  <w:szCs w:val="18"/>
                  <w:color w:val="0000FF"/>
                </w:rPr>
                <w:t>Fourth Amended and Restated By-laws of LendingTree, Inc.</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200" w:type="dxa"/>
            <w:vAlign w:val="bottom"/>
          </w:tcPr>
          <w:p>
            <w:pPr>
              <w:spacing w:after="0"/>
              <w:rPr>
                <w:sz w:val="20"/>
                <w:szCs w:val="20"/>
                <w:color w:val="auto"/>
              </w:rPr>
            </w:pPr>
          </w:p>
        </w:tc>
        <w:tc>
          <w:tcPr>
            <w:tcW w:w="2100" w:type="dxa"/>
            <w:vAlign w:val="bottom"/>
            <w:tcBorders>
              <w:top w:val="single" w:sz="8" w:color="0000FF"/>
            </w:tcBorders>
          </w:tcPr>
          <w:p>
            <w:pPr>
              <w:spacing w:after="0"/>
              <w:rPr>
                <w:sz w:val="20"/>
                <w:szCs w:val="20"/>
                <w:color w:val="auto"/>
              </w:rPr>
            </w:pPr>
          </w:p>
        </w:tc>
        <w:tc>
          <w:tcPr>
            <w:tcW w:w="226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November 15, 2017</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6"/>
              </w:rPr>
            </w:pPr>
            <w:hyperlink w:anchor="page46">
              <w:r>
                <w:rPr>
                  <w:rFonts w:ascii="Arial" w:cs="Arial" w:eastAsia="Arial" w:hAnsi="Arial"/>
                  <w:sz w:val="18"/>
                  <w:szCs w:val="18"/>
                  <w:color w:val="0000FF"/>
                  <w:w w:val="96"/>
                </w:rPr>
                <w:t>Certification of the Chief Executive Officer pursuant to Rule 13a-14(a) or Rule 15d-</w:t>
              </w:r>
            </w:hyperlink>
          </w:p>
        </w:tc>
        <w:tc>
          <w:tcPr>
            <w:tcW w:w="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Sarbanes-Oxley Act of 2002.</w:t>
              </w:r>
            </w:hyperlink>
          </w:p>
        </w:tc>
        <w:tc>
          <w:tcPr>
            <w:tcW w:w="4320" w:type="dxa"/>
            <w:vAlign w:val="bottom"/>
            <w:tcBorders>
              <w:bottom w:val="single" w:sz="8" w:color="CCEEFF"/>
            </w:tcBorders>
            <w:gridSpan w:val="7"/>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31.2</w:t>
            </w:r>
          </w:p>
        </w:tc>
        <w:tc>
          <w:tcPr>
            <w:tcW w:w="6320" w:type="dxa"/>
            <w:vAlign w:val="bottom"/>
            <w:tcBorders>
              <w:bottom w:val="single" w:sz="8" w:color="0000FF"/>
            </w:tcBorders>
            <w:gridSpan w:val="5"/>
          </w:tcPr>
          <w:p>
            <w:pPr>
              <w:spacing w:after="0" w:line="202" w:lineRule="exact"/>
              <w:rPr>
                <w:rFonts w:ascii="Arial" w:cs="Arial" w:eastAsia="Arial" w:hAnsi="Arial"/>
                <w:sz w:val="18"/>
                <w:szCs w:val="18"/>
                <w:color w:val="0000FF"/>
                <w:w w:val="96"/>
              </w:rPr>
            </w:pPr>
            <w:hyperlink w:anchor="page47">
              <w:r>
                <w:rPr>
                  <w:rFonts w:ascii="Arial" w:cs="Arial" w:eastAsia="Arial" w:hAnsi="Arial"/>
                  <w:sz w:val="18"/>
                  <w:szCs w:val="18"/>
                  <w:color w:val="0000FF"/>
                  <w:w w:val="96"/>
                </w:rPr>
                <w:t>Certification of the Chief Financial Officer pursuant to Rule 13a-14(a) or Rule 15d-</w:t>
              </w:r>
            </w:hyperlink>
          </w:p>
        </w:tc>
        <w:tc>
          <w:tcPr>
            <w:tcW w:w="100" w:type="dxa"/>
            <w:vAlign w:val="bottom"/>
            <w:gridSpan w:val="3"/>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3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420" w:type="dxa"/>
            <w:vAlign w:val="bottom"/>
            <w:gridSpan w:val="8"/>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32.1</w:t>
            </w:r>
          </w:p>
        </w:tc>
        <w:tc>
          <w:tcPr>
            <w:tcW w:w="632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7"/>
              </w:rPr>
            </w:pPr>
            <w:hyperlink w:anchor="page48">
              <w:r>
                <w:rPr>
                  <w:rFonts w:ascii="Arial" w:cs="Arial" w:eastAsia="Arial" w:hAnsi="Arial"/>
                  <w:sz w:val="18"/>
                  <w:szCs w:val="18"/>
                  <w:color w:val="0000FF"/>
                  <w:w w:val="97"/>
                </w:rPr>
                <w:t>Certification of the Chief Executive Officer pursuant to 18 U.S.C. Section 1350 as</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shd w:val="clear" w:color="auto" w:fill="CCEEFF"/>
          </w:tcPr>
          <w:p>
            <w:pPr>
              <w:spacing w:after="0"/>
              <w:rPr>
                <w:sz w:val="17"/>
                <w:szCs w:val="17"/>
                <w:color w:val="auto"/>
              </w:rPr>
            </w:pPr>
          </w:p>
        </w:tc>
        <w:tc>
          <w:tcPr>
            <w:tcW w:w="6420" w:type="dxa"/>
            <w:vAlign w:val="bottom"/>
            <w:gridSpan w:val="8"/>
            <w:shd w:val="clear" w:color="auto" w:fill="CCEEFF"/>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adopted pursuant to Section 906 of the Sarbanes-Oxley Act of 2002.</w:t>
              </w:r>
            </w:hyperlink>
          </w:p>
        </w:tc>
        <w:tc>
          <w:tcPr>
            <w:tcW w:w="38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22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32.2</w:t>
            </w:r>
          </w:p>
        </w:tc>
        <w:tc>
          <w:tcPr>
            <w:tcW w:w="6420" w:type="dxa"/>
            <w:vAlign w:val="bottom"/>
            <w:gridSpan w:val="8"/>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Certification of the Chief Financial Officer pursuant to 18 U.S.C. Section 1350 as</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3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adopted pursuant to Section 906 of the Sarbanes-Oxley Act of 2002.</w:t>
              </w:r>
            </w:hyperlink>
          </w:p>
        </w:tc>
        <w:tc>
          <w:tcPr>
            <w:tcW w:w="100" w:type="dxa"/>
            <w:vAlign w:val="bottom"/>
            <w:gridSpan w:val="3"/>
          </w:tcPr>
          <w:p>
            <w:pPr>
              <w:spacing w:after="0"/>
              <w:rPr>
                <w:sz w:val="17"/>
                <w:szCs w:val="17"/>
                <w:color w:val="auto"/>
              </w:rPr>
            </w:pPr>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101.INS</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101.SCH</w:t>
            </w:r>
          </w:p>
        </w:tc>
        <w:tc>
          <w:tcPr>
            <w:tcW w:w="64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101.CAL</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101.DEF</w:t>
            </w:r>
          </w:p>
        </w:tc>
        <w:tc>
          <w:tcPr>
            <w:tcW w:w="64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101.LAB</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101.PRE</w:t>
            </w:r>
          </w:p>
        </w:tc>
        <w:tc>
          <w:tcPr>
            <w:tcW w:w="64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38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2018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26, 2018</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38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2018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26, 2018</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0" Type="http://schemas.openxmlformats.org/officeDocument/2006/relationships/hyperlink" Target="http://www.sec.gov/Archives/edgar/data/1434621/000110465908054882/a08-22125_1ex3d1.htm" TargetMode="External"/><Relationship Id="rId21"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2019-12-28T21:06:29Z</dcterms:created>
  <dcterms:modified xsi:type="dcterms:W3CDTF">2019-12-28T21:06:29Z</dcterms:modified>
</cp:coreProperties>
</file>