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358140</wp:posOffset>
            </wp:positionV>
            <wp:extent cx="66548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-175895</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2800" w:right="2040" w:hanging="1144"/>
        <w:spacing w:after="0" w:line="282" w:lineRule="auto"/>
        <w:tabs>
          <w:tab w:leader="none" w:pos="2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2014</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2800" w:right="1680" w:hanging="1108"/>
        <w:spacing w:after="0" w:line="282" w:lineRule="auto"/>
        <w:tabs>
          <w:tab w:leader="none" w:pos="28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 w:lineRule="exact"/>
        <w:rPr>
          <w:sz w:val="24"/>
          <w:szCs w:val="24"/>
          <w:color w:val="auto"/>
        </w:rPr>
      </w:pPr>
    </w:p>
    <w:p>
      <w:pPr>
        <w:ind w:left="32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6" w:lineRule="exact"/>
        <w:rPr>
          <w:sz w:val="24"/>
          <w:szCs w:val="24"/>
          <w:color w:val="auto"/>
        </w:rPr>
      </w:pPr>
    </w:p>
    <w:tbl>
      <w:tblPr>
        <w:tblLayout w:type="fixed"/>
        <w:tblInd w:w="194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b w:val="1"/>
                <w:bCs w:val="1"/>
                <w:color w:val="auto"/>
                <w:w w:val="91"/>
              </w:rPr>
              <w:t>Commission File No. 001-34063</w:t>
            </w: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5740" w:type="dxa"/>
            <w:vAlign w:val="bottom"/>
          </w:tcPr>
          <w:p>
            <w:pPr>
              <w:jc w:val="right"/>
              <w:ind w:right="2797"/>
              <w:spacing w:after="0"/>
              <w:rPr>
                <w:sz w:val="20"/>
                <w:szCs w:val="20"/>
                <w:color w:val="auto"/>
              </w:rPr>
            </w:pPr>
            <w:r>
              <w:rPr>
                <w:rFonts w:ascii="Arial" w:cs="Arial" w:eastAsia="Arial" w:hAnsi="Arial"/>
                <w:sz w:val="11"/>
                <w:szCs w:val="11"/>
                <w:color w:val="auto"/>
                <w:w w:val="92"/>
              </w:rPr>
              <w:t>__________________________________________________</w:t>
            </w:r>
          </w:p>
        </w:tc>
        <w:tc>
          <w:tcPr>
            <w:tcW w:w="0" w:type="dxa"/>
            <w:vAlign w:val="bottom"/>
          </w:tcPr>
          <w:p>
            <w:pPr>
              <w:spacing w:after="0"/>
              <w:rPr>
                <w:sz w:val="1"/>
                <w:szCs w:val="1"/>
                <w:color w:val="auto"/>
              </w:rPr>
            </w:pPr>
          </w:p>
        </w:tc>
      </w:tr>
      <w:tr>
        <w:trPr>
          <w:trHeight w:val="931"/>
        </w:trPr>
        <w:tc>
          <w:tcPr>
            <w:tcW w:w="2260" w:type="dxa"/>
            <w:vAlign w:val="bottom"/>
          </w:tcPr>
          <w:p>
            <w:pPr>
              <w:spacing w:after="0"/>
              <w:rPr>
                <w:sz w:val="24"/>
                <w:szCs w:val="24"/>
                <w:color w:val="auto"/>
              </w:rPr>
            </w:pPr>
          </w:p>
        </w:tc>
        <w:tc>
          <w:tcPr>
            <w:tcW w:w="5740" w:type="dxa"/>
            <w:vAlign w:val="bottom"/>
          </w:tcPr>
          <w:p>
            <w:pPr>
              <w:jc w:val="center"/>
              <w:ind w:right="2617"/>
              <w:spacing w:after="0"/>
              <w:rPr>
                <w:sz w:val="20"/>
                <w:szCs w:val="20"/>
                <w:color w:val="auto"/>
              </w:rPr>
            </w:pPr>
            <w:r>
              <w:rPr>
                <w:rFonts w:ascii="Arial" w:cs="Arial" w:eastAsia="Arial" w:hAnsi="Arial"/>
                <w:sz w:val="25"/>
                <w:szCs w:val="25"/>
                <w:b w:val="1"/>
                <w:bCs w:val="1"/>
                <w:color w:val="auto"/>
                <w:w w:val="92"/>
              </w:rPr>
              <w:t>LendingTree, Inc.</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57"/>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469"/>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Delaware</w:t>
            </w:r>
          </w:p>
        </w:tc>
        <w:tc>
          <w:tcPr>
            <w:tcW w:w="5740" w:type="dxa"/>
            <w:vAlign w:val="bottom"/>
            <w:vMerge w:val="restart"/>
          </w:tcPr>
          <w:p>
            <w:pPr>
              <w:jc w:val="center"/>
              <w:ind w:left="2637"/>
              <w:spacing w:after="0"/>
              <w:rPr>
                <w:sz w:val="20"/>
                <w:szCs w:val="20"/>
                <w:color w:val="auto"/>
              </w:rPr>
            </w:pPr>
            <w:r>
              <w:rPr>
                <w:rFonts w:ascii="Arial" w:cs="Arial" w:eastAsia="Arial" w:hAnsi="Arial"/>
                <w:sz w:val="16"/>
                <w:szCs w:val="16"/>
                <w:b w:val="1"/>
                <w:bCs w:val="1"/>
                <w:color w:val="auto"/>
                <w:w w:val="91"/>
              </w:rPr>
              <w:t>26-2414818</w:t>
            </w:r>
          </w:p>
        </w:tc>
        <w:tc>
          <w:tcPr>
            <w:tcW w:w="0" w:type="dxa"/>
            <w:vAlign w:val="bottom"/>
          </w:tcPr>
          <w:p>
            <w:pPr>
              <w:spacing w:after="0"/>
              <w:rPr>
                <w:sz w:val="1"/>
                <w:szCs w:val="1"/>
                <w:color w:val="auto"/>
              </w:rPr>
            </w:pPr>
          </w:p>
        </w:tc>
      </w:tr>
      <w:tr>
        <w:trPr>
          <w:trHeight w:val="203"/>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3"/>
              </w:rPr>
              <w:t>(State or other jurisdiction of</w:t>
            </w:r>
          </w:p>
        </w:tc>
        <w:tc>
          <w:tcPr>
            <w:tcW w:w="5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jc w:val="center"/>
              <w:ind w:right="79"/>
              <w:spacing w:after="0"/>
              <w:rPr>
                <w:sz w:val="20"/>
                <w:szCs w:val="20"/>
                <w:color w:val="auto"/>
              </w:rPr>
            </w:pPr>
            <w:r>
              <w:rPr>
                <w:rFonts w:ascii="Arial" w:cs="Arial" w:eastAsia="Arial" w:hAnsi="Arial"/>
                <w:sz w:val="16"/>
                <w:szCs w:val="16"/>
                <w:color w:val="auto"/>
                <w:w w:val="93"/>
              </w:rPr>
              <w:t>incorporation or organization)</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53"/>
        </w:trPr>
        <w:tc>
          <w:tcPr>
            <w:tcW w:w="8000" w:type="dxa"/>
            <w:vAlign w:val="bottom"/>
            <w:gridSpan w:val="2"/>
          </w:tcPr>
          <w:p>
            <w:pPr>
              <w:jc w:val="center"/>
              <w:ind w:right="377"/>
              <w:spacing w:after="0"/>
              <w:rPr>
                <w:sz w:val="20"/>
                <w:szCs w:val="20"/>
                <w:color w:val="auto"/>
              </w:rPr>
            </w:pPr>
            <w:r>
              <w:rPr>
                <w:rFonts w:ascii="Arial" w:cs="Arial" w:eastAsia="Arial" w:hAnsi="Arial"/>
                <w:sz w:val="16"/>
                <w:szCs w:val="16"/>
                <w:b w:val="1"/>
                <w:bCs w:val="1"/>
                <w:color w:val="auto"/>
                <w:w w:val="92"/>
              </w:rPr>
              <w:t>11115 Rushmore Drive, Charlotte, North Carolina 28277</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color w:val="auto"/>
                <w:w w:val="94"/>
              </w:rPr>
              <w:t>(Address of principal executive offices)</w:t>
            </w: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5740" w:type="dxa"/>
            <w:vAlign w:val="bottom"/>
          </w:tcPr>
          <w:p>
            <w:pPr>
              <w:jc w:val="right"/>
              <w:ind w:right="3637"/>
              <w:spacing w:after="0"/>
              <w:rPr>
                <w:sz w:val="20"/>
                <w:szCs w:val="20"/>
                <w:color w:val="auto"/>
              </w:rPr>
            </w:pPr>
            <w:r>
              <w:rPr>
                <w:rFonts w:ascii="Arial" w:cs="Arial" w:eastAsia="Arial" w:hAnsi="Arial"/>
                <w:sz w:val="16"/>
                <w:szCs w:val="16"/>
                <w:b w:val="1"/>
                <w:bCs w:val="1"/>
                <w:color w:val="auto"/>
              </w:rPr>
              <w:t>(704) 541-5351</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77"/>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257"/>
        </w:trPr>
        <w:tc>
          <w:tcPr>
            <w:tcW w:w="8000" w:type="dxa"/>
            <w:vAlign w:val="bottom"/>
            <w:gridSpan w:val="2"/>
          </w:tcPr>
          <w:p>
            <w:pPr>
              <w:jc w:val="center"/>
              <w:ind w:right="357"/>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53"/>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Title of Each Class</w:t>
            </w:r>
          </w:p>
        </w:tc>
        <w:tc>
          <w:tcPr>
            <w:tcW w:w="5740" w:type="dxa"/>
            <w:vAlign w:val="bottom"/>
          </w:tcPr>
          <w:p>
            <w:pPr>
              <w:jc w:val="center"/>
              <w:ind w:left="2657"/>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6"/>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0"/>
              </w:rPr>
              <w:t>Common Stock, $0.01 Par Value</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-2319655</wp:posOffset>
            </wp:positionV>
            <wp:extent cx="113220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w:t>
      </w:r>
    </w:p>
    <w:p>
      <w:pPr>
        <w:spacing w:after="0" w:line="19" w:lineRule="exact"/>
        <w:rPr>
          <w:sz w:val="24"/>
          <w:szCs w:val="24"/>
          <w:color w:val="auto"/>
        </w:rPr>
      </w:pPr>
    </w:p>
    <w:p>
      <w:pPr>
        <w:ind w:left="180" w:right="24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Indicated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40" w:lineRule="exact"/>
        <w:rPr>
          <w:sz w:val="24"/>
          <w:szCs w:val="24"/>
          <w:color w:val="auto"/>
        </w:rPr>
      </w:pPr>
    </w:p>
    <w:p>
      <w:pPr>
        <w:ind w:left="2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63" w:lineRule="exact"/>
        <w:rPr>
          <w:sz w:val="24"/>
          <w:szCs w:val="24"/>
          <w:color w:val="auto"/>
        </w:rPr>
      </w:pPr>
    </w:p>
    <w:p>
      <w:pPr>
        <w:sectPr>
          <w:pgSz w:w="11900" w:h="16838" w:orient="portrait"/>
          <w:cols w:equalWidth="0" w:num="4">
            <w:col w:w="2140" w:space="720"/>
            <w:col w:w="2260" w:space="720"/>
            <w:col w:w="2540" w:space="720"/>
            <w:col w:w="2320"/>
          </w:cols>
          <w:pgMar w:left="240" w:top="225" w:right="239" w:bottom="1440" w:gutter="0" w:footer="0" w:header="0"/>
          <w:type w:val="continuous"/>
        </w:sectPr>
      </w:pPr>
    </w:p>
    <w:p>
      <w:pPr>
        <w:ind w:left="52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225" w:right="239" w:bottom="1440" w:gutter="0" w:footer="0" w:header="0"/>
          <w:type w:val="continuous"/>
        </w:sectPr>
      </w:pPr>
    </w:p>
    <w:p>
      <w:pPr>
        <w:spacing w:after="0" w:line="4" w:lineRule="exact"/>
        <w:rPr>
          <w:sz w:val="24"/>
          <w:szCs w:val="24"/>
          <w:color w:val="auto"/>
        </w:rPr>
      </w:pPr>
    </w:p>
    <w:p>
      <w:pPr>
        <w:jc w:val="center"/>
        <w:ind w:left="1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38" w:orient="portrait"/>
          <w:cols w:equalWidth="0" w:num="2">
            <w:col w:w="7300" w:space="160"/>
            <w:col w:w="3960"/>
          </w:cols>
          <w:pgMar w:left="240" w:top="225" w:right="239" w:bottom="1440" w:gutter="0" w:footer="0" w:header="0"/>
          <w:type w:val="continuous"/>
        </w:sect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2014 was $186,884,728. For the purposes of the foregoing calculation only, all directors and executive officers of the Registrant and third parties that own 5% or more of the voting common stock are assumed to be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March 9, 2015, there were 11,446,513 shares of the Registrant's common stock, par value $.01 per share, outstanding.</w:t>
      </w:r>
    </w:p>
    <w:p>
      <w:pPr>
        <w:spacing w:after="0" w:line="109"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its 2015 Annual Meeting of Stockholders 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180975</wp:posOffset>
            </wp:positionV>
            <wp:extent cx="6654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1714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95250</wp:posOffset>
            </wp:positionV>
            <wp:extent cx="6654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8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00" w:type="dxa"/>
            <w:vAlign w:val="bottom"/>
            <w:gridSpan w:val="4"/>
          </w:tcPr>
          <w:p>
            <w:pPr>
              <w:spacing w:after="0"/>
              <w:rPr>
                <w:sz w:val="22"/>
                <w:szCs w:val="22"/>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020" w:type="dxa"/>
            <w:vAlign w:val="bottom"/>
          </w:tcPr>
          <w:p>
            <w:pPr>
              <w:jc w:val="right"/>
              <w:ind w:right="171"/>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8">
              <w:r>
                <w:rPr>
                  <w:rFonts w:ascii="Arial" w:cs="Arial" w:eastAsia="Arial" w:hAnsi="Arial"/>
                  <w:sz w:val="18"/>
                  <w:szCs w:val="18"/>
                  <w:b w:val="1"/>
                  <w:bCs w:val="1"/>
                  <w:color w:val="0000EE"/>
                  <w:w w:val="94"/>
                </w:rPr>
                <w:t>Item 1A.</w:t>
              </w:r>
            </w:hyperlink>
          </w:p>
        </w:tc>
        <w:tc>
          <w:tcPr>
            <w:tcW w:w="460" w:type="dxa"/>
            <w:vAlign w:val="bottom"/>
          </w:tcPr>
          <w:p>
            <w:pPr>
              <w:spacing w:after="0"/>
              <w:rPr>
                <w:sz w:val="21"/>
                <w:szCs w:val="21"/>
                <w:color w:val="auto"/>
              </w:rPr>
            </w:pPr>
          </w:p>
        </w:tc>
        <w:tc>
          <w:tcPr>
            <w:tcW w:w="98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Risk Factors</w:t>
              </w:r>
            </w:hyperlink>
          </w:p>
        </w:tc>
        <w:tc>
          <w:tcPr>
            <w:tcW w:w="8240" w:type="dxa"/>
            <w:vAlign w:val="bottom"/>
            <w:gridSpan w:val="25"/>
          </w:tcPr>
          <w:p>
            <w:pPr>
              <w:spacing w:after="0"/>
              <w:rPr>
                <w:sz w:val="21"/>
                <w:szCs w:val="21"/>
                <w:color w:val="auto"/>
              </w:rPr>
            </w:pPr>
          </w:p>
        </w:tc>
        <w:tc>
          <w:tcPr>
            <w:tcW w:w="1020" w:type="dxa"/>
            <w:vAlign w:val="bottom"/>
          </w:tcPr>
          <w:p>
            <w:pPr>
              <w:jc w:val="right"/>
              <w:ind w:right="171"/>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Item 1B.</w:t>
              </w:r>
            </w:hyperlink>
          </w:p>
        </w:tc>
        <w:tc>
          <w:tcPr>
            <w:tcW w:w="480" w:type="dxa"/>
            <w:vAlign w:val="bottom"/>
            <w:gridSpan w:val="2"/>
          </w:tcPr>
          <w:p>
            <w:pPr>
              <w:spacing w:after="0"/>
              <w:rPr>
                <w:sz w:val="21"/>
                <w:szCs w:val="21"/>
                <w:color w:val="auto"/>
              </w:rPr>
            </w:pPr>
          </w:p>
        </w:tc>
        <w:tc>
          <w:tcPr>
            <w:tcW w:w="216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Unresolved Staff Comments</w:t>
              </w:r>
            </w:hyperlink>
          </w:p>
        </w:tc>
        <w:tc>
          <w:tcPr>
            <w:tcW w:w="7060" w:type="dxa"/>
            <w:vAlign w:val="bottom"/>
            <w:gridSpan w:val="18"/>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Item 2.</w:t>
              </w:r>
            </w:hyperlink>
          </w:p>
        </w:tc>
        <w:tc>
          <w:tcPr>
            <w:tcW w:w="600" w:type="dxa"/>
            <w:vAlign w:val="bottom"/>
            <w:gridSpan w:val="4"/>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Properties</w:t>
              </w:r>
            </w:hyperlink>
          </w:p>
        </w:tc>
        <w:tc>
          <w:tcPr>
            <w:tcW w:w="8420" w:type="dxa"/>
            <w:vAlign w:val="bottom"/>
            <w:gridSpan w:val="26"/>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Item 3.</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Legal Proceedings</w:t>
              </w:r>
            </w:hyperlink>
          </w:p>
        </w:tc>
        <w:tc>
          <w:tcPr>
            <w:tcW w:w="1020" w:type="dxa"/>
            <w:vAlign w:val="bottom"/>
          </w:tcPr>
          <w:p>
            <w:pPr>
              <w:jc w:val="right"/>
              <w:ind w:right="191"/>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Item 4.</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Mine Safety Disclosures</w:t>
              </w:r>
            </w:hyperlink>
          </w:p>
        </w:tc>
        <w:tc>
          <w:tcPr>
            <w:tcW w:w="1020" w:type="dxa"/>
            <w:vAlign w:val="bottom"/>
          </w:tcPr>
          <w:p>
            <w:pPr>
              <w:jc w:val="right"/>
              <w:ind w:right="191"/>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PART II</w:t>
              </w:r>
            </w:hyperlink>
          </w:p>
        </w:tc>
        <w:tc>
          <w:tcPr>
            <w:tcW w:w="102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Item 5.</w:t>
              </w:r>
            </w:hyperlink>
          </w:p>
        </w:tc>
        <w:tc>
          <w:tcPr>
            <w:tcW w:w="600" w:type="dxa"/>
            <w:vAlign w:val="bottom"/>
            <w:gridSpan w:val="4"/>
          </w:tcPr>
          <w:p>
            <w:pPr>
              <w:spacing w:after="0"/>
              <w:rPr>
                <w:sz w:val="21"/>
                <w:szCs w:val="21"/>
                <w:color w:val="auto"/>
              </w:rPr>
            </w:pPr>
          </w:p>
        </w:tc>
        <w:tc>
          <w:tcPr>
            <w:tcW w:w="8680" w:type="dxa"/>
            <w:vAlign w:val="bottom"/>
            <w:tcBorders>
              <w:bottom w:val="single" w:sz="8" w:color="0000EE"/>
            </w:tcBorders>
            <w:gridSpan w:val="27"/>
          </w:tcPr>
          <w:p>
            <w:pPr>
              <w:spacing w:after="0"/>
              <w:rPr>
                <w:rFonts w:ascii="Arial" w:cs="Arial" w:eastAsia="Arial" w:hAnsi="Arial"/>
                <w:sz w:val="18"/>
                <w:szCs w:val="18"/>
                <w:b w:val="1"/>
                <w:bCs w:val="1"/>
                <w:color w:val="0000EE"/>
                <w:w w:val="90"/>
              </w:rPr>
            </w:pPr>
            <w:hyperlink w:anchor="page19">
              <w:r>
                <w:rPr>
                  <w:rFonts w:ascii="Arial" w:cs="Arial" w:eastAsia="Arial" w:hAnsi="Arial"/>
                  <w:sz w:val="18"/>
                  <w:szCs w:val="18"/>
                  <w:b w:val="1"/>
                  <w:bCs w:val="1"/>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6.</w:t>
              </w:r>
            </w:hyperlink>
          </w:p>
        </w:tc>
        <w:tc>
          <w:tcPr>
            <w:tcW w:w="600" w:type="dxa"/>
            <w:vAlign w:val="bottom"/>
            <w:gridSpan w:val="4"/>
          </w:tcPr>
          <w:p>
            <w:pPr>
              <w:spacing w:after="0"/>
              <w:rPr>
                <w:sz w:val="21"/>
                <w:szCs w:val="21"/>
                <w:color w:val="auto"/>
              </w:rPr>
            </w:pPr>
          </w:p>
        </w:tc>
        <w:tc>
          <w:tcPr>
            <w:tcW w:w="182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21">
              <w:r>
                <w:rPr>
                  <w:rFonts w:ascii="Arial" w:cs="Arial" w:eastAsia="Arial" w:hAnsi="Arial"/>
                  <w:sz w:val="18"/>
                  <w:szCs w:val="18"/>
                  <w:b w:val="1"/>
                  <w:bCs w:val="1"/>
                  <w:color w:val="0000EE"/>
                  <w:w w:val="89"/>
                </w:rPr>
                <w:t>Selected Financial Data</w:t>
              </w:r>
            </w:hyperlink>
          </w:p>
        </w:tc>
        <w:tc>
          <w:tcPr>
            <w:tcW w:w="7400" w:type="dxa"/>
            <w:vAlign w:val="bottom"/>
            <w:gridSpan w:val="22"/>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Item 7.</w:t>
              </w:r>
            </w:hyperlink>
          </w:p>
        </w:tc>
        <w:tc>
          <w:tcPr>
            <w:tcW w:w="600" w:type="dxa"/>
            <w:vAlign w:val="bottom"/>
            <w:gridSpan w:val="4"/>
          </w:tcPr>
          <w:p>
            <w:pPr>
              <w:spacing w:after="0"/>
              <w:rPr>
                <w:sz w:val="21"/>
                <w:szCs w:val="21"/>
                <w:color w:val="auto"/>
              </w:rPr>
            </w:pPr>
          </w:p>
        </w:tc>
        <w:tc>
          <w:tcPr>
            <w:tcW w:w="684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r>
      <w:tr>
        <w:trPr>
          <w:trHeight w:val="250"/>
        </w:trPr>
        <w:tc>
          <w:tcPr>
            <w:tcW w:w="680" w:type="dxa"/>
            <w:vAlign w:val="bottom"/>
            <w:gridSpan w:val="4"/>
          </w:tcPr>
          <w:p>
            <w:pPr>
              <w:spacing w:after="0"/>
              <w:rPr>
                <w:rFonts w:ascii="Arial" w:cs="Arial" w:eastAsia="Arial" w:hAnsi="Arial"/>
                <w:sz w:val="18"/>
                <w:szCs w:val="18"/>
                <w:b w:val="1"/>
                <w:bCs w:val="1"/>
                <w:color w:val="0000EE"/>
                <w:w w:val="94"/>
              </w:rPr>
            </w:pPr>
            <w:hyperlink w:anchor="page36">
              <w:r>
                <w:rPr>
                  <w:rFonts w:ascii="Arial" w:cs="Arial" w:eastAsia="Arial" w:hAnsi="Arial"/>
                  <w:sz w:val="18"/>
                  <w:szCs w:val="18"/>
                  <w:b w:val="1"/>
                  <w:bCs w:val="1"/>
                  <w:color w:val="0000EE"/>
                  <w:w w:val="94"/>
                </w:rPr>
                <w:t>Item 7A.</w:t>
              </w:r>
            </w:hyperlink>
          </w:p>
        </w:tc>
        <w:tc>
          <w:tcPr>
            <w:tcW w:w="460" w:type="dxa"/>
            <w:vAlign w:val="bottom"/>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Quantitative and Qualitative Disclosures about Market Risk</w:t>
              </w:r>
            </w:hyperlink>
          </w:p>
        </w:tc>
        <w:tc>
          <w:tcPr>
            <w:tcW w:w="1020" w:type="dxa"/>
            <w:vAlign w:val="bottom"/>
          </w:tcPr>
          <w:p>
            <w:pPr>
              <w:jc w:val="right"/>
              <w:ind w:right="191"/>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0"/>
              </w:rPr>
            </w:pPr>
            <w:hyperlink w:anchor="page36">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71">
              <w:r>
                <w:rPr>
                  <w:rFonts w:ascii="Arial" w:cs="Arial" w:eastAsia="Arial" w:hAnsi="Arial"/>
                  <w:sz w:val="18"/>
                  <w:szCs w:val="18"/>
                  <w:b w:val="1"/>
                  <w:bCs w:val="1"/>
                  <w:color w:val="0000EE"/>
                  <w:w w:val="91"/>
                </w:rPr>
                <w:t>Item 9.</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Changes in and Disagreements With Accountants on Accounting and Financial Disclosure</w:t>
              </w:r>
            </w:hyperlink>
          </w:p>
        </w:tc>
        <w:tc>
          <w:tcPr>
            <w:tcW w:w="1020" w:type="dxa"/>
            <w:vAlign w:val="bottom"/>
          </w:tcPr>
          <w:p>
            <w:pPr>
              <w:jc w:val="right"/>
              <w:ind w:right="191"/>
              <w:spacing w:after="0"/>
              <w:rPr>
                <w:rFonts w:ascii="Arial" w:cs="Arial" w:eastAsia="Arial" w:hAnsi="Arial"/>
                <w:sz w:val="18"/>
                <w:szCs w:val="18"/>
                <w:color w:val="auto"/>
              </w:rPr>
            </w:pPr>
            <w:hyperlink w:anchor="page71">
              <w:r>
                <w:rPr>
                  <w:rFonts w:ascii="Arial" w:cs="Arial" w:eastAsia="Arial" w:hAnsi="Arial"/>
                  <w:sz w:val="18"/>
                  <w:szCs w:val="18"/>
                  <w:color w:val="auto"/>
                </w:rPr>
                <w:t>72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72">
              <w:r>
                <w:rPr>
                  <w:rFonts w:ascii="Arial" w:cs="Arial" w:eastAsia="Arial" w:hAnsi="Arial"/>
                  <w:sz w:val="18"/>
                  <w:szCs w:val="18"/>
                  <w:b w:val="1"/>
                  <w:bCs w:val="1"/>
                  <w:color w:val="0000EE"/>
                  <w:w w:val="94"/>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72">
              <w:r>
                <w:rPr>
                  <w:rFonts w:ascii="Arial" w:cs="Arial" w:eastAsia="Arial" w:hAnsi="Arial"/>
                  <w:sz w:val="18"/>
                  <w:szCs w:val="18"/>
                  <w:b w:val="1"/>
                  <w:bCs w:val="1"/>
                  <w:color w:val="0000EE"/>
                  <w:w w:val="88"/>
                </w:rPr>
                <w:t>Controls and Procedures</w:t>
              </w:r>
            </w:hyperlink>
          </w:p>
        </w:tc>
        <w:tc>
          <w:tcPr>
            <w:tcW w:w="7300" w:type="dxa"/>
            <w:vAlign w:val="bottom"/>
            <w:gridSpan w:val="19"/>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Item 9B.</w:t>
              </w:r>
            </w:hyperlink>
          </w:p>
        </w:tc>
        <w:tc>
          <w:tcPr>
            <w:tcW w:w="9220" w:type="dxa"/>
            <w:vAlign w:val="bottom"/>
            <w:gridSpan w:val="28"/>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Other Information</w:t>
              </w:r>
            </w:hyperlink>
          </w:p>
        </w:tc>
        <w:tc>
          <w:tcPr>
            <w:tcW w:w="1020" w:type="dxa"/>
            <w:vAlign w:val="bottom"/>
          </w:tcPr>
          <w:p>
            <w:pPr>
              <w:jc w:val="right"/>
              <w:ind w:right="191"/>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Item 10.</w:t>
              </w:r>
            </w:hyperlink>
          </w:p>
        </w:tc>
        <w:tc>
          <w:tcPr>
            <w:tcW w:w="9220" w:type="dxa"/>
            <w:vAlign w:val="bottom"/>
            <w:gridSpan w:val="2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Directors, Executive Officers and Corporate Governance</w:t>
              </w:r>
            </w:hyperlink>
          </w:p>
        </w:tc>
        <w:tc>
          <w:tcPr>
            <w:tcW w:w="1020" w:type="dxa"/>
            <w:vAlign w:val="bottom"/>
          </w:tcPr>
          <w:p>
            <w:pPr>
              <w:jc w:val="right"/>
              <w:ind w:right="191"/>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w w:val="89"/>
              </w:rPr>
            </w:pPr>
            <w:hyperlink w:anchor="page74">
              <w:r>
                <w:rPr>
                  <w:rFonts w:ascii="Arial" w:cs="Arial" w:eastAsia="Arial" w:hAnsi="Arial"/>
                  <w:sz w:val="18"/>
                  <w:szCs w:val="18"/>
                  <w:b w:val="1"/>
                  <w:bCs w:val="1"/>
                  <w:color w:val="0000EE"/>
                  <w:w w:val="89"/>
                </w:rPr>
                <w:t>Item 11.</w:t>
              </w:r>
            </w:hyperlink>
          </w:p>
        </w:tc>
        <w:tc>
          <w:tcPr>
            <w:tcW w:w="520" w:type="dxa"/>
            <w:vAlign w:val="bottom"/>
            <w:gridSpan w:val="3"/>
          </w:tcPr>
          <w:p>
            <w:pPr>
              <w:spacing w:after="0"/>
              <w:rPr>
                <w:sz w:val="21"/>
                <w:szCs w:val="21"/>
                <w:color w:val="auto"/>
              </w:rPr>
            </w:pPr>
          </w:p>
        </w:tc>
        <w:tc>
          <w:tcPr>
            <w:tcW w:w="43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Item 12.</w:t>
              </w:r>
            </w:hyperlink>
          </w:p>
        </w:tc>
        <w:tc>
          <w:tcPr>
            <w:tcW w:w="9220" w:type="dxa"/>
            <w:vAlign w:val="bottom"/>
            <w:gridSpan w:val="2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Security Ownership of Certain Beneficial Owners and Management and Related Stockholder Matters</w:t>
              </w:r>
            </w:hyperlink>
          </w:p>
        </w:tc>
        <w:tc>
          <w:tcPr>
            <w:tcW w:w="1020" w:type="dxa"/>
            <w:vAlign w:val="bottom"/>
          </w:tcPr>
          <w:p>
            <w:pPr>
              <w:jc w:val="right"/>
              <w:ind w:right="191"/>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Item 13.</w:t>
              </w:r>
            </w:hyperlink>
          </w:p>
        </w:tc>
        <w:tc>
          <w:tcPr>
            <w:tcW w:w="9220" w:type="dxa"/>
            <w:vAlign w:val="bottom"/>
            <w:gridSpan w:val="2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Certain Relationships and Related Transactions, and Director Independence</w:t>
              </w:r>
            </w:hyperlink>
          </w:p>
        </w:tc>
        <w:tc>
          <w:tcPr>
            <w:tcW w:w="1020" w:type="dxa"/>
            <w:vAlign w:val="bottom"/>
          </w:tcPr>
          <w:p>
            <w:pPr>
              <w:jc w:val="right"/>
              <w:ind w:right="191"/>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Item 14.</w:t>
              </w:r>
            </w:hyperlink>
          </w:p>
        </w:tc>
        <w:tc>
          <w:tcPr>
            <w:tcW w:w="9220" w:type="dxa"/>
            <w:vAlign w:val="bottom"/>
            <w:gridSpan w:val="2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Principal Accounting Fees and Services</w:t>
              </w:r>
            </w:hyperlink>
          </w:p>
        </w:tc>
        <w:tc>
          <w:tcPr>
            <w:tcW w:w="1020" w:type="dxa"/>
            <w:vAlign w:val="bottom"/>
          </w:tcPr>
          <w:p>
            <w:pPr>
              <w:jc w:val="right"/>
              <w:ind w:right="191"/>
              <w:spacing w:after="0"/>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IV</w:t>
              </w:r>
            </w:hyperlink>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Item 15.</w:t>
              </w:r>
            </w:hyperlink>
          </w:p>
        </w:tc>
        <w:tc>
          <w:tcPr>
            <w:tcW w:w="4200" w:type="dxa"/>
            <w:vAlign w:val="bottom"/>
            <w:gridSpan w:val="1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annual report on Form 10-K for the fiscal year ended December 31, 2014 (the "Annual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Part I. Item 1A. Risk Factors.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LendingTree, Inc. ("LendingTree", the "Company", "we" or "us"), formerly known as Tree.com, Inc., operates what we believe to be the leading online loan marketplace for consumers seeking a broad array of loan types and other credit-based offerings. We offer consumers tools and resources, including free credit scores, that help them to comparison-shop for mortgage loans, home equity loans and lines of credit, reverse mortgages, personal loans, auto loans, student loans, credit cards, small business loans and other related offerings. And, upon submitting their relevant information to us through an inquiry form, we seek to match in-market consumers with multiple lenders on our marketplace, of which there are presently over 350 actively participating, who can provide them with competing quotes for the loans or credit-based offerings they are seeking. By providing consumers access to offerings directly from multiple lenders, rather than just multiple quotes from the same lender or indirectly through intermediaries, and across such a broad array of loan types, we believe our marketplace is differentiated from other providers operating loan comparison-shopping opportunities.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Inc., is the parent of LendingTree, LLC and several companies owned by LendingTree, LLC. LendingTree, LLC, formerly known as LendingTree, Inc., was incorporated in the state of Delaware in June 1996 and commenced nationwide operations in July 1998. LendingTree, LLC, formerly known as LendingTree, Inc., was acquired by IAC/InterActiveCorp ("IAC") in 2003 and converted to a Delaware limited liability company (LendingTree, LLC) in December 2004. On August 20, 2008, Tree.com, Inc. (along with its subsidiary, LendingTree, LLC) was spun off from IAC/InterActiveCorp into a separate publicly-traded company. We refer to the separation transaction as the "spin-off" in this report. Tree.com was incorporated as a Delaware corporation in April 2008 in anticipation of the spin-off. Effective January 1, 2015, we changed our corporate name from Tree.com, Inc. to LendingTree,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what we believe to be the leading online loan marketplace for consumers seeking a broad array of loan types and other credit-based offerings. In this capacity, we seek to provide measurable value to both consumers and lenders. We serve as an ally to consumers as they comparison-shop for loans and related offerings, helping to empower them to make informed purchase decisions. We do so by providing them with information and tools, including free credit scores, conveniently located on our various websites. In addition, we provide consumers with access to offers from multiple lenders who can compete for their business, usually through a single inquiry form. All of our offerings to consumers are provided free of charge. We also serve as a valued partner to lenders seeking an efficient, scalable and flexible source of customer acquisition with directly measurable benefits, by matching the consumer inquiries we generate with these lenders.</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our strategically designed and executed advertising and marketing campaigns (which we refer to as performance marketing) promoting our LendingTree brands and offerings, we attract consumers to our websites and toll-free telephone numbers. Many consumers then complete inquiry forms, providing detailed information about themselves and the loans or other offerings they are seeking. We refer to such consumer inquiries as leads. We then match these leads with lenders seeking to serve these consumers' needs, in a forum we refer to as a marketplace. In so doing, we generate revenue from these lenders, generally at the time of transmitting a lead to them, for which we charge a match fee. In certain instances outside our mortgage business, we charge other kinds of fees, such as a closed loan or closed sale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its inception, our original business was to serve consumers seeking home mortgage loans by matching them with various lenders. We launched the LendingTree brand nationally in 1998 and, over the last seventeen years, we invested significantly in this brand to gain widespread consumer recognition.</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 recently, over the past two years, we have actively sought to expand the suite of loan and credit-based offerings we provide, in order to both leverage the applicability of the LendingTree brand as well as more fully serve the needs of consumers and lenders. We believe that consumers will have a higher propensity to utilize our various services by virtue of their LendingTree-branded associations than those of other providers whose brands consumers may not recognize.</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2014, we re-launched My LendingTree, a platform that offers a personalized loan comparison-shopping experience, by providing free credit scores, credit score analysis and an in-depth view of a consumer's credit profile. We believe this new platform will enable us to provide consumers with measurable savings opportunities over their lifetimes, as we are able to observe their credit profiles and then identify loan and credit-based opportunities on our marketplace that may be more favorable than the loans they have at a given point in time, which we can alert them to.</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Going forward, in addition to operating our core mortgage business, we intend to focus increasingly on growing our non-mortgage lending businesses and developing new product offerings and enhancements to improve the experiences that consumers and lenders have as they interact with us. By expanding our portfolio of loan and credit-based offerings, we are seeking to grow and diversify our business and sources of revenue. We intend to capitalize on our expertise in performance marketing, product development and technology, and leverage the widespread recognition of the LendingTree brand to pursue this strategy.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Consumers seeking home mortgage loans, home equity loans or lines of credit, reverse mortgages and personal loans can access our nationwide marketplace of more than 350 banks, specialty finance providers, alternative lending platforms, credit unions, loan brokers and other lenders or intermediaries online (via </w:t>
      </w:r>
      <w:r>
        <w:rPr>
          <w:rFonts w:ascii="Arial" w:cs="Arial" w:eastAsia="Arial" w:hAnsi="Arial"/>
          <w:sz w:val="16"/>
          <w:szCs w:val="16"/>
          <w:i w:val="1"/>
          <w:iCs w:val="1"/>
          <w:color w:val="auto"/>
        </w:rPr>
        <w:t>www.lendingtree.com</w:t>
      </w:r>
      <w:r>
        <w:rPr>
          <w:rFonts w:ascii="Arial" w:cs="Arial" w:eastAsia="Arial" w:hAnsi="Arial"/>
          <w:sz w:val="16"/>
          <w:szCs w:val="16"/>
          <w:color w:val="auto"/>
        </w:rPr>
        <w:t xml:space="preserve"> or </w:t>
      </w:r>
      <w:r>
        <w:rPr>
          <w:rFonts w:ascii="Arial" w:cs="Arial" w:eastAsia="Arial" w:hAnsi="Arial"/>
          <w:sz w:val="16"/>
          <w:szCs w:val="16"/>
          <w:i w:val="1"/>
          <w:iCs w:val="1"/>
          <w:color w:val="auto"/>
        </w:rPr>
        <w:t>www.getsmart.com</w:t>
      </w:r>
      <w:r>
        <w:rPr>
          <w:rFonts w:ascii="Arial" w:cs="Arial" w:eastAsia="Arial" w:hAnsi="Arial"/>
          <w:sz w:val="16"/>
          <w:szCs w:val="16"/>
          <w:color w:val="auto"/>
        </w:rPr>
        <w:t>) or by calling 1-800-555-TREE. We refer to these various types of lenders as our marketplace lenders.</w:t>
      </w:r>
    </w:p>
    <w:p>
      <w:pPr>
        <w:spacing w:after="0" w:line="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LendingTree does not charge consumers for the use of our services. Revenues from our mortgage products are derived from upfront match fees paid by marketplace lenders that receive a lead. Because a given loan request form can be matched with more than one marketplace lender, up to five match fees may be generated from a single consumer loan request form. Revenues from our non-mortgage products are derived from upfront match fees paid on delivery of a lead and for some marketplaces outside mortgage, other kinds of fees, such as closed loan fees.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mortgage products within our lending segment include our purchase, refinance and rate table products.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partner with lenders throughout the country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 For the years ended December 31, 2014, 2013 and 2012, one marketplace lender accounted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for 13%, 12% and 14% of total revenue, respectively, and another marketplace lender accounted for 11%, 12% and 11% of total revenue, respectively.</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Consumers seeking mortgage loans through our loan marketplace can receive multiple conditional loan offers from participating lenders in response to a single loan request form. We refer to the process by which we match consumers and marketplace lenders as the matching process. This matching process consists of the following steps:</w:t>
      </w:r>
    </w:p>
    <w:p>
      <w:pPr>
        <w:spacing w:after="0" w:line="69"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w:t>
      </w:r>
      <w:r>
        <w:rPr>
          <w:rFonts w:ascii="Arial" w:cs="Arial" w:eastAsia="Arial" w:hAnsi="Arial"/>
          <w:sz w:val="18"/>
          <w:szCs w:val="18"/>
          <w:color w:val="auto"/>
        </w:rPr>
        <w:t>Consumers complete a single loan request form with information regarding the type of home loan product they are seeking,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Our proprietary systems and technology match a given consumer's loan request form data, self-reported credit profile and geographic location against certain pre-established criteria of marketplace lenders, which may be modified from time to time. Once a given loan request passes through the matching process, the loan request is automatically transmitted to up to five participating marketplace lenders.</w:t>
      </w:r>
    </w:p>
    <w:p>
      <w:pPr>
        <w:spacing w:after="0" w:line="71"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Marketplace lenders that receive a loan request form evaluate the information contained in it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make a conditional loan offer. If any of the marketplace lenders initially receiving a loan request do not respond with a conditional loan offer, the loan request form is directed through the matching process a second time in an attempt to match the consumer with other marketplace lenders, up to a maximum of five.</w:t>
      </w:r>
    </w:p>
    <w:p>
      <w:pPr>
        <w:spacing w:after="0" w:line="71" w:lineRule="exact"/>
        <w:rPr>
          <w:rFonts w:ascii="Arial" w:cs="Arial" w:eastAsia="Arial" w:hAnsi="Arial"/>
          <w:sz w:val="18"/>
          <w:szCs w:val="18"/>
          <w:b w:val="1"/>
          <w:bCs w:val="1"/>
          <w:color w:val="auto"/>
        </w:rPr>
      </w:pPr>
    </w:p>
    <w:p>
      <w:pPr>
        <w:jc w:val="both"/>
        <w:ind w:left="66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Communication of a Conditional Offer. </w:t>
      </w:r>
      <w:r>
        <w:rPr>
          <w:rFonts w:ascii="Arial" w:cs="Arial" w:eastAsia="Arial" w:hAnsi="Arial"/>
          <w:sz w:val="18"/>
          <w:szCs w:val="18"/>
          <w:color w:val="auto"/>
        </w:rPr>
        <w:t>If one or more marketplace lenders make a conditional offer, the consumer is automatically notified via e-mail to return to our website and log in to a web page that presents the customized loan offers ("My Account"). Through the My Account web page, consumers may access and compare the proposed terms of each conditional offer, including interest rates, closing costs, monthly payment amounts, lender fees and other information.</w:t>
      </w:r>
    </w:p>
    <w:p>
      <w:pPr>
        <w:spacing w:after="0" w:line="71"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Processing. </w:t>
      </w:r>
      <w:r>
        <w:rPr>
          <w:rFonts w:ascii="Arial" w:cs="Arial" w:eastAsia="Arial" w:hAnsi="Arial"/>
          <w:sz w:val="18"/>
          <w:szCs w:val="18"/>
          <w:color w:val="auto"/>
        </w:rPr>
        <w:t>Consumers may then elect to work offline with relevant marketplace lenders to provide property information and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bearing on their creditworthiness. If a marketplace lender approves a consumer's application, it may then underwrite and originate a loan.</w:t>
      </w:r>
    </w:p>
    <w:p>
      <w:pPr>
        <w:spacing w:after="0" w:line="68" w:lineRule="exact"/>
        <w:rPr>
          <w:rFonts w:ascii="Arial" w:cs="Arial" w:eastAsia="Arial" w:hAnsi="Arial"/>
          <w:sz w:val="18"/>
          <w:szCs w:val="18"/>
          <w:b w:val="1"/>
          <w:bCs w:val="1"/>
          <w:color w:val="auto"/>
        </w:rPr>
      </w:pPr>
    </w:p>
    <w:p>
      <w:pPr>
        <w:jc w:val="both"/>
        <w:ind w:left="660" w:right="20" w:hanging="328"/>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Ongoing Consumer and Lender Support. </w:t>
      </w:r>
      <w:r>
        <w:rPr>
          <w:rFonts w:ascii="Arial" w:cs="Arial" w:eastAsia="Arial" w:hAnsi="Arial"/>
          <w:sz w:val="18"/>
          <w:szCs w:val="18"/>
          <w:color w:val="auto"/>
        </w:rPr>
        <w:t>Active e-mail and telephone support are provided to both marketplace lenders and consumers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matching and transmission process. This support is designed to provide technical assistance and increase overall satisfaction of marketplace lenders and consumers.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offer consumers an alternative "short-form" matching process, which provides them with lender contact information rather than conditional offers from marketplace lenders. This short-form process typically requires consumers to submit less data than required in connection with the matching process described above and does not involve consumer consent to an inquiry regarding credit.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2013, we expanded our mortgage offerings by launching LoanExplorer, a "rate table" loan marketplace, where consumers can enter their loan and credit profile and dynamically view real-time rates from lenders without entering their contact information. Consumers then have the option of calling lenders directly, clicking through to lenders' websites or sending data requests for lenders to follow up with them directly. We developed this offering through internal product development efforts.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Non-Mortgage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lending offerings include information, tools and access to multiple conditional loan offers for:</w:t>
      </w:r>
    </w:p>
    <w:p>
      <w:pPr>
        <w:spacing w:after="0" w:line="117"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 We launched this offering in the first quarter of 2013 through internal product development efforts.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mortgages. We have historically operated a personal loan offering, but launched an enhanced version of this offering in the third quarter of 2013.</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cards, which include offerings from all of the major card issuers. We launched this offering in the second quarter of 2013.</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 in amounts generally up to (although sometimes exceeding) $1 million. We launched our small business loan marketplace in the third quarter of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intend to continue adding new lending offerings for consumers and lenders, in order to grow and diversify our sources of revenue. We may develop such new offerings through internal product development efforts, strategic business relationships with third parties and/or acquisitions.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Segments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segments include our auto, education and home services businesses.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Auto. </w:t>
      </w:r>
      <w:r>
        <w:rPr>
          <w:rFonts w:ascii="Arial" w:cs="Arial" w:eastAsia="Arial" w:hAnsi="Arial"/>
          <w:sz w:val="18"/>
          <w:szCs w:val="18"/>
          <w:color w:val="auto"/>
        </w:rPr>
        <w:t>Our auto business includes our auto refinance and purchase loan products. Auto loans enable consumers to purchase new or used vehicles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refinance an existing loan secured by an automobile.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Education</w:t>
      </w:r>
      <w:r>
        <w:rPr>
          <w:rFonts w:ascii="Arial" w:cs="Arial" w:eastAsia="Arial" w:hAnsi="Arial"/>
          <w:sz w:val="18"/>
          <w:szCs w:val="18"/>
          <w:color w:val="auto"/>
        </w:rPr>
        <w:t>. Our education business includes an enrollment product and our student loan products. Our enrollment product provides prospective students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admission to institutions of higher education with referrals to top-tier institutions and agencies. Student loans include both new loans to finance an education and related expenses, as well as refinancing of existing student loans. We launched our new student loan offering in the second quarter of 2014 and our student loan refinancing offering commenced in the fourth quarter of 2014.</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Home Services</w:t>
      </w:r>
      <w:r>
        <w:rPr>
          <w:rFonts w:ascii="Arial" w:cs="Arial" w:eastAsia="Arial" w:hAnsi="Arial"/>
          <w:sz w:val="18"/>
          <w:szCs w:val="18"/>
          <w:color w:val="auto"/>
        </w:rPr>
        <w:t>. We offer consumers opportunities to research and find home improvement professional services through our marketplace of both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national contractors.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r>
        <w:rPr>
          <w:rFonts w:ascii="Arial" w:cs="Arial" w:eastAsia="Arial" w:hAnsi="Arial"/>
          <w:sz w:val="18"/>
          <w:szCs w:val="18"/>
          <w:color w:val="auto"/>
        </w:rPr>
        <w:t>. Other also includes information, tools and access to:</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Personal credit data, through which consumers can gain insights into how prospective lenders and other third parties view their credit profiles;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repair and debt consolidation services, through which consumers can obtain assistance improving their credit profiles, in order to expand and improve loan and other financial product opportunities available to them;</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consumer insurance products, including home and automobile, through which consumers are matched with licensed insurance agents and insurance lead aggregators to obtain insurance offers; and</w:t>
      </w:r>
    </w:p>
    <w:p>
      <w:pPr>
        <w:spacing w:after="0" w:line="62" w:lineRule="exact"/>
        <w:rPr>
          <w:rFonts w:ascii="Arial" w:cs="Arial" w:eastAsia="Arial" w:hAnsi="Arial"/>
          <w:sz w:val="18"/>
          <w:szCs w:val="18"/>
          <w:color w:val="auto"/>
        </w:rPr>
      </w:pPr>
    </w:p>
    <w:p>
      <w:pPr>
        <w:ind w:left="340" w:right="120" w:hanging="8"/>
        <w:spacing w:after="0" w:line="434"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brokerage services, through which consumers are matched with local realtors who can assist them in their home purchase or sale efforts. We refer to the various purchasers of leads from our other marketplaces as lead purchasers.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in our lending business is subject to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 Revenue in our personal loan and credit card businesses is driven by interest rates and availability of credit in the market.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these trends in our businesses are not absolute and there have been exceptions to them.</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lending and other businesses compete with other lead aggregators, including online intermediaries that operate network-type arrangements. We also face competition from lenders that source consumer loan originations directly through their owned and operated websites, by phone or direct mail. These companies typically operate consumer-branded websites and attract consumers via online banner ads, keyword placement on search engines, partnerships with affiliates and business development arrangements with other properties, including major online portals.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invest in the continued development of both new and existing products to enhance the experiences of consumers and lenders as they interact with us. We incurred product development costs of $11.1 million, $7.7 million and $5.6 million during the years ended December 31, 2014, 2013 and 2012, respectively, all of which was company sponsored.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information on our financial performance by geographic areas can be found in Note 2—Significant Account Policies to the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businesses market and provide services in heavily regulated industries through a number of different online and offline channels across the United States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1A. Risk Factors—</w:t>
      </w:r>
      <w:r>
        <w:rPr>
          <w:rFonts w:ascii="Arial" w:cs="Arial" w:eastAsia="Arial" w:hAnsi="Arial"/>
          <w:sz w:val="18"/>
          <w:szCs w:val="18"/>
          <w:i w:val="1"/>
          <w:iCs w:val="1"/>
          <w:color w:val="auto"/>
        </w:rPr>
        <w:t>Failure to comply with past, existing or new laws, rules and regulations, or to obtain and maintain required licenses,</w:t>
      </w:r>
      <w:r>
        <w:rPr>
          <w:rFonts w:ascii="Arial" w:cs="Arial" w:eastAsia="Arial" w:hAnsi="Arial"/>
          <w:sz w:val="18"/>
          <w:szCs w:val="18"/>
          <w:color w:val="auto"/>
        </w:rPr>
        <w:t xml:space="preserve"> </w:t>
      </w:r>
      <w:r>
        <w:rPr>
          <w:rFonts w:ascii="Arial" w:cs="Arial" w:eastAsia="Arial" w:hAnsi="Arial"/>
          <w:sz w:val="18"/>
          <w:szCs w:val="18"/>
          <w:i w:val="1"/>
          <w:iCs w:val="1"/>
          <w:color w:val="auto"/>
        </w:rPr>
        <w:t>could materially and adversely affect our business, financial condition and results of operations.</w:t>
      </w:r>
      <w:r>
        <w:rPr>
          <w:rFonts w:ascii="Arial" w:cs="Arial" w:eastAsia="Arial" w:hAnsi="Arial"/>
          <w:sz w:val="18"/>
          <w:szCs w:val="18"/>
          <w:color w:val="auto"/>
        </w:rPr>
        <w:t>"). As a result, they are subject to a variety of statutes, rules,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policies and procedures in various jurisdictions in the United States, including:</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on the amount and nature of fees or interest that may be charged in connection with a loan, such as state usury and fee restrictions;</w:t>
      </w:r>
    </w:p>
    <w:p>
      <w:pPr>
        <w:spacing w:after="0" w:line="140"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Restrictions imposed by the Dodd-Frank Wall Street Reform and Consumer Protection Act (the "Dodd Frank Act") and current or future rules promulgated thereunder, including, but not limited to, limitations on fees charged by mortgage lenders, mortgage broker disclosures and rules promulgated by the Consumer Financial Protection Bureau ("CFPB"), which was created under the Dodd-Frank Act;</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leads, such as RESPA;</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our businesses;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Federal and State laws relating to the implementation of the Secure and Fair Enforcement of Mortgage Licensing Act of 2008 (the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5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mail, email, mobile device or the internet, including the Telemarketing Sales Rule ("TSR"), Telephone Consumer Protection Act ("TCPA"), state telemarketing laws, federal and state privacy laws, the CAN-SPAM Act, and the Federal Trade Commission Act and their accompanying regulations and guidelines;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imposed by regulations promulgated by the Department of Education with respect to marketing activities and compensation and incentive payments in connection the recruitment and enrollment of students in higher education programs;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"Bird Dog" laws which restrict the amount and nature of fees, if any, that may be charged to consumers for automobile direct and indirect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believe that our intellectual property rights are vital to our success. To protect our intellectual property rights in our technology, products, improvements and inventions, we rely on a combination of patents, trademarks, trade secret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two issued U.S. patents relating to our technologies, including those relating to the method and network for coordinating a loan over the internet, which expire in 2018. In March 2014, a federal jury found these two patents invalid. In November 2014, we filed a notice of appeal with respect to the jury verdict.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11—Contingencies— Intellectual Property Litigation—Zillow in the notes to the consolidated financial statements included elsewhere in this report. In addition to these two issued patents, we also have four pending U.S. patent applications.</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 developed and used. We have 26 trademarks and service marks registered with the United States Patent and Trademark Office. These registrations can typically be renewed at 10-year intervals.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reserve and register domain names when and where we deem appropriate and we currently have approximately 1,300 registered domain names. We also have agreements with third parties that provide for the licensing of patented and proprietary technology used in our business.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From time to time, we are subjected to legal proceedings and claims, or threatened legal proceedings or claims, including allegations of infringement of third-party trademarks, copyrights, patents and other intellectual property rights of third parties. In addition, the use of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11—Contingencies—Intellectual Property Litigation—Zillow in the notes to the consolidated financial statements included elsewhere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2014, we had approximately 218 employees, of which approximately 207 are full-time and 11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www.investor-relations.tree.com</w:t>
      </w:r>
      <w:r>
        <w:rPr>
          <w:rFonts w:ascii="Arial" w:cs="Arial" w:eastAsia="Arial" w:hAnsi="Arial"/>
          <w:sz w:val="18"/>
          <w:szCs w:val="18"/>
          <w:color w:val="auto"/>
        </w:rPr>
        <w:t>. None of the information on our website is incorporated by reference in this report, or in any other filings with, or in any information furnished or submitted to, the Securities and Exchange Commission (the "SEC").</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or at the SEC's public reference room located at 100 F Street, N.E., Washington, DC 20549. Please call the SEC at 1-800-SEC-0330 for further information on the operation of the public reference room.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code of business conduct and ethics, which applies to all employees, including all executive officers and senior financial officers and directors, is posted on our website at </w:t>
      </w:r>
      <w:r>
        <w:rPr>
          <w:rFonts w:ascii="Arial" w:cs="Arial" w:eastAsia="Arial" w:hAnsi="Arial"/>
          <w:sz w:val="18"/>
          <w:szCs w:val="18"/>
          <w:i w:val="1"/>
          <w:iCs w:val="1"/>
          <w:color w:val="auto"/>
        </w:rPr>
        <w:t>www.investor-relations.tree.com/governance.cfm</w:t>
      </w:r>
      <w:r>
        <w:rPr>
          <w:rFonts w:ascii="Arial" w:cs="Arial" w:eastAsia="Arial" w:hAnsi="Arial"/>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financial condition and results of operations are subject to certain risks that are described below.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materially and adversely affect our business, financial condition and results of operations.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Constraints in the primary and secondary mortgage markets, have in the past had, and may in the future have, an adverse effect on our business, financial condition and results of operations. Generally, increases in interest rates adversely affect the ability of our marketplace lenders to close loans, and adverse economic trends limit the ability of our marketplace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marketplace lenders have less incentive to use our marketplaces, or in the case of sudden increases in consumer demand, our marketplace lenders may lack the ability to support sudden increases in volume.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conditions in the housing markets have improved during 2013 and 2014, the failure to sustain such improvements and, thereby, a worsening of these conditions could have adverse effects on us and our marketplace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in the past led to market-wide liquidity problems and could lead to disruptions in the mortgage industry. Any such disruption could have a material and adverse effect on our business, financial condition and results of operations.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recent revenue growth has been driven in significant part by personal loan offerings.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re-launched our personal loan product in the third quarter of 2013. Revenue from personal loan offerings substantially increased in 2014 compared to 2013 and was responsible for a significant portion of the $15.5 million increase in non-mortgage revenue in the 2014 period. Personal loans are unsecured obligations and generally carrying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personal loan leads generated from our personal loan marketplace. Reasons that lenders might reduce their willingness to make personal loans at attractive interest rates may include regulatory changes, stricter institutional lending criteria or increased borrower default levels, which may occur upon adverse changes in regional, national or global economic conditions.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lending business is historically subject to seasonal trends. These trends reflect the general patterns of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other businesses have various seasonality trends which may create further uncertainty in our quarterly operating results if these business become more significant components of our total revenue.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 Business—Seasonality" included elsewhere in this report for more information. Any of these seasonal trends, or the combination of them, may negatively impact the price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relationships with marketplace lenders and any adverse changes in these relationships could adversely affect our business, financial condition and results of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success depends in significant part on the financial strength of lenders participating on our marketplaces. Marketplace lenders could, for any reason, experience financial difficulties and cease participating on our lender marketplace, fail to pay match and/or closing fees when due and/or drop the quality of their services to consumers. The occurrence of one or more of these events with a significant number of marketplace lenders could, alone or in combination, have a material and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Marketplace lenders affiliated with our marketplaces are not precluded from offering products and services outside of our marketplaces.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our businesses do not have exclusive relationships with marketplace lenders, consumers may obtain loans from these third-party service providers without having to use our marketplaces. Marketplace lenders can offer loans directly to consumers through their own marketing campaigns or other traditional methods of distribution, such as referral arrangements, physical store-front operations or broker agreements. Marketplace lenders may also offer loans and services to prospective customers online directly, through one or more online competitors of our businesses, or both. If a significant number of consumers seek loans and services directly from marketplace lenders as opposed to through our marketplaces, our business, financial condition and results of operations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lending services are new to the market and may fail to achieve or maintain customer acceptance and profitability.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2013, we expanded our lending offerings by launching LoanExplorer, a "rate table" loan marketplace, and loan marketplaces for reverse mortgages and credit card offerings, as well as re-launching a loan marketplace for personal loans. In 2014, we launched a new student loan offering and marketplace for student loan refinancings and small business loans. We do not have as much experience with these products as with the mortgage marketplaces. Accordingly, these new offerings may be subject to greater risks than our more mature mortgage marketplaces.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these and other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lead purchasers.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Marketplace lenders and lead purchasers on our marketplaces may not provide competitive levels of service to consumers, which could materially and adversely affect our brands and businesses and their ability to attract consumers.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ability of our businesses to provide consumers with a high-quality experience depends, in part, on consumers receiving competitive levels of convenience, customer service, price and responsiveness from marketplace lenders and lead purchasers participating on our other marketplaces with whom they are matched. If these providers do not provide consumers with competitive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Litigation and indemnification of secondary market purchasers could have a material and adverse effect on our business, financial condition, results of operations and liquidity. If we cannot settle any then-existing and certain future contingent liabilities to secondary market purchasers, a portion of the purchase price for the sale of LendingTree Loans' assets will remain in escrow indefinitely.</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sale of loans to secondary market purchasers, Home Loan Center, Inc. ("HLC") may be liable for certain indemnification, repurchase and premium repayment obligations.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also agreed to repurchase loans or indemnify secondary market purchasers for losses due to early payment defaults (</w:t>
      </w:r>
      <w:r>
        <w:rPr>
          <w:rFonts w:ascii="Arial" w:cs="Arial" w:eastAsia="Arial" w:hAnsi="Arial"/>
          <w:sz w:val="18"/>
          <w:szCs w:val="18"/>
          <w:i w:val="1"/>
          <w:iCs w:val="1"/>
          <w:color w:val="auto"/>
        </w:rPr>
        <w:t>i.e.,</w:t>
      </w:r>
      <w:r>
        <w:rPr>
          <w:rFonts w:ascii="Arial" w:cs="Arial" w:eastAsia="Arial" w:hAnsi="Arial"/>
          <w:sz w:val="18"/>
          <w:szCs w:val="18"/>
          <w:color w:val="auto"/>
        </w:rPr>
        <w:t xml:space="preserve"> late payments during a limited time period immediately following HLC's origination of the loan). Further, HLC agreed to repay all or a portion of the initial premiums paid by secondary market purchasers in instances where the borrower prepays the loan within a specified period of time. HLC has made payments for these liabilities in the past and expects to make payments for these liabilities in the future.</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be liable for these indemnification obligations, repurchase obligations and premium repayment obligations following the sale of substantially all of the operating assets of our LendingTree Loans business. Approximately $16.1 million is being held in escrow in accordance with the agreement with Discover for these obligations that remain with us following the sale. As a result of a settlement agreement in 2014 with a secondary market purchaser of loans, we expect $12.1 million of such amount to be released from escrow in December 2015. We have in the past and intend to continue to negotiate in the future with secondary market purchasers to settle any 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and adverse effect on our business, financial condition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asset purchase agreement for the sale of substantially all of the operating assets of our LendingTree Loans business may expose us to contingent liabilities.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the asset purchase agreement, we entered into in May 2011(as amended) with Discover Bank, a wholly-owned subsidiary of Discover Financial Services ("Discover"), 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submitted a claim for indemnification relating to our sale prior to the closing of certain loans that were listed in the asset purchase agreement as to be conveyed to Discover at closing. In May 2013, the claim was resolved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15—Discontinued Operations to the consolidated financial statements included elsewhere in this report). The occurrence of indemnification claims may have a material and adverse effect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 history of incurring operating losses, including for the 2014 and 2013 years, and although our performance over the last few years has been improving, we have an accumulated deficit of $798.2 million at December 31, 2014. If we fail to maintain or grow our revenue and manage our expenses, we may incur significant losses in the future and not be able to maintain profitability.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customers in a cost-effective manner could materially and adversely affect our business, financial condition and results of operations.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attract visitors to our websites, convert these visitors into leads for our marketplace lenders and lead purchasers and generate repeat visits from consumers, our businesses must promote and maintain their various brands successfully.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of operating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materially and adversely affect our business, financial condition and results of operations.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publicity from legal proceedings against us or our businesses, including governmental proceedings and consumer class action litigation, or from the disclosure of information security breaches, could negatively impact our various brands, which could materially and adversely affect our business, financial condition and results of operations. In addition, the actions of our third-party marketing partners who engage in advertising on our behalf could negatively impact our various brands.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search engines and other online sources to attract visitors to our websites, and if we are unable to attract these visitors and convert them into leads for our marketplace lenders and lead purchasers in a cost-effective manner, our business and financial results may be harmed.</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and adverse effect on our business, financial condition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and/or lead purchaser needs, including the emergence of new computing devices and more sophisticated online services, we may lose market share and revenue and our business could suffer.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personal digital assistants, mobile telephones,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we may lose market share, which could materially and adversely affect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past, existing or new laws, rules and regulations, or to obtain and maintain required licenses, could result in administrative fines and/or proceedings against us or our businesses by governmental agencies and/or litigation by consumers, which could materially and adversely affect our business, financial condition and results of operations and our brand.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the Telephone Consumer Protection Act and the Federal Trade Commission Act and its accompanying regulations and guidelines, among others. Increased regulation by the U.S. Federal Trade Commission ("FTC") and Federal Communications Commission ("FCC") has resulted in restrictions on telephone calls to residential and wireless telephone subscribers.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materially and adversely affect our business, financial condition and results of operations.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w:t>
      </w:r>
    </w:p>
    <w:p>
      <w:pPr>
        <w:spacing w:after="0" w:line="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could negatively affect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 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marketplace lenders fail to produce required documents for examination by, or other affiliated parties fail to make certain filings with, state regulators, we may be subject to fines, forfeitures and the revocation of required licenses.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the states in which our businesses maintain licenses require them to collect various loan documents from marketplace lenders and produce these documents for examination by state regulators. While marketplace lenders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jeopardized. The inability to obtain, or the loss of, required licenses could have a material and adverse effect on our business, financial condition and results of operations.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breach of our network security or the misappropriation or misuse of personal consumer information may have a material and adverse impact on our business, financial condition and results of operations.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penetration of network security or other misappropriation or misuse of personal consumer information maintained by us or our third-party marketing partners could cause interruptions in the operations of our businesses and subject us to increased costs, litigation and other liabilities. Claims could also be made against us or our third-party marketing partners for other misuse of personal information, such as for unauthorized purposes or identity theft, which could result in litigation and financial liabilities, as well as administrative action from governmental authorities. Real or perceived security breaches could also significantly damage our reputation with consumers and third parties with whom we do business.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 material and adverse effect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materially and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and/or proceedings by governmental agencies and/or consumers, one or all of which could materially and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adequately protect our intellectual property rights or may be accused of infringing intellectual property rights of third parties.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materially and adversely affect our business, financial condition and results of operations.</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March 2014, a federal jury found our two issued patents invalid. We are considering our legal alternatives with respect to this jury finding.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11—Contingencies—Intellectual Property Litigation—Zillow in the notes to the consolidated financial statements included elsewhere in this report. In addition, third parties may create new products or methods that achieve similar results without infringing upon patents that we own.</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materially and adversely affect our business, financial condition and results of operations. Patent litigation tends to be particularly protracted and expensive. In 2014, we participated in a jury trial for the litigation described in Note 11—Contingencies— Intellectual Property Litigation—Zillow in the notes to the consolidated financial statements included elsewhere in this report. The legal expenses associated with this jury trial were material and negatively affected our results of operations for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and adversely affected.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disrupt our business and harm our financial condition.</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it would reduce our cash balances,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price for our common stock has been volatile since our spin-off. The market price for our common stock could continue to fluctuate significantly for many reasons, including the risks identified in this report or reasons unrelated to our performance. These factors may result in short- or long-term negative pressure on the value of our common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9, 2015, Douglas Lebda, our Chairman and Chief Executive Officer, and Liberty Interactive Corporation beneficially owned approximately 16% and 24%, respectively, of our outstanding common stock. Liberty Interactive also has the right to nominate 20% of the total number of directors serving on the board, rounded up. Liberty Interactive has nominated two directors, Neal Dermer and Craig Troyer.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The interests of Mr. Lebda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Liberty Interactive may not necessarily align with the interests of our other stockholders.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our stockholders, up to five million shares of undesignated preferred stock;</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In addition, because we are incorporated in the State of Delaware, we are governed by the provisions of the Delaware General Corporation Law, which prohibits certain business combinations between us and certain significant stockholders unless specified conditions are met. These provisions may also have the effect of delaying or preventing a change of control of our company, even if stockholders support such a change of control.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executive offices are currently located in approximately 37,800 square feet of office space in Charlotte, North Carolina under a lease that expires in July 2015. Personnel for our lending segment are located in both our office space in Charlotte, North Carolina, as well as approximately 6,100 square feet of office space in Burlingame, California under a lease that expires in March 2015. We are in the process of negotiating new leases for these properties.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w:t>
      </w:r>
      <w:r>
        <w:rPr>
          <w:rFonts w:ascii="Arial" w:cs="Arial" w:eastAsia="Arial" w:hAnsi="Arial"/>
          <w:sz w:val="18"/>
          <w:szCs w:val="18"/>
          <w:b w:val="1"/>
          <w:bCs w:val="1"/>
          <w:color w:val="auto"/>
        </w:rPr>
        <w:t>—</w:t>
      </w:r>
      <w:r>
        <w:rPr>
          <w:rFonts w:ascii="Arial" w:cs="Arial" w:eastAsia="Arial" w:hAnsi="Arial"/>
          <w:sz w:val="18"/>
          <w:szCs w:val="18"/>
          <w:color w:val="auto"/>
        </w:rPr>
        <w:t>Contingencies in the notes to the consolidated financial statements included elsewhere in this report for a discussion of our current litigation.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quoted on the NASDAQ Global Select Market under the ticker symbol "TREE". The table below sets forth, for the calendar periods indicated, the high and low sales prices per share for LendingTree common stock as reported on the NASDAQ Stock Market. The stock price information is based on published financial sources.</w:t>
      </w:r>
    </w:p>
    <w:p>
      <w:pPr>
        <w:spacing w:after="0" w:line="276" w:lineRule="exact"/>
        <w:rPr>
          <w:sz w:val="20"/>
          <w:szCs w:val="20"/>
          <w:color w:val="auto"/>
        </w:rPr>
      </w:pPr>
    </w:p>
    <w:p>
      <w:pPr>
        <w:ind w:left="40"/>
        <w:spacing w:after="0"/>
        <w:tabs>
          <w:tab w:leader="none" w:pos="9420" w:val="left"/>
          <w:tab w:leader="none" w:pos="10680" w:val="left"/>
        </w:tabs>
        <w:rPr>
          <w:sz w:val="20"/>
          <w:szCs w:val="20"/>
          <w:color w:val="auto"/>
        </w:rPr>
      </w:pPr>
      <w:r>
        <w:rPr>
          <w:rFonts w:ascii="Arial" w:cs="Arial" w:eastAsia="Arial" w:hAnsi="Arial"/>
          <w:sz w:val="16"/>
          <w:szCs w:val="16"/>
          <w:b w:val="1"/>
          <w:bCs w:val="1"/>
          <w:color w:val="auto"/>
        </w:rPr>
        <w:t>Year Ended December 31, 2014</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35.05</w:t>
            </w:r>
          </w:p>
        </w:tc>
        <w:tc>
          <w:tcPr>
            <w:tcW w:w="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31.66</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22.94</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36.00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48.84</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r>
        <w:trPr>
          <w:trHeight w:val="636"/>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2013</w:t>
            </w:r>
          </w:p>
        </w:tc>
        <w:tc>
          <w:tcPr>
            <w:tcW w:w="366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High</w:t>
            </w:r>
          </w:p>
        </w:tc>
        <w:tc>
          <w:tcPr>
            <w:tcW w:w="360" w:type="dxa"/>
            <w:vAlign w:val="bottom"/>
          </w:tcPr>
          <w:p>
            <w:pPr>
              <w:spacing w:after="0"/>
              <w:rPr>
                <w:sz w:val="24"/>
                <w:szCs w:val="24"/>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Low</w:t>
            </w:r>
          </w:p>
        </w:tc>
      </w:tr>
      <w:tr>
        <w:trPr>
          <w:trHeight w:val="33"/>
        </w:trPr>
        <w:tc>
          <w:tcPr>
            <w:tcW w:w="56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21.49</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16.33</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33.24</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26.30</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9, 2015, there were approximately 900 holders of record of our common stock and the closing price of the common stock was $51.80.</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26, 2012, we paid a special dividend of $1.00 per share to our shareholders of record as of December 17, 2012. Other than the special dividend, we have not declared or paid a cash dividend on our common stock during the three most recent fiscal years. We have no current intention to declare or pay cash dividends on our common stock in the foreseeable future. The declaration, payment and amount of future cash dividends, if any, will be at the discretion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Set forth below is a line graph, for the period from December 31, 2009 through December 31, 2014,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374650</wp:posOffset>
            </wp:positionV>
            <wp:extent cx="5154295" cy="4219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4295"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2014, we did not issue or sell any shares of our common stock or other equity securities in transactions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January 2010, the board of directors approved and we announced a stock repurchase program which allowed for the repurchase of up to $10.0 million of our common stock. In May 2014, the board of directors authorized and we announced an additional $10.0 million to the stock repurchase program. At December 31, 2014, approximately $7.5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We repurchased 1,500 shares of common stock under the stock repurchase program during the quarter ended December 31, 2014.</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December 31, 2014, 27,439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900" w:type="dxa"/>
            <w:vAlign w:val="bottom"/>
          </w:tcPr>
          <w:p>
            <w:pPr>
              <w:jc w:val="center"/>
              <w:ind w:right="18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7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Average Price</w:t>
            </w: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6"/>
                <w:szCs w:val="16"/>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Paid per Share</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190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2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2014</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November 2014</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1"/>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2014</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26,833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37"/>
        </w:trPr>
        <w:tc>
          <w:tcPr>
            <w:tcW w:w="2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28,939</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42.50</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34"/>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summary financial data presented below represents portions of our consolidated financial statements and are not complete. The following financial information should be read in conjunction with "Item 7. Management's Discussion and Analysis of Financial Condition and Results of Operations" and our consolidated financial statements and notes thereto contained in "Item 8. Financial Statements and Supplementary Data" included elsewhere in this Annual Report. Historical results are not necessarily indicative of future performance or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4"/>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6"/>
                <w:szCs w:val="16"/>
                <w:b w:val="1"/>
                <w:bCs w:val="1"/>
                <w:color w:val="auto"/>
                <w:w w:val="87"/>
              </w:rPr>
              <w:t xml:space="preserve">2012 </w:t>
            </w:r>
            <w:r>
              <w:rPr>
                <w:rFonts w:ascii="Arial" w:cs="Arial" w:eastAsia="Arial" w:hAnsi="Arial"/>
                <w:sz w:val="21"/>
                <w:szCs w:val="21"/>
                <w:b w:val="1"/>
                <w:bCs w:val="1"/>
                <w:color w:val="auto"/>
                <w:w w:val="87"/>
                <w:vertAlign w:val="superscript"/>
              </w:rPr>
              <w:t>(1)</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2011</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 xml:space="preserve">2010 </w:t>
            </w:r>
            <w:r>
              <w:rPr>
                <w:rFonts w:ascii="Arial" w:cs="Arial" w:eastAsia="Arial" w:hAnsi="Arial"/>
                <w:sz w:val="21"/>
                <w:szCs w:val="21"/>
                <w:b w:val="1"/>
                <w:bCs w:val="1"/>
                <w:color w:val="auto"/>
                <w:vertAlign w:val="superscript"/>
              </w:rPr>
              <w:t>(3)</w:t>
            </w:r>
          </w:p>
        </w:tc>
      </w:tr>
      <w:tr>
        <w:trPr>
          <w:trHeight w:val="189"/>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5"/>
          </w:tcPr>
          <w:p>
            <w:pPr>
              <w:jc w:val="center"/>
              <w:ind w:right="2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167,350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139,240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77,443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54,617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59,918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(26,604)</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Income (loss) from discontinued operations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9,849</w:t>
            </w:r>
          </w:p>
        </w:tc>
        <w:tc>
          <w:tcPr>
            <w:tcW w:w="3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4,620</w:t>
            </w:r>
          </w:p>
        </w:tc>
        <w:tc>
          <w:tcPr>
            <w:tcW w:w="2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48,874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(9,793)</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8,427</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and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9,362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(18,177)</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11,188</w:t>
            </w: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11,035</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10,695</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10,377</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10,433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11,188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11,035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10,695</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10,377</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Loss per share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Net income (loss) per share: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86,212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91,667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80,190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45,541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68,819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139,891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152,644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143,171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331,340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282,802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5,437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5,883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29,648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96,366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87,008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82,922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45,471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101,821</w:t>
            </w:r>
          </w:p>
        </w:tc>
      </w:tr>
      <w:tr>
        <w:trPr>
          <w:trHeight w:val="20"/>
        </w:trPr>
        <w:tc>
          <w:tcPr>
            <w:tcW w:w="5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June 2012, we sold substantially all of the operating assets of our LendingTree Loans business.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Management's Discussion and Analysis of Financial Condition and Results of Operations - Sale of Assets of LendingTree Loans for more information.</w:t>
      </w:r>
    </w:p>
    <w:p>
      <w:pPr>
        <w:spacing w:after="0" w:line="11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 - 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2013 and 2012 - Discontinued Operations for a discussion of discontinued operations.</w:t>
      </w:r>
    </w:p>
    <w:p>
      <w:pPr>
        <w:spacing w:after="0" w:line="116" w:lineRule="exact"/>
        <w:rPr>
          <w:rFonts w:ascii="Arial" w:cs="Arial" w:eastAsia="Arial" w:hAnsi="Arial"/>
          <w:sz w:val="18"/>
          <w:szCs w:val="18"/>
          <w:color w:val="auto"/>
        </w:rPr>
      </w:pPr>
    </w:p>
    <w:p>
      <w:pPr>
        <w:ind w:left="500" w:hanging="330"/>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revision of weighted average shares outstanding and income (loss) per share information due to circumstances described in our Form 10-Q for the quarterly period ended March 31, 2013. Such report showed the revisions reflected in this table for the 2012 and 2011 fiscal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together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formerly known as Tree.com, Inc.,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we believe to be the leading online loan marketplace for consumers seeking a broad array of loan types and other credit-based offerings. We offer consumers tools and resources, including free credit scores, that help them to comparison-shop for mortgage loans, home equity loans and lines of credit, reverse mortgages, personal loans, auto loans, student loans, credit cards, small business loans and other related offerings. We seek to match in-market consumers with multiple lenders on our marketplace who can provide them with competing quotes for the loans or credit-based offerings they are seeking. We also serve as a valued partner to lenders seeking an efficient, scalable and flexible source of customer acquisition with directly measurable benefits, by matching the consumer inquiries we generate with these lenders.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2014, we re-launched My LendingTree, a platform that offers a personalized loan comparison-shopping experience, by providing free credit scores, credit score analysis and an in-depth view of a consumer's credit profile. We believe this new platform will enable us to provide consumers with measurable savings opportunities over their lifetimes, as we are able to observe their credit profiles and then identify loan and credit-based opportunities on our marketplace that may be more favorable than the loans they may have at a given point in time, which we can alert them to.</w:t>
      </w:r>
    </w:p>
    <w:p>
      <w:pPr>
        <w:spacing w:after="0" w:line="6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7"/>
          <w:szCs w:val="17"/>
          <w:color w:val="auto"/>
        </w:rPr>
        <w:t>The businesses of RealEstate.com, REALTORS</w:t>
      </w:r>
      <w:r>
        <w:rPr>
          <w:rFonts w:ascii="Arial" w:cs="Arial" w:eastAsia="Arial" w:hAnsi="Arial"/>
          <w:sz w:val="11"/>
          <w:szCs w:val="11"/>
          <w:color w:val="auto"/>
        </w:rPr>
        <w:t>®</w:t>
      </w:r>
      <w:r>
        <w:rPr>
          <w:rFonts w:ascii="Arial" w:cs="Arial" w:eastAsia="Arial" w:hAnsi="Arial"/>
          <w:sz w:val="17"/>
          <w:szCs w:val="17"/>
          <w:color w:val="auto"/>
        </w:rPr>
        <w:t xml:space="preserve"> and LendingTree Loans are presented as discontinued operations in the accompanying consolidated balance sheets, consolidated statements of operations and comprehensive income and consolidated cash flows for all periods presented. The analysis within Management's Discussion and Analysis of Financial Condition and Results of Operations reflects our continuing operations.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374650</wp:posOffset>
            </wp:positionV>
            <wp:extent cx="4467860" cy="203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6786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According to Freddie Mac, 2012 began the year at what were then record low interest rates of approximately 3.96% on 30-year fixed rate mortgages. Rates declined throughout the year to new lows, reaching an average of 3.35% in December 2012. In 2013, rates rose gradually through the first five months of the year, to 3.54% in May. Thereafter, rates increased more significantly, subsequently peaking at 4.49% in September and finished the year at 4.46%. This year, mortgage interest rates generally declined as 2014 progressed, to an average of 3.86% in December 2014, the lowest since May 2013.</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 full-year basis, mortgage interest rates rose to an average 4.17% in 2014, as compared to 3.98% and 3.66% in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90805</wp:posOffset>
            </wp:positionV>
            <wp:extent cx="4733925" cy="2332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dropped from 60% of total 2013 mortgage origination dollars to 43% in 2014, and as compared to 71% in 2012, as a result of an increase in average mortgage interest rates.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MBA is projecting mortgage interest rates to climb in 2015, to an average 4.20% on 30-year fixed rate mortgages. According to MBA projections, as interest rates climb, the mix of mortgage origination dollars will continue to move towards purchase mortgages with the refinance share representing just 40% for 2015.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Over the last few years, the U.S. real estate market has been recovering, albeit slowly.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2012, existing home sales nationwide rose by 9% compared with 2011, according to the National Association of Realtors ("NAR"). While the demand for homes generally increased as mortgage interest rates dropped to their lowest levels in the preceding 60 years, the number of homes for sale did not keep pace, resulting in a reduced inventory of homes for sale. Accordingly, prices of existing home sales increased during 2012, to a national median sales price of $177 thousand</w:t>
      </w:r>
      <w:r>
        <w:rPr>
          <w:rFonts w:ascii="Arial" w:cs="Arial" w:eastAsia="Arial" w:hAnsi="Arial"/>
          <w:sz w:val="16"/>
          <w:szCs w:val="16"/>
          <w:b w:val="1"/>
          <w:bCs w:val="1"/>
          <w:color w:val="auto"/>
        </w:rPr>
        <w:t>—</w:t>
      </w:r>
      <w:r>
        <w:rPr>
          <w:rFonts w:ascii="Arial" w:cs="Arial" w:eastAsia="Arial" w:hAnsi="Arial"/>
          <w:sz w:val="16"/>
          <w:szCs w:val="16"/>
          <w:color w:val="auto"/>
        </w:rPr>
        <w:t>up 11.5% in December 2012 as compared with the year prior. According to the S&amp;P/Case-Schiller U.S. National Home Price Index, average home prices were then similar to levels last seen in the fall of 2003. While distressed homes continued to account for a significant portion of overall home sales in 2012, representing 24% in December 2012, this figure was down from 32% as compared with the prior year period.</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2013, existing home sales nationwide increased another 9% over 2012, according to the NAR, as job growth improved and demand drove the market, despite rising mortgage interest rates. In fact, existing home sales for all of 2013 were the highest since 2006 and median prices maintained strong growth, up 11% from 2012 to $197 thousand, partially attributable to the shrinking share of distressed home sales. Although home prices as of December 2013 were up, they were still approximately 20% below their mid-2006 peaks.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Despite continued indications of economic recovery, in 2014, existing home sales nationwide declined approximately 3% over 2013, according to the NAR, likely due to lessening housing affordability and higher mortgage interest rates. The median existing home sales price increased to $209 thousand</w:t>
      </w:r>
      <w:r>
        <w:rPr>
          <w:rFonts w:ascii="Arial" w:cs="Arial" w:eastAsia="Arial" w:hAnsi="Arial"/>
          <w:sz w:val="18"/>
          <w:szCs w:val="18"/>
          <w:b w:val="1"/>
          <w:bCs w:val="1"/>
          <w:color w:val="auto"/>
        </w:rPr>
        <w:t>—</w:t>
      </w:r>
      <w:r>
        <w:rPr>
          <w:rFonts w:ascii="Arial" w:cs="Arial" w:eastAsia="Arial" w:hAnsi="Arial"/>
          <w:sz w:val="18"/>
          <w:szCs w:val="18"/>
          <w:color w:val="auto"/>
        </w:rPr>
        <w:t>up almost 6% in 2014, driving down NAR's housing affordability index to 167% from 176% in 2013.</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overall 2014 affordability was down, sales of existing homes in the second half of 2014 were up 8% from the first half of the year, as economic growth accelerated, housing inventory increased and sales prices moderated. In 2015, the NAR expects economic recovery to continue, with existing home sales to increase almost 7%, while supporting sales price growth of approximately 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Assets of LendingTree Loans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6, 2012, we sold substantially all of the operating assets of our LendingTree Loans business for approximately $55.9 million in cash to Discover. Of the total purchase price, $8.0 million was paid prior to the closing, $37.9 million was paid upon the closing and the contingent amount of $10.0 million was paid and recognized as a gain from sale of discontinued operations in the second quarter of 2013.</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2014, $16.1 million is being held in escrow in accordance with the agreement with Discover for certain loan loss obligations that remain with us following the sale. As a result of a settlement agreement in 2014 with a secondary market purchaser of loans, we expect $12.1 million of such amount to be released from escrow in December 2015. The escrowed amount is recorded as restricted cash at December 31, 2014.</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Separate from the asset purchase agreement, LendingTree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marketplace lender on our mortgage marketplace following completion of the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2014, 2013 and 2012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ind w:left="640"/>
              <w:spacing w:after="0"/>
              <w:rPr>
                <w:sz w:val="20"/>
                <w:szCs w:val="20"/>
                <w:color w:val="auto"/>
              </w:rPr>
            </w:pPr>
            <w:r>
              <w:rPr>
                <w:rFonts w:ascii="Arial" w:cs="Arial" w:eastAsia="Arial" w:hAnsi="Arial"/>
                <w:sz w:val="16"/>
                <w:szCs w:val="16"/>
                <w:b w:val="1"/>
                <w:bCs w:val="1"/>
                <w:color w:val="auto"/>
                <w:w w:val="94"/>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ind w:left="460"/>
              <w:spacing w:after="0"/>
              <w:rPr>
                <w:sz w:val="20"/>
                <w:szCs w:val="20"/>
                <w:color w:val="auto"/>
              </w:rPr>
            </w:pPr>
            <w:r>
              <w:rPr>
                <w:rFonts w:ascii="Arial" w:cs="Arial" w:eastAsia="Arial" w:hAnsi="Arial"/>
                <w:sz w:val="16"/>
                <w:szCs w:val="16"/>
                <w:b w:val="1"/>
                <w:bCs w:val="1"/>
                <w:color w:val="auto"/>
              </w:rPr>
              <w:t>2014 vs. 2013</w:t>
            </w:r>
          </w:p>
        </w:tc>
        <w:tc>
          <w:tcPr>
            <w:tcW w:w="180" w:type="dxa"/>
            <w:vAlign w:val="bottom"/>
          </w:tcPr>
          <w:p>
            <w:pPr>
              <w:spacing w:after="0"/>
              <w:rPr>
                <w:sz w:val="18"/>
                <w:szCs w:val="18"/>
                <w:color w:val="auto"/>
              </w:rPr>
            </w:pPr>
          </w:p>
        </w:tc>
        <w:tc>
          <w:tcPr>
            <w:tcW w:w="2000" w:type="dxa"/>
            <w:vAlign w:val="bottom"/>
            <w:gridSpan w:val="2"/>
          </w:tcPr>
          <w:p>
            <w:pPr>
              <w:jc w:val="right"/>
              <w:ind w:right="532"/>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3"/>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3"/>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Change</w:t>
            </w: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Change</w:t>
            </w:r>
          </w:p>
        </w:tc>
        <w:tc>
          <w:tcPr>
            <w:tcW w:w="10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4"/>
          </w:tcPr>
          <w:p>
            <w:pPr>
              <w:jc w:val="right"/>
              <w:ind w:right="73"/>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Mortgage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134,137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123,091</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59,362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11,046</w:t>
            </w:r>
          </w:p>
        </w:tc>
        <w:tc>
          <w:tcPr>
            <w:tcW w:w="100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63,729</w:t>
            </w: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Non-mortgage products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20,367</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15,473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3,080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Lending</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154,504</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127,985</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61,176</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26,519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66,809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(3,988)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4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(623)</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(1,024)</w:t>
            </w: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167,350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139,240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77,443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28,110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61,797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459"/>
        </w:trPr>
        <w:tc>
          <w:tcPr>
            <w:tcW w:w="3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w:t>
            </w: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Revenue from our lending segment increased in 2014 compared to 2013, due to increases in our mortgage products of $11.0 million and our non-mortgage products of $15.5 million. The increase in our mortgage products was primarily due to a notable increase in our purchase product, also supported by growth of our rate table offering which we launched in the first quarter of 2013 and partially offset by a modest decrease in our refinance product. Our non-mortgage products within our lending segment include the following products: personal loans, home equity, reverse mortgage and credit cards. Revenue from each of these non-mortgage products increased in 2014 compared to 2013. Our reverse mortgage product was introduced in the first quarter of 2013, our credit card offering was introduced in the second quarter of 2013 and our personal loan product was re-launched in the third quarter of 2013.</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consumers matched on our lending marketplace increased by 64% in 2014 compared to 2013, while our average revenue earned from marketplace lenders per matched consumer decreased by 26% in 2014 compared to 2013. The decrease in revenue earned per matched consumer was due to the increased relative contribution of our purchase and non-mortgage lending products, which have lower revenue per matched consumer rates than refinance, as well as a reduction in revenue per matched consumer in our mortgage products.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revenue, which includes auto, education, home services and other businesses, increased in 2014 compared to 2013, primarily due to an increase of $3.5 million in our auto business, partially offset by a decrease in our education business of $1.2 million.</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 from our lending segment increased significantly in 2013 compared to 2012, through an increase in the sales capacity of both new and existing marketplace lenders and the expansion of our marketing channels. In addition, 2013 revenue from our lending segment rose as a result of selling leads at market prices on our mortgage marketplace that would have been provided to LendingTree Loans before completion of its sale in June 2012 (see next paragraph). Consumers matched on our mortgage marketplace increased by 89% to 1.4 million in 2013 from 0.8 million in 2012. Additionally, as compared to 2012, our 2013 average revenue earned from marketplace lenders per matched consumer increased by 11%.</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June 2012 closing of the sale of our LendingTree Loans business to Discover, leads that would previously have been provided to LendingTree Loans became available for sale on our mortgage marketplace and such leads, therefore, added to revenue in our mortgage products business, with an associated increase in selling and marketing expense. Prior to the sale of our LendingTree Loans business, we did not record revenue in our mortgage products business for leads provided to LendingTree Loans. Instead, we used a cost-sharing approach for marketing expenses, whereby the mortgage products business and LendingTree Loans shared marketing expenses on a pro rata basis, based on the quantity of leads provided to marketplace lenders versus matched with LendingTree Loans.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decreased in 2013 compared to 2012, due primarily to a notable decrease in our education business of $5.3 million, partially offset by an increase in our auto business of $1.8 million. Our education business was impacted by the increased regulation affecting clients engaged in for-profit post-secondary education services which, in turn, affected their marketing practices. Revenue from our auto business increased in 2013, primarily as a result of the addition of new lending and marketing partners.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revenue in 2013 and 2012 was primarily related to fees for certain marketing-related services provided in connection with the sale of our LendingTree Loans business. We completed these services in the second quarter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90"/>
              </w:rPr>
              <w:t>Year Ended December 31,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ind w:left="440"/>
              <w:spacing w:after="0"/>
              <w:rPr>
                <w:sz w:val="20"/>
                <w:szCs w:val="20"/>
                <w:color w:val="auto"/>
              </w:rPr>
            </w:pPr>
            <w:r>
              <w:rPr>
                <w:rFonts w:ascii="Arial" w:cs="Arial" w:eastAsia="Arial" w:hAnsi="Arial"/>
                <w:sz w:val="16"/>
                <w:szCs w:val="16"/>
                <w:b w:val="1"/>
                <w:bCs w:val="1"/>
                <w:color w:val="auto"/>
              </w:rPr>
              <w:t>2014 vs. 2013</w:t>
            </w:r>
          </w:p>
        </w:tc>
        <w:tc>
          <w:tcPr>
            <w:tcW w:w="180" w:type="dxa"/>
            <w:vAlign w:val="bottom"/>
          </w:tcPr>
          <w:p>
            <w:pPr>
              <w:spacing w:after="0"/>
              <w:rPr>
                <w:sz w:val="18"/>
                <w:szCs w:val="18"/>
                <w:color w:val="auto"/>
              </w:rPr>
            </w:pPr>
          </w:p>
        </w:tc>
        <w:tc>
          <w:tcPr>
            <w:tcW w:w="1940" w:type="dxa"/>
            <w:vAlign w:val="bottom"/>
            <w:gridSpan w:val="2"/>
          </w:tcPr>
          <w:p>
            <w:pPr>
              <w:jc w:val="right"/>
              <w:ind w:right="493"/>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18"/>
                <w:szCs w:val="18"/>
                <w:color w:val="auto"/>
              </w:rPr>
            </w:pPr>
          </w:p>
        </w:tc>
        <w:tc>
          <w:tcPr>
            <w:tcW w:w="8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54"/>
              <w:spacing w:after="0"/>
              <w:rPr>
                <w:sz w:val="20"/>
                <w:szCs w:val="20"/>
                <w:color w:val="auto"/>
              </w:rPr>
            </w:pPr>
            <w:r>
              <w:rPr>
                <w:rFonts w:ascii="Arial" w:cs="Arial" w:eastAsia="Arial" w:hAnsi="Arial"/>
                <w:sz w:val="16"/>
                <w:szCs w:val="16"/>
                <w:b w:val="1"/>
                <w:bCs w:val="1"/>
                <w:color w:val="auto"/>
                <w:w w:val="98"/>
              </w:rPr>
              <w:t>Change</w:t>
            </w: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40" w:type="dxa"/>
            <w:vAlign w:val="bottom"/>
          </w:tcPr>
          <w:p>
            <w:pPr>
              <w:jc w:val="right"/>
              <w:ind w:right="274"/>
              <w:spacing w:after="0"/>
              <w:rPr>
                <w:sz w:val="20"/>
                <w:szCs w:val="20"/>
                <w:color w:val="auto"/>
              </w:rPr>
            </w:pPr>
            <w:r>
              <w:rPr>
                <w:rFonts w:ascii="Arial" w:cs="Arial" w:eastAsia="Arial" w:hAnsi="Arial"/>
                <w:sz w:val="16"/>
                <w:szCs w:val="16"/>
                <w:b w:val="1"/>
                <w:bCs w:val="1"/>
                <w:color w:val="auto"/>
                <w:w w:val="95"/>
              </w:rPr>
              <w:t>Change</w:t>
            </w:r>
          </w:p>
        </w:tc>
        <w:tc>
          <w:tcPr>
            <w:tcW w:w="1000" w:type="dxa"/>
            <w:vAlign w:val="bottom"/>
          </w:tcPr>
          <w:p>
            <w:pPr>
              <w:jc w:val="right"/>
              <w:ind w:right="213"/>
              <w:spacing w:after="0"/>
              <w:rPr>
                <w:sz w:val="20"/>
                <w:szCs w:val="20"/>
                <w:color w:val="auto"/>
              </w:rPr>
            </w:pPr>
            <w:r>
              <w:rPr>
                <w:rFonts w:ascii="Arial" w:cs="Arial" w:eastAsia="Arial" w:hAnsi="Arial"/>
                <w:sz w:val="16"/>
                <w:szCs w:val="16"/>
                <w:b w:val="1"/>
                <w:bCs w:val="1"/>
                <w:color w:val="auto"/>
              </w:rPr>
              <w:t>Change</w:t>
            </w:r>
          </w:p>
        </w:tc>
      </w:tr>
      <w:tr>
        <w:trPr>
          <w:trHeight w:val="33"/>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4"/>
          </w:tcPr>
          <w:p>
            <w:pPr>
              <w:jc w:val="right"/>
              <w:ind w:right="154"/>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5,469</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1,930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2,231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56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613</w:t>
            </w:r>
          </w:p>
        </w:tc>
        <w:tc>
          <w:tcPr>
            <w:tcW w:w="440" w:type="dxa"/>
            <w:vAlign w:val="bottom"/>
          </w:tcPr>
          <w:p>
            <w:pPr>
              <w:spacing w:after="0"/>
              <w:rPr>
                <w:sz w:val="21"/>
                <w:szCs w:val="21"/>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(109)</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77</w:t>
            </w: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3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 of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7,903</w:t>
            </w:r>
          </w:p>
        </w:tc>
        <w:tc>
          <w:tcPr>
            <w:tcW w:w="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6,542</w:t>
            </w:r>
          </w:p>
        </w:tc>
        <w:tc>
          <w:tcPr>
            <w:tcW w:w="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4,295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1,361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2,247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r>
      <w:tr>
        <w:trPr>
          <w:trHeight w:val="34"/>
        </w:trPr>
        <w:tc>
          <w:tcPr>
            <w:tcW w:w="3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33"/>
              <w:spacing w:after="0"/>
              <w:rPr>
                <w:sz w:val="20"/>
                <w:szCs w:val="20"/>
                <w:color w:val="auto"/>
              </w:rPr>
            </w:pPr>
            <w:r>
              <w:rPr>
                <w:rFonts w:ascii="Arial" w:cs="Arial" w:eastAsia="Arial" w:hAnsi="Arial"/>
                <w:sz w:val="18"/>
                <w:szCs w:val="18"/>
                <w:i w:val="1"/>
                <w:iCs w:val="1"/>
                <w:color w:val="auto"/>
              </w:rPr>
              <w:t>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459"/>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26</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 cost of revenue increased in 2014 from 2013, primarily due to increases of $0.8 million in credit scoring fees, $0.5 million in credit card fees, $0.4 in third-party call center fees and $0.2 million in compensation and other employee-related costs. Lending cost of revenue increased in 2013 from 2012, primarily due to increases of $0.8 million in credit card fees, $0.4 million compensation and other employee-related costs, $0.4 million in third-party customer service fees, $0.2 million in credit scoring fees, and $0.1 million in server fees. In addition, cost of revenue in 2012 benefited by $0.3 million due to the discontinuance of certain consumer incentive rebates.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cost of revenue decreased in 2014 compared to 2013, primarily due to decreases in third-party call center fees. Other cost of revenue increased in 2013 from 2012, primarily due to increases in server fees.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cost of revenue decreased in 2013 from 2012, primarily due to reduced costs associated with decreases in marketing-related services provided in connection with the sale of our LendingTree Loans business. These activities were completed in 2013 and, therefore, did not generate any further costs in 2014.</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cost of revenue as a percentage of revenue remained consistent in 2014 compared to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90"/>
              </w:rPr>
              <w:t>Year Ended December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ind w:left="420"/>
              <w:spacing w:after="0"/>
              <w:rPr>
                <w:sz w:val="20"/>
                <w:szCs w:val="20"/>
                <w:color w:val="auto"/>
              </w:rPr>
            </w:pPr>
            <w:r>
              <w:rPr>
                <w:rFonts w:ascii="Arial" w:cs="Arial" w:eastAsia="Arial" w:hAnsi="Arial"/>
                <w:sz w:val="16"/>
                <w:szCs w:val="16"/>
                <w:b w:val="1"/>
                <w:bCs w:val="1"/>
                <w:color w:val="auto"/>
              </w:rPr>
              <w:t>2014 vs. 2013</w:t>
            </w:r>
          </w:p>
        </w:tc>
        <w:tc>
          <w:tcPr>
            <w:tcW w:w="180" w:type="dxa"/>
            <w:vAlign w:val="bottom"/>
          </w:tcPr>
          <w:p>
            <w:pPr>
              <w:spacing w:after="0"/>
              <w:rPr>
                <w:sz w:val="18"/>
                <w:szCs w:val="18"/>
                <w:color w:val="auto"/>
              </w:rPr>
            </w:pPr>
          </w:p>
        </w:tc>
        <w:tc>
          <w:tcPr>
            <w:tcW w:w="1960" w:type="dxa"/>
            <w:vAlign w:val="bottom"/>
            <w:gridSpan w:val="2"/>
          </w:tcPr>
          <w:p>
            <w:pPr>
              <w:jc w:val="right"/>
              <w:ind w:right="513"/>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r>
      <w:tr>
        <w:trPr>
          <w:trHeight w:val="210"/>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51"/>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Change</w:t>
            </w: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60" w:type="dxa"/>
            <w:vAlign w:val="bottom"/>
          </w:tcPr>
          <w:p>
            <w:pPr>
              <w:jc w:val="right"/>
              <w:ind w:right="274"/>
              <w:spacing w:after="0"/>
              <w:rPr>
                <w:sz w:val="20"/>
                <w:szCs w:val="20"/>
                <w:color w:val="auto"/>
              </w:rPr>
            </w:pPr>
            <w:r>
              <w:rPr>
                <w:rFonts w:ascii="Arial" w:cs="Arial" w:eastAsia="Arial" w:hAnsi="Arial"/>
                <w:sz w:val="16"/>
                <w:szCs w:val="16"/>
                <w:b w:val="1"/>
                <w:bCs w:val="1"/>
                <w:color w:val="auto"/>
                <w:w w:val="98"/>
              </w:rPr>
              <w:t>Change</w:t>
            </w:r>
          </w:p>
        </w:tc>
        <w:tc>
          <w:tcPr>
            <w:tcW w:w="1000" w:type="dxa"/>
            <w:vAlign w:val="bottom"/>
          </w:tcPr>
          <w:p>
            <w:pPr>
              <w:jc w:val="right"/>
              <w:ind w:right="213"/>
              <w:spacing w:after="0"/>
              <w:rPr>
                <w:sz w:val="20"/>
                <w:szCs w:val="20"/>
                <w:color w:val="auto"/>
              </w:rPr>
            </w:pPr>
            <w:r>
              <w:rPr>
                <w:rFonts w:ascii="Arial" w:cs="Arial" w:eastAsia="Arial" w:hAnsi="Arial"/>
                <w:sz w:val="16"/>
                <w:szCs w:val="16"/>
                <w:b w:val="1"/>
                <w:bCs w:val="1"/>
                <w:color w:val="auto"/>
              </w:rPr>
              <w:t>Change</w:t>
            </w:r>
          </w:p>
        </w:tc>
      </w:tr>
      <w:tr>
        <w:trPr>
          <w:trHeight w:val="33"/>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4"/>
          </w:tcPr>
          <w:p>
            <w:pPr>
              <w:jc w:val="right"/>
              <w:ind w:right="174"/>
              <w:spacing w:after="0"/>
              <w:rPr>
                <w:sz w:val="20"/>
                <w:szCs w:val="20"/>
                <w:color w:val="auto"/>
              </w:rPr>
            </w:pPr>
            <w:r>
              <w:rPr>
                <w:rFonts w:ascii="Arial" w:cs="Arial" w:eastAsia="Arial" w:hAnsi="Arial"/>
                <w:sz w:val="14"/>
                <w:szCs w:val="14"/>
                <w:b w:val="1"/>
                <w:bCs w:val="1"/>
                <w:i w:val="1"/>
                <w:iCs w:val="1"/>
                <w:color w:val="auto"/>
              </w:rPr>
              <w:t>(Dollars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104,388</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83,694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35,250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20,694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48,444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8,316</w:t>
            </w:r>
          </w:p>
        </w:tc>
        <w:tc>
          <w:tcPr>
            <w:tcW w:w="5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7,449</w:t>
            </w:r>
          </w:p>
        </w:tc>
        <w:tc>
          <w:tcPr>
            <w:tcW w:w="38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13,677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867</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(6,228)</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Total selling and marketing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112,704</w:t>
            </w:r>
          </w:p>
        </w:tc>
        <w:tc>
          <w:tcPr>
            <w:tcW w:w="5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91,121</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48,934</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21,583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42,187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34"/>
        </w:trPr>
        <w:tc>
          <w:tcPr>
            <w:tcW w:w="3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i w:val="1"/>
                <w:iCs w:val="1"/>
                <w:color w:val="auto"/>
              </w:rPr>
              <w:t>67%</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65%</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
        </w:trPr>
        <w:tc>
          <w:tcPr>
            <w:tcW w:w="3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 selling and marketing expense increased in 2014 compared to 2013 and in 2013 compared to 2012, primarily due to increases in advertising expense of $20.2 million and $45.6 million, respectively, as discussed below. The increases in lending advertising expense, in turn, correspond to the 64% and 89% increases in consumers matched with marketplace lenders in 2014 compared to 2013, and 2013 compared to 2012, respectively. In addition, lending selling and marketing expense increased immediately following the sale of substantially all of the operating assets of our LendingTree Loans business on June 6, 2012, due to our no longer sharing the cost of such expenses with the former LendingTree Loans business. Selling and marketing expense of $6.3 million was allocated to LendingTree Loans during 2012.</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Selling and marketing expense in our other businesses increased in 2014 from 2013, primarily due to increases in advertising expense of $1.3 million, partially offset by a decrease in compensation expense and benefits of $0.6 million as a result of decreases in headcount. Selling and marketing expense in our other businesses decreased in 2013 from 2012, primarily due to decreases in online and direct marketing.</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selling and marketing expense as a percentage of revenue increased slightly in 2014 compared to 2013, primarily due to an increase in Lending selling and marketing expense relative to Lending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ind w:left="460"/>
              <w:spacing w:after="0"/>
              <w:rPr>
                <w:sz w:val="20"/>
                <w:szCs w:val="20"/>
                <w:color w:val="auto"/>
              </w:rPr>
            </w:pPr>
            <w:r>
              <w:rPr>
                <w:rFonts w:ascii="Arial" w:cs="Arial" w:eastAsia="Arial" w:hAnsi="Arial"/>
                <w:sz w:val="16"/>
                <w:szCs w:val="16"/>
                <w:b w:val="1"/>
                <w:bCs w:val="1"/>
                <w:color w:val="auto"/>
              </w:rPr>
              <w:t>2014 vs. 2013</w:t>
            </w:r>
          </w:p>
        </w:tc>
        <w:tc>
          <w:tcPr>
            <w:tcW w:w="180" w:type="dxa"/>
            <w:vAlign w:val="bottom"/>
          </w:tcPr>
          <w:p>
            <w:pPr>
              <w:spacing w:after="0"/>
              <w:rPr>
                <w:sz w:val="18"/>
                <w:szCs w:val="18"/>
                <w:color w:val="auto"/>
              </w:rPr>
            </w:pPr>
          </w:p>
        </w:tc>
        <w:tc>
          <w:tcPr>
            <w:tcW w:w="2000" w:type="dxa"/>
            <w:vAlign w:val="bottom"/>
            <w:gridSpan w:val="2"/>
          </w:tcPr>
          <w:p>
            <w:pPr>
              <w:jc w:val="right"/>
              <w:ind w:right="532"/>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3"/>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3"/>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Change</w:t>
            </w: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Change</w:t>
            </w:r>
          </w:p>
        </w:tc>
        <w:tc>
          <w:tcPr>
            <w:tcW w:w="10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4"/>
          </w:tcPr>
          <w:p>
            <w:pPr>
              <w:jc w:val="right"/>
              <w:ind w:right="73"/>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Online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79,492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59,464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24,809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20,028</w:t>
            </w:r>
          </w:p>
        </w:tc>
        <w:tc>
          <w:tcPr>
            <w:tcW w:w="10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34,655</w:t>
            </w:r>
          </w:p>
        </w:tc>
        <w:tc>
          <w:tcPr>
            <w:tcW w:w="102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Broadcast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7,252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5,089</w:t>
            </w: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(321)</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3,683</w:t>
            </w:r>
          </w:p>
        </w:tc>
        <w:tc>
          <w:tcPr>
            <w:tcW w:w="102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Lending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95,333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75,169</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20,164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45,590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6,822</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5,511</w:t>
            </w: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11,176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1,311</w:t>
            </w:r>
          </w:p>
        </w:tc>
        <w:tc>
          <w:tcPr>
            <w:tcW w:w="10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(5,665)</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102,155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80,680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40,755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21,475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39,925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3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increased our online advertising expenditures in 2014 compared to 2013 and in 2013 compared to 2012, in order to generate additional mortgage lead volume to meet the demand of marketplace lenders on our mortgage marketplace. In addition, we increased our broadcast spend in 2013 compared to 2012, to support the launch of our new national advertising campaign for our LendingTree brand, which commenced in the second quarter of 2013.</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380"/>
              <w:spacing w:after="0"/>
              <w:rPr>
                <w:sz w:val="20"/>
                <w:szCs w:val="20"/>
                <w:color w:val="auto"/>
              </w:rPr>
            </w:pPr>
            <w:r>
              <w:rPr>
                <w:rFonts w:ascii="Arial" w:cs="Arial" w:eastAsia="Arial" w:hAnsi="Arial"/>
                <w:sz w:val="16"/>
                <w:szCs w:val="16"/>
                <w:b w:val="1"/>
                <w:bCs w:val="1"/>
                <w:color w:val="auto"/>
              </w:rPr>
              <w:t>2014 vs. 2013</w:t>
            </w:r>
          </w:p>
        </w:tc>
        <w:tc>
          <w:tcPr>
            <w:tcW w:w="160" w:type="dxa"/>
            <w:vAlign w:val="bottom"/>
          </w:tcPr>
          <w:p>
            <w:pPr>
              <w:spacing w:after="0"/>
              <w:rPr>
                <w:sz w:val="18"/>
                <w:szCs w:val="18"/>
                <w:color w:val="auto"/>
              </w:rPr>
            </w:pPr>
          </w:p>
        </w:tc>
        <w:tc>
          <w:tcPr>
            <w:tcW w:w="1760" w:type="dxa"/>
            <w:vAlign w:val="bottom"/>
            <w:gridSpan w:val="2"/>
          </w:tcPr>
          <w:p>
            <w:pPr>
              <w:jc w:val="right"/>
              <w:ind w:right="393"/>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53"/>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18"/>
                <w:szCs w:val="18"/>
                <w:color w:val="auto"/>
              </w:rPr>
            </w:pPr>
          </w:p>
        </w:tc>
        <w:tc>
          <w:tcPr>
            <w:tcW w:w="760" w:type="dxa"/>
            <w:vAlign w:val="bottom"/>
          </w:tcPr>
          <w:p>
            <w:pPr>
              <w:jc w:val="right"/>
              <w:ind w:right="29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6"/>
                <w:szCs w:val="16"/>
                <w:b w:val="1"/>
                <w:bCs w:val="1"/>
                <w:color w:val="auto"/>
                <w:w w:val="91"/>
              </w:rPr>
              <w:t>Change</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6"/>
                <w:szCs w:val="16"/>
                <w:b w:val="1"/>
                <w:bCs w:val="1"/>
                <w:color w:val="auto"/>
                <w:w w:val="91"/>
              </w:rPr>
              <w:t>Change</w:t>
            </w:r>
          </w:p>
        </w:tc>
        <w:tc>
          <w:tcPr>
            <w:tcW w:w="920" w:type="dxa"/>
            <w:vAlign w:val="bottom"/>
          </w:tcPr>
          <w:p>
            <w:pPr>
              <w:jc w:val="right"/>
              <w:ind w:right="153"/>
              <w:spacing w:after="0"/>
              <w:rPr>
                <w:sz w:val="20"/>
                <w:szCs w:val="20"/>
                <w:color w:val="auto"/>
              </w:rPr>
            </w:pPr>
            <w:r>
              <w:rPr>
                <w:rFonts w:ascii="Arial" w:cs="Arial" w:eastAsia="Arial" w:hAnsi="Arial"/>
                <w:sz w:val="16"/>
                <w:szCs w:val="16"/>
                <w:b w:val="1"/>
                <w:bCs w:val="1"/>
                <w:color w:val="auto"/>
              </w:rPr>
              <w:t>Change</w:t>
            </w:r>
          </w:p>
        </w:tc>
      </w:tr>
      <w:tr>
        <w:trPr>
          <w:trHeight w:val="33"/>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4"/>
          </w:tcPr>
          <w:p>
            <w:pPr>
              <w:jc w:val="right"/>
              <w:ind w:right="74"/>
              <w:spacing w:after="0"/>
              <w:rPr>
                <w:sz w:val="20"/>
                <w:szCs w:val="20"/>
                <w:color w:val="auto"/>
              </w:rPr>
            </w:pPr>
            <w:r>
              <w:rPr>
                <w:rFonts w:ascii="Arial" w:cs="Arial" w:eastAsia="Arial" w:hAnsi="Arial"/>
                <w:sz w:val="14"/>
                <w:szCs w:val="14"/>
                <w:b w:val="1"/>
                <w:bCs w:val="1"/>
                <w:i w:val="1"/>
                <w:iCs w:val="1"/>
                <w:color w:val="auto"/>
              </w:rPr>
              <w:t>(Dollars 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4,898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3,470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1,269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3,979</w:t>
            </w:r>
          </w:p>
        </w:tc>
        <w:tc>
          <w:tcPr>
            <w:tcW w:w="3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2,245</w:t>
            </w:r>
          </w:p>
        </w:tc>
        <w:tc>
          <w:tcPr>
            <w:tcW w:w="38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2,888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1,734</w:t>
            </w:r>
          </w:p>
        </w:tc>
        <w:tc>
          <w:tcPr>
            <w:tcW w:w="9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(643)</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17,006</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18,784</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15,873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(1,778)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2,911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general and administrative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25,883</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24,658</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22,231</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1,225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2,427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34"/>
        </w:trPr>
        <w:tc>
          <w:tcPr>
            <w:tcW w:w="3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15%</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
        </w:trPr>
        <w:tc>
          <w:tcPr>
            <w:tcW w:w="3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Lending general and administrative expense increased in 2014 compared to 2013, primarily due to increases in compensation and benefits of $1.1 million, which includes incentive compensation and non-cash incentive compensation in addition to salaries. Additionally, computer software maintenance increased by $0.2 million in 2014 compared to 2013, partially offset by a decrease in facility costs of $0.1 million. General and administrative expense in the other businesses increased in 2014 from 2013, primarily due to increases in compensation and benefits of $0.9 million, an impairment charge on long-lived assets of $0.8 million in 2014, and loss on disposal of assets of $0.2 million in 2014, partially offset by decreases in professional fees and computer software maintenance of $0.1 million each. During 2014, a portion of our incentive compensation plan was modified and, as a result, the lending and other businesses reflect the full incentive compensation for individuals in these businesses. Prior to 2014, a portion of incentive compensation for individuals in the lending and other businesses was reflected in corporate.</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Corporate general and administrative expense decreased in 2014 from 2013, primarily due to decreased compensation and benefits of $1.7 million and decreased loss on fixed assets of $0.1 million. The decrease in compensation and benefits in 2014 from 2013 is primarily due to a decrease in incentive compensation of $2.0 million, a compensation charge in 2013 of $0.9 million related to a discretionary cash bonus payment to employee stock option holders, partially offset by an increase in non cash incentive compensation of $0.6 million and an increase in salaries of $0.5 million. The decrease in incentive compensation is primarily as a result of a reduction in incentive compensation classified in corporate general and administrative expense due to the allocation discussed above. Additionally, 2013 included a one-time contribution of $0.4 million to an educational trust. These decreases were partially offset by increases in costs associated with computer software maintenance of $0.2 million, facilities of $0.1 million, travel and entertainment expenses of employees of $0.1 million and franchise taxes of $0.1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 general and administrative expense was relatively consistent in 2013 and 2012.</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in our other businesses decreased in 2013 from 2012, primarily due to a decrease in loss on disposal of assets of $0.3 million and a decrease in computer maintenance of $0.2 million.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general and administrative expense increased in 2013 from 2012 due to a compensation charge of $0.9 million related to a discretionary cash bonus payment to employee stock option holders, increases in other compensation and employee-related costs, and a one-time contribution of 2013 of $0.4 million to an educational trust.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increased general and administrative expense in 2014 was spread over proportionately greater revenue during the period, resulting in an improvement in general and administrative expense as a percentage of revenue.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90"/>
              </w:rPr>
              <w:t>Year Ended December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ind w:left="420"/>
              <w:spacing w:after="0"/>
              <w:rPr>
                <w:sz w:val="20"/>
                <w:szCs w:val="20"/>
                <w:color w:val="auto"/>
              </w:rPr>
            </w:pPr>
            <w:r>
              <w:rPr>
                <w:rFonts w:ascii="Arial" w:cs="Arial" w:eastAsia="Arial" w:hAnsi="Arial"/>
                <w:sz w:val="16"/>
                <w:szCs w:val="16"/>
                <w:b w:val="1"/>
                <w:bCs w:val="1"/>
                <w:color w:val="auto"/>
              </w:rPr>
              <w:t>2014 vs. 2013</w:t>
            </w:r>
          </w:p>
        </w:tc>
        <w:tc>
          <w:tcPr>
            <w:tcW w:w="180" w:type="dxa"/>
            <w:vAlign w:val="bottom"/>
          </w:tcPr>
          <w:p>
            <w:pPr>
              <w:spacing w:after="0"/>
              <w:rPr>
                <w:sz w:val="18"/>
                <w:szCs w:val="18"/>
                <w:color w:val="auto"/>
              </w:rPr>
            </w:pPr>
          </w:p>
        </w:tc>
        <w:tc>
          <w:tcPr>
            <w:tcW w:w="1960" w:type="dxa"/>
            <w:vAlign w:val="bottom"/>
            <w:gridSpan w:val="2"/>
          </w:tcPr>
          <w:p>
            <w:pPr>
              <w:jc w:val="right"/>
              <w:ind w:right="513"/>
              <w:spacing w:after="0"/>
              <w:rPr>
                <w:sz w:val="20"/>
                <w:szCs w:val="20"/>
                <w:color w:val="auto"/>
              </w:rPr>
            </w:pPr>
            <w:r>
              <w:rPr>
                <w:rFonts w:ascii="Arial" w:cs="Arial" w:eastAsia="Arial" w:hAnsi="Arial"/>
                <w:sz w:val="16"/>
                <w:szCs w:val="16"/>
                <w:b w:val="1"/>
                <w:bCs w:val="1"/>
                <w:color w:val="auto"/>
              </w:rPr>
              <w:t>2013 vs. 2012</w:t>
            </w:r>
          </w:p>
        </w:tc>
      </w:tr>
      <w:tr>
        <w:trPr>
          <w:trHeight w:val="33"/>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1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r>
      <w:tr>
        <w:trPr>
          <w:trHeight w:val="210"/>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Change</w:t>
            </w: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60" w:type="dxa"/>
            <w:vAlign w:val="bottom"/>
          </w:tcPr>
          <w:p>
            <w:pPr>
              <w:jc w:val="right"/>
              <w:ind w:right="274"/>
              <w:spacing w:after="0"/>
              <w:rPr>
                <w:sz w:val="20"/>
                <w:szCs w:val="20"/>
                <w:color w:val="auto"/>
              </w:rPr>
            </w:pPr>
            <w:r>
              <w:rPr>
                <w:rFonts w:ascii="Arial" w:cs="Arial" w:eastAsia="Arial" w:hAnsi="Arial"/>
                <w:sz w:val="16"/>
                <w:szCs w:val="16"/>
                <w:b w:val="1"/>
                <w:bCs w:val="1"/>
                <w:color w:val="auto"/>
                <w:w w:val="98"/>
              </w:rPr>
              <w:t>Change</w:t>
            </w:r>
          </w:p>
        </w:tc>
        <w:tc>
          <w:tcPr>
            <w:tcW w:w="1000" w:type="dxa"/>
            <w:vAlign w:val="bottom"/>
          </w:tcPr>
          <w:p>
            <w:pPr>
              <w:jc w:val="right"/>
              <w:ind w:right="213"/>
              <w:spacing w:after="0"/>
              <w:rPr>
                <w:sz w:val="20"/>
                <w:szCs w:val="20"/>
                <w:color w:val="auto"/>
              </w:rPr>
            </w:pPr>
            <w:r>
              <w:rPr>
                <w:rFonts w:ascii="Arial" w:cs="Arial" w:eastAsia="Arial" w:hAnsi="Arial"/>
                <w:sz w:val="16"/>
                <w:szCs w:val="16"/>
                <w:b w:val="1"/>
                <w:bCs w:val="1"/>
                <w:color w:val="auto"/>
              </w:rPr>
              <w:t>Change</w:t>
            </w:r>
          </w:p>
        </w:tc>
      </w:tr>
      <w:tr>
        <w:trPr>
          <w:trHeight w:val="33"/>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4"/>
          </w:tcPr>
          <w:p>
            <w:pPr>
              <w:jc w:val="right"/>
              <w:ind w:right="154"/>
              <w:spacing w:after="0"/>
              <w:rPr>
                <w:sz w:val="20"/>
                <w:szCs w:val="20"/>
                <w:color w:val="auto"/>
              </w:rPr>
            </w:pPr>
            <w:r>
              <w:rPr>
                <w:rFonts w:ascii="Arial" w:cs="Arial" w:eastAsia="Arial" w:hAnsi="Arial"/>
                <w:sz w:val="14"/>
                <w:szCs w:val="14"/>
                <w:b w:val="1"/>
                <w:bCs w:val="1"/>
                <w:i w:val="1"/>
                <w:iCs w:val="1"/>
                <w:color w:val="auto"/>
              </w:rPr>
              <w:t>(Dollars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4,302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2,043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5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1,258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126</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(296)</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3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product development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7,457</w:t>
            </w:r>
          </w:p>
        </w:tc>
        <w:tc>
          <w:tcPr>
            <w:tcW w:w="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5,264</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3,529</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2,193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1,735</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34"/>
        </w:trPr>
        <w:tc>
          <w:tcPr>
            <w:tcW w:w="3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i w:val="1"/>
                <w:iCs w:val="1"/>
                <w:color w:val="auto"/>
              </w:rPr>
              <w:t>4%</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4%</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
        </w:trPr>
        <w:tc>
          <w:tcPr>
            <w:tcW w:w="3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Product development expense increased in 2014 compared to 2013 and in 2013 compared to 2012,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 We increased headcount in 2014 compared to 2013, in order to support product launches such as MyLendingTree and our new business loans and student loan refinancing marketplaces. We launched new offerings in 2013, such as our LoanExplorer mortgage rate table, reverse mortgage and credit card comparison offerings, as well as enhanced existing tools and products, such as our personal loan offering and mobile experience. All of these initiatives were results of internal product development efforts.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product development expense as a percentage of revenue remained consistent in 2014 compared to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has remained relatively consistent in 2014 compared to 2013 and in 2013 compared to 2012.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we are pursuing. During the years ended December 31, 2014 and 2013 we recorded $10.6 million and $9.0 million, respectively, in expenses. These expenses were due primarily to legal fees incurred in connection with various patent litigations we are currently pursuing. In 2012, we recognized income of $3.1 million, a majority of which was attributable to the settlement or our estimation of loss on various legal cases.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2014, we participated in a jury trial for the Zillow litigation described in Note 10—Commitments in the notes to the consolidated financial statements included elsewhere in this report. The legal expenses associated with this jury trial and post-trial motions increased our litigation settlements and contingencies expense for 2014. In addition, in October 2014, the court awarded NexTag attorney fees and costs totaling $2.3 million, which were recorded as litigation expense in 2014. We will continue to incur litigation expenses on this matter relating to the appeal process, although we expect legal expenses related to this matter to decline significantly in future periods.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96"/>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r>
      <w:tr>
        <w:trPr>
          <w:trHeight w:val="190"/>
        </w:trPr>
        <w:tc>
          <w:tcPr>
            <w:tcW w:w="6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4"/>
          </w:tcPr>
          <w:p>
            <w:pPr>
              <w:jc w:val="center"/>
              <w:ind w:left="96"/>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1040" w:type="dxa"/>
            <w:vAlign w:val="bottom"/>
          </w:tcPr>
          <w:p>
            <w:pPr>
              <w:spacing w:after="0"/>
              <w:rPr>
                <w:sz w:val="16"/>
                <w:szCs w:val="16"/>
                <w:color w:val="auto"/>
              </w:rPr>
            </w:pPr>
          </w:p>
        </w:tc>
      </w:tr>
      <w:tr>
        <w:trPr>
          <w:trHeight w:val="66"/>
        </w:trPr>
        <w:tc>
          <w:tcPr>
            <w:tcW w:w="6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484</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453</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1,483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w w:val="93"/>
              </w:rPr>
              <w:t>49.8%</w:t>
            </w:r>
          </w:p>
        </w:tc>
        <w:tc>
          <w:tcPr>
            <w:tcW w:w="46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i w:val="1"/>
                <w:iCs w:val="1"/>
                <w:color w:val="auto"/>
              </w:rPr>
              <w:t>40.2%</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39.7%</w:t>
            </w:r>
          </w:p>
        </w:tc>
      </w:tr>
      <w:tr>
        <w:trPr>
          <w:trHeight w:val="27"/>
        </w:trPr>
        <w:tc>
          <w:tcPr>
            <w:tcW w:w="6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2014, 2013 and 2012, the effective tax rate was higher than the 35% federal statutory rate due principally to the effect of state taxes.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2014, 2013 and 2012, income from discontinued operations of $9.8 million, $4.6 million and $48.9 million, respectively, was primarily attributable to the LendingTree Loans business, the sale of which was completed on June 6, 2012. As a result, the 2012 results of discontinued operations include approximately five months of results of operations and a gain on the sale of the business of $24.4 million, net of tax. In 2013, the results of discontinued operations were primarily due to a pre-tax gain of $10.0 million for an additional purchase price payment made on the first anniversary of the sale of the business, offset by costs relating to the ongoing wind-down of the business. In 2014, results of discontinued operations were primarily due to income from an adjustment in the loan loss reserve as a result of a settlement with one of LendingTree Loans' secondary market purchasers, partially offset by costs relating to the ongoing wind-down of the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asset impairment charges, (3) gain/loss on disposal of assets,</w:t>
      </w:r>
    </w:p>
    <w:p>
      <w:pPr>
        <w:jc w:val="both"/>
        <w:ind w:firstLine="8"/>
        <w:spacing w:after="0" w:line="252" w:lineRule="auto"/>
        <w:tabs>
          <w:tab w:leader="none" w:pos="2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$0.9 million related to a discretionary cash bonus payment to employee stock option holders in 2013 and a one-time contribution of $0.4 million to an educational trust in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(loss) for continuing operations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 2014</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33,923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21,827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(1,596)</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(2,404)</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(1,043)</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484</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w:t>
            </w:r>
          </w:p>
        </w:tc>
      </w:tr>
      <w:tr>
        <w:trPr>
          <w:trHeight w:val="27"/>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29,610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r>
      <w:tr>
        <w:trPr>
          <w:trHeight w:val="615"/>
        </w:trPr>
        <w:tc>
          <w:tcPr>
            <w:tcW w:w="516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 2013</w:t>
            </w:r>
          </w:p>
        </w:tc>
        <w:tc>
          <w:tcPr>
            <w:tcW w:w="4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32,572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18,717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contribution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453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w:t>
            </w:r>
          </w:p>
        </w:tc>
      </w:tr>
      <w:tr>
        <w:trPr>
          <w:trHeight w:val="27"/>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29,360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(27,530)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r>
      <w:tr>
        <w:trPr>
          <w:trHeight w:val="675"/>
        </w:trPr>
        <w:tc>
          <w:tcPr>
            <w:tcW w:w="5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811"/>
              <w:spacing w:after="0"/>
              <w:rPr>
                <w:sz w:val="20"/>
                <w:szCs w:val="20"/>
                <w:color w:val="auto"/>
              </w:rPr>
            </w:pPr>
            <w:r>
              <w:rPr>
                <w:rFonts w:ascii="Arial" w:cs="Arial" w:eastAsia="Arial" w:hAnsi="Arial"/>
                <w:sz w:val="18"/>
                <w:szCs w:val="18"/>
                <w:color w:val="auto"/>
              </w:rPr>
              <w:t>31</w:t>
            </w: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11"/>
        </w:trPr>
        <w:tc>
          <w:tcPr>
            <w:tcW w:w="110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 2012</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1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1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11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18,316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3,779</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(1,536)</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(1,991)</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3,101</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3,101</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1,483</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1,483</w:t>
            </w:r>
          </w:p>
        </w:tc>
      </w:tr>
      <w:tr>
        <w:trPr>
          <w:trHeight w:val="27"/>
        </w:trPr>
        <w:tc>
          <w:tcPr>
            <w:tcW w:w="1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15,385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r>
      <w:tr>
        <w:trPr>
          <w:trHeight w:val="27"/>
        </w:trPr>
        <w:tc>
          <w:tcPr>
            <w:tcW w:w="110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Except for cash and cash equivalents, we have no material sources of liquidity.</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 of December 31, 2014, we had $86.2 million of cash and cash equivalents and $18.7 million of restricted cash and cash equivalents, compared to $91.7 million of cash and cash equivalents and $26.0 million of restricted cash and cash equivalents as of December 31, 2013. We expect $12.1 million of the December 31, 2014 restricted cash noted above to be released from escrow in December 2015.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Management's Discussion and Analysis of Financial Condition and Results of Operations - Sale of Assets of LendingTree Loans for more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196"/>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9,075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10,238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1"/>
                <w:szCs w:val="21"/>
                <w:color w:val="auto"/>
              </w:rPr>
            </w:pP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(3,717)</w:t>
            </w: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(11,923)</w:t>
            </w:r>
          </w:p>
        </w:tc>
      </w:tr>
      <w:tr>
        <w:trPr>
          <w:trHeight w:val="20"/>
        </w:trPr>
        <w:tc>
          <w:tcPr>
            <w:tcW w:w="7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operating activities attributable to continuing operations in 2014 was $9.1 million and consisted primarily of positive adjustments for non-cash items of $12.2 million and cash used for working capital of $2.7 million. Adjustments for non-cash items consisted primarily of $7.4 million in non-cash compensation expense and $3.2 million of depreciation. Accounts receivable increased $1.2 million primarily due to increases in revenue. Accounts payable, accrued expenses and other current liabilities decreased $1.9 million, primarily due to payments of legal fees associated with the jury trial for the Zillow patent litigation and a $1.0 million payment to settle an earnout dispute related to an acquisition consummated prior to the spin-off, which was partially offset by a $2.3 million accrual in 2014 attributable to the court's partial award of attorneys' fees to NexTag in the Zillow patent litigation.</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attributable to continuing operations in 2013 was $10.2 million and consisted primarily of positive adjustments for non-cash items of $9.8 million and cash provided by working capital of $1.2 million. Adjustments for non-cash items consisted primarily of $5.6 million in non-cash compensation expense and $3.5 million of depreciation. Accounts receivable increased $3.6 million primarily due to increases in revenue. Accounts payable, accrued expenses and other current liabilities increased $6.2 million, primarily due to increased marketing efforts and a new branding campaign.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attributable to continuing operations in 2012 was $4.7 million and consisted of losses from continuing operations of $2.2 million, positive adjustments for non-cash items of $9.7 million and cash used for working capital of $12.2 million. Adjustments for non-cash items primarily consisted of $4.6 million of non-cash compensation expense and $4.1 million of depreciation. Accounts receivable increased by $6.0 million, reflecting increased revenue primarily from leads that would formerly have been provided to LendingTree Loans becoming available for sale on our mortgage marketplace. Accounts payable and other current liabilities decreased by $6.1 million, as we managed our net working capital position and paid previously incurred expenses from improved cash flow.</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investing activities attributable to continuing operations in 2014 of $2.7 million consisted primarily of capital expenditures of $3.9 million and $0.7 million in payments made to acquire a business, which was more than offset by a decrease in restricted cash of $7.3 million. In 2014, we reached and executed a settlement with the disputing party on the earnout related to an acquisition, upon which $2.0 million of cash previously held in escrow was released. Additionally, in 2014, we reached and executed a settlement with one of our LendingTree Loans' secondary market purchasers related to loan loss obligations, upon which $2.0 million of cash previously held in escrow was released. Finally, in 2014, we reached and executed a settlement with another secondary market purchaser related to loan loss obligations, upon which $3.1 million of cash previously held by such secondary market purchaser was paid out.</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2013 of $0.6 million consisted primarily of capital expenditures of $2.8 million, which was more than offset by a decrease in restricted cash of $3.4 million. The decrease in restricted cash is associated with a reduction in the collateral requirement for certain of our surety bonds, which are required by the various states in which we currently operate or previously operated. As a result, $4.0 million of cash previously held in escrow was released.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2012 of $3.7 million resulted primarily from capital expenditures of $2.6 million and an increase in restricted cash of $1.1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financing activities attributable to continuing operations in 2014 of $7.7 million consisted primarily of the vesting and issuance of stock to employees (less withholding taxes) of $4.8 million and the repurchase of our stock of $2.6 million.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financing activities attributable to continuing operations in 2013 of $6.0 million consisted primarily of the vesting and issuance of stock to employees (less withholding taxes) of $2.8 million and the repurchase of our stock of $3.3 million.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in 2012 of $11.9 million was primarily due to a special dividend of $11.4 million, the repurchase of our stock of $0.9 million and the issuance of common stock to employees (less withholding taxes) of $0.8 million, partially offset by a decrease in restricted cash requirements of $1.2 million related to warehouse lines of credit.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Warehouse Lines of Credit for LendingTree Loans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We have no off-balance sheet arrangements other than our operating lease obligations and funding commitments pursuant to our surety bonds.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10—Commitments to the consolidated financial statements included elsewhere in the report for further details.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center"/>
              <w:ind w:right="96"/>
              <w:spacing w:after="0"/>
              <w:rPr>
                <w:sz w:val="20"/>
                <w:szCs w:val="20"/>
                <w:color w:val="auto"/>
              </w:rPr>
            </w:pPr>
            <w:r>
              <w:rPr>
                <w:rFonts w:ascii="Arial" w:cs="Arial" w:eastAsia="Arial" w:hAnsi="Arial"/>
                <w:sz w:val="14"/>
                <w:szCs w:val="14"/>
                <w:b w:val="1"/>
                <w:bCs w:val="1"/>
                <w:color w:val="auto"/>
                <w:w w:val="91"/>
              </w:rPr>
              <w:t>Payments Due By Period as of December 31, 2014</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25"/>
                <w:szCs w:val="25"/>
                <w:b w:val="1"/>
                <w:bCs w:val="1"/>
                <w:color w:val="auto"/>
                <w:vertAlign w:val="superscript"/>
              </w:rPr>
              <w:t>(a)</w:t>
            </w:r>
          </w:p>
        </w:tc>
        <w:tc>
          <w:tcPr>
            <w:tcW w:w="340" w:type="dxa"/>
            <w:vAlign w:val="bottom"/>
          </w:tcPr>
          <w:p>
            <w:pPr>
              <w:spacing w:after="0"/>
              <w:rPr>
                <w:sz w:val="13"/>
                <w:szCs w:val="13"/>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0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1-3 Years</w:t>
            </w:r>
          </w:p>
        </w:tc>
        <w:tc>
          <w:tcPr>
            <w:tcW w:w="28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114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potential obligations under surety bonds and the indemnification obligations, repurchase obligations and premium repayment obligations for which our HLC subsidiary continues to be liable following the sale of substantially all of the operating assets of our LendingTree Loans business in the second quarter of 2012.</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equipment and services used in both our continuing and discontinued operations. These obligations have not been reduced by the $0.1 million of minimum sublease rental income to be received in the future under non-cancelable subleases.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Loss Obligations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HLC subsidiary continues to be liable for these indemnification obligations, repurchase obligations and premium repayment obligations following the sale of substantially all of the operating assets of our LendingTree Loans business on June 6, 2012. Approximately $16.1 million is being held in escrow pending resolution of certain of these contingent liabilities. As a result of a settlement agreement in 2014 with a secondary market purchaser of loans, we expect $12.1 million of such amount to be released from escrow in December 2015. We have been negotiating with certain secondary market purchasers to settle any existing and future contingent liabilities, but we may not be able to complete such negotiations on acceptable terms, or at all.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estimate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We then apply a settlement discount factor to the result of the foregoing to reflect publicly- announced bulk settlements for similar loan types and vintages, our own settlement experience, as well as LendingTree Loans' non-operating status, in order to estimate a range of the potential obligation. Changes to any one of these factors could significantly impact the estimate of the liability and could have a material and adverse impact on our results of operations for any particular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considered both objective and subjective factors in our estimation process, but given current general industry trends in mortgage loans as well as housing prices, market expectations and actual losses related to LendingTree Loans' obligations could vary significantly from the obligation recorded as of December 31, 2014 of $8.8 million or the range of remaining loan losses of $6.3 million to $11.2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15—Discontinued Operations— LendingTree Loans—Loan Loss Obligations to the consolidated financial statements included elsewhere in this report for additional information on the loan loss reserve.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Goodwill and Indefinite-Lived Intangible Assets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and a market approach, with each method being equally weighted in the calculation. The discounted cash flow analysis requires us to make assumptions and judgments related to factors used in the calculation, including, but not limited to, management’s expectations for future operations and projected cash flows.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goodwill impairment test as of October 1, 2014 included the following key assumptions: a discounted cash flow model utilizing a discount rate of 12%, a terminal growth rate of 3% and Adjusted EBITDA margin rates of 10%-16% of revenue from 2014 through 2022. Results of testing indicated a fair value well in excess of the carrying value of our goodwill.</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material assumptions included in the annual indefinite-lived intangible assets impairment test as of October 1, 2014 were an assumed relief-from-royalty model, a discount rate of 12%, a terminal growth rate of 3% and a royalty rate of 5%. Results of testing indicated a fair value well in excess of the carrying value of our indefinite-lived intangible assets.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any material changes in the near term to the assumptions underlying these tests of impairment at October 1, 2014.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value of goodwill and indefinite-lived intangible assets that is subject to assessment for impairment is $3.6 million and $10.1 million, respectively, at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2014, we lost key customers and experienced a decline in revenue for a certain product included within the Education business. Accordingly, in early 2015, we amended our strategic course for this product, resulting in a reduction in anticipated future cash flows. At December 31, 2014, we reviewed the long-lived assets associated with this product for recoverability, resulting in an impairment charge to customer lists and internally developed software of approximately $0.8 million. The fair value of the long-lived assets was determined using a discounted cash flow model. The impairment charge is included in general and administrative expense on the accompanying consolidated statement of operations and comprehensive income and the "Other" category in the reconciliation of segment information in Note 16—Segment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long-lived assets subject to assessment for impairment is $6.3 million at December 31, 2014.</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9—Income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At December 31, 2014, we have recorded a full valuation allowance of $40.1 million. As of each reporting date, management considers both positive and negative evidence regarding the likelihood of future realization of the deferred tax assets. A significant piece of objective negative evidence evaluated was the tax losses (excluding one-time gains) over the prior three years. Such objective evidence limits the ability to consider other subjective evidence such as our projections for future growth.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forms of stock-based awards granted to our employees are principally restricted stock units ("RSUs"), restricted stock and stock options. The value of RSU and restricted stock awards is measured at their grant dates as the fair value of common stock and amortized ratably as non-cash compensation expense over the vesting term. The value of stock options issued, as discussed in Note 8—Stock-Based Compensation to the consolidated financial statements included elsewhere in this report, is estimated using a Black-Scholes option pricing model. If an award is modified, we determine if the modification requires a new calculation of fair value or change in the vesting term of the award.</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there was approximately $10.9 million, $5.8 million and $2.2 million of unrecognized compensation cost, net of estimated forfeitures, related to stock options, RSUs and restricted stock, respectively. These costs are expected to be recognized over a weighted-average period of approximately 3.0 years for stock options, 1.7 years for RSUs and 1.9 years for restricted stock.</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financial instruments that are exposed to significant market risk. We maintain our cash and cash equivalents in short-term, highly liquid money market investments. A hypothetical 100-basis increase or decrease in market interest rates would not have a material impact on the fair value of our cash equivalents securities, our results of operations or cash flows.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color w:val="auto"/>
              </w:rPr>
              <w:t>LENDINGTREE, INC. AND SUBSIDIARIES:</w:t>
            </w:r>
          </w:p>
        </w:tc>
        <w:tc>
          <w:tcPr>
            <w:tcW w:w="4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b w:val="1"/>
                <w:bCs w:val="1"/>
                <w:i w:val="1"/>
                <w:iCs w:val="1"/>
                <w:color w:val="0000EE"/>
              </w:rPr>
              <w:t>Report of Independent Registered Public Accounting Firm</w:t>
            </w:r>
          </w:p>
        </w:tc>
        <w:tc>
          <w:tcPr>
            <w:tcW w:w="5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38</w:t>
              </w:r>
            </w:hyperlink>
          </w:p>
        </w:tc>
      </w:tr>
      <w:tr>
        <w:trPr>
          <w:trHeight w:val="574"/>
        </w:trPr>
        <w:tc>
          <w:tcPr>
            <w:tcW w:w="4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020" w:type="dxa"/>
            <w:vAlign w:val="bottom"/>
            <w:tcBorders>
              <w:bottom w:val="single" w:sz="8" w:color="0000FF"/>
            </w:tcBorders>
            <w:gridSpan w:val="6"/>
          </w:tcPr>
          <w:p>
            <w:pPr>
              <w:spacing w:after="0"/>
              <w:rPr>
                <w:rFonts w:ascii="Arial" w:cs="Arial" w:eastAsia="Arial" w:hAnsi="Arial"/>
                <w:sz w:val="18"/>
                <w:szCs w:val="18"/>
                <w:b w:val="1"/>
                <w:bCs w:val="1"/>
                <w:i w:val="1"/>
                <w:iCs w:val="1"/>
                <w:color w:val="0000FF"/>
                <w:w w:val="85"/>
              </w:rPr>
            </w:pPr>
            <w:hyperlink w:anchor="page38">
              <w:r>
                <w:rPr>
                  <w:rFonts w:ascii="Arial" w:cs="Arial" w:eastAsia="Arial" w:hAnsi="Arial"/>
                  <w:sz w:val="18"/>
                  <w:szCs w:val="18"/>
                  <w:b w:val="1"/>
                  <w:bCs w:val="1"/>
                  <w:i w:val="1"/>
                  <w:iCs w:val="1"/>
                  <w:color w:val="0000FF"/>
                  <w:w w:val="85"/>
                </w:rPr>
                <w:t xml:space="preserve">Consolidated Statements of Operations </w:t>
              </w:r>
            </w:hyperlink>
            <w:r>
              <w:rPr>
                <w:rFonts w:ascii="Arial" w:cs="Arial" w:eastAsia="Arial" w:hAnsi="Arial"/>
                <w:sz w:val="18"/>
                <w:szCs w:val="18"/>
                <w:b w:val="1"/>
                <w:bCs w:val="1"/>
                <w:i w:val="1"/>
                <w:iCs w:val="1"/>
                <w:color w:val="0000FF"/>
                <w:w w:val="85"/>
              </w:rPr>
              <w:t>and Comprehensive Income</w:t>
            </w:r>
          </w:p>
        </w:tc>
        <w:tc>
          <w:tcPr>
            <w:tcW w:w="120" w:type="dxa"/>
            <w:vAlign w:val="bottom"/>
          </w:tcPr>
          <w:p>
            <w:pPr>
              <w:spacing w:after="0"/>
              <w:rPr>
                <w:sz w:val="19"/>
                <w:szCs w:val="19"/>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250"/>
        </w:trPr>
        <w:tc>
          <w:tcPr>
            <w:tcW w:w="340" w:type="dxa"/>
            <w:vAlign w:val="bottom"/>
          </w:tcPr>
          <w:p>
            <w:pPr>
              <w:spacing w:after="0"/>
              <w:rPr>
                <w:sz w:val="21"/>
                <w:szCs w:val="21"/>
                <w:color w:val="auto"/>
              </w:rPr>
            </w:pPr>
          </w:p>
        </w:tc>
        <w:tc>
          <w:tcPr>
            <w:tcW w:w="2160" w:type="dxa"/>
            <w:vAlign w:val="bottom"/>
            <w:tcBorders>
              <w:bottom w:val="single" w:sz="8" w:color="0000EE"/>
            </w:tcBorders>
          </w:tcPr>
          <w:p>
            <w:pPr>
              <w:spacing w:after="0"/>
              <w:rPr>
                <w:rFonts w:ascii="Arial" w:cs="Arial" w:eastAsia="Arial" w:hAnsi="Arial"/>
                <w:sz w:val="18"/>
                <w:szCs w:val="18"/>
                <w:b w:val="1"/>
                <w:bCs w:val="1"/>
                <w:i w:val="1"/>
                <w:iCs w:val="1"/>
                <w:color w:val="0000EE"/>
                <w:w w:val="84"/>
              </w:rPr>
            </w:pPr>
            <w:hyperlink w:anchor="page39">
              <w:r>
                <w:rPr>
                  <w:rFonts w:ascii="Arial" w:cs="Arial" w:eastAsia="Arial" w:hAnsi="Arial"/>
                  <w:sz w:val="18"/>
                  <w:szCs w:val="18"/>
                  <w:b w:val="1"/>
                  <w:bCs w:val="1"/>
                  <w:i w:val="1"/>
                  <w:iCs w:val="1"/>
                  <w:color w:val="0000EE"/>
                  <w:w w:val="84"/>
                </w:rPr>
                <w:t>Consolidated Balance Sheets</w:t>
              </w:r>
            </w:hyperlink>
          </w:p>
        </w:tc>
        <w:tc>
          <w:tcPr>
            <w:tcW w:w="2980" w:type="dxa"/>
            <w:vAlign w:val="bottom"/>
            <w:gridSpan w:val="6"/>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40</w:t>
              </w:r>
            </w:hyperlink>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40">
              <w:r>
                <w:rPr>
                  <w:rFonts w:ascii="Arial" w:cs="Arial" w:eastAsia="Arial" w:hAnsi="Arial"/>
                  <w:sz w:val="18"/>
                  <w:szCs w:val="18"/>
                  <w:b w:val="1"/>
                  <w:bCs w:val="1"/>
                  <w:i w:val="1"/>
                  <w:iCs w:val="1"/>
                  <w:color w:val="0000EE"/>
                </w:rPr>
                <w:t>Consolidated Statements of Shareholders' Equity</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r>
      <w:tr>
        <w:trPr>
          <w:trHeight w:val="250"/>
        </w:trPr>
        <w:tc>
          <w:tcPr>
            <w:tcW w:w="340" w:type="dxa"/>
            <w:vAlign w:val="bottom"/>
          </w:tcPr>
          <w:p>
            <w:pPr>
              <w:spacing w:after="0"/>
              <w:rPr>
                <w:sz w:val="21"/>
                <w:szCs w:val="21"/>
                <w:color w:val="auto"/>
              </w:rPr>
            </w:pPr>
          </w:p>
        </w:tc>
        <w:tc>
          <w:tcPr>
            <w:tcW w:w="3640" w:type="dxa"/>
            <w:vAlign w:val="bottom"/>
            <w:tcBorders>
              <w:top w:val="single" w:sz="8" w:color="0000EE"/>
            </w:tcBorders>
            <w:gridSpan w:val="4"/>
          </w:tcPr>
          <w:p>
            <w:pPr>
              <w:spacing w:after="0"/>
              <w:rPr>
                <w:rFonts w:ascii="Arial" w:cs="Arial" w:eastAsia="Arial" w:hAnsi="Arial"/>
                <w:sz w:val="18"/>
                <w:szCs w:val="18"/>
                <w:b w:val="1"/>
                <w:bCs w:val="1"/>
                <w:i w:val="1"/>
                <w:iCs w:val="1"/>
                <w:color w:val="0000EE"/>
              </w:rPr>
            </w:pPr>
            <w:hyperlink w:anchor="page41">
              <w:r>
                <w:rPr>
                  <w:rFonts w:ascii="Arial" w:cs="Arial" w:eastAsia="Arial" w:hAnsi="Arial"/>
                  <w:sz w:val="18"/>
                  <w:szCs w:val="18"/>
                  <w:b w:val="1"/>
                  <w:bCs w:val="1"/>
                  <w:i w:val="1"/>
                  <w:iCs w:val="1"/>
                  <w:color w:val="0000EE"/>
                </w:rPr>
                <w:t>Consolidated Statements of Cash Flows</w:t>
              </w:r>
            </w:hyperlink>
          </w:p>
        </w:tc>
        <w:tc>
          <w:tcPr>
            <w:tcW w:w="1500" w:type="dxa"/>
            <w:vAlign w:val="bottom"/>
            <w:gridSpan w:val="3"/>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42</w:t>
              </w:r>
            </w:hyperlink>
          </w:p>
        </w:tc>
      </w:tr>
      <w:tr>
        <w:trPr>
          <w:trHeight w:val="20"/>
        </w:trPr>
        <w:tc>
          <w:tcPr>
            <w:tcW w:w="3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42">
              <w:r>
                <w:rPr>
                  <w:rFonts w:ascii="Arial" w:cs="Arial" w:eastAsia="Arial" w:hAnsi="Arial"/>
                  <w:sz w:val="18"/>
                  <w:szCs w:val="18"/>
                  <w:b w:val="1"/>
                  <w:bCs w:val="1"/>
                  <w:i w:val="1"/>
                  <w:iCs w:val="1"/>
                  <w:color w:val="0000EE"/>
                </w:rPr>
                <w:t>Notes to Consolidated Financial Statements</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43</w:t>
              </w:r>
            </w:hyperlink>
          </w:p>
        </w:tc>
      </w:tr>
      <w:tr>
        <w:trPr>
          <w:trHeight w:val="723"/>
        </w:trPr>
        <w:tc>
          <w:tcPr>
            <w:tcW w:w="3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jc w:val="right"/>
              <w:ind w:right="3930"/>
              <w:spacing w:after="0"/>
              <w:rPr>
                <w:sz w:val="20"/>
                <w:szCs w:val="20"/>
                <w:color w:val="auto"/>
              </w:rPr>
            </w:pPr>
            <w:r>
              <w:rPr>
                <w:rFonts w:ascii="Arial" w:cs="Arial" w:eastAsia="Arial" w:hAnsi="Arial"/>
                <w:sz w:val="18"/>
                <w:szCs w:val="18"/>
                <w:color w:val="auto"/>
              </w:rPr>
              <w:t>37</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shareholders’ equity and cash flows present fairly, in all material respects, the financial position of LendingTree, Inc. (formerly known as Tree.com,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were integrated audits in 2014 and 2013).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center"/>
              <w:ind w:left="491"/>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Arial" w:cs="Arial" w:eastAsia="Arial" w:hAnsi="Arial"/>
                <w:sz w:val="16"/>
                <w:szCs w:val="16"/>
                <w:b w:val="1"/>
                <w:bCs w:val="1"/>
                <w:color w:val="auto"/>
                <w:w w:val="95"/>
              </w:rPr>
              <w:t>2013</w:t>
            </w:r>
          </w:p>
        </w:tc>
        <w:tc>
          <w:tcPr>
            <w:tcW w:w="3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2012</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r>
      <w:tr>
        <w:trPr>
          <w:trHeight w:val="189"/>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jc w:val="center"/>
              <w:ind w:right="1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167,350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139,240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77,443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7,903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6,542</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112,704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91,121</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48,934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25,883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24,658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7,457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5,264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3,529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3,245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10,618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8,955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168,319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140,347</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80,294</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(1,107)</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(487)</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(673)</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9,849</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(4,941)</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24,501</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9,849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4,620</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48,874</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9,362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3,947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46,625</w:t>
            </w:r>
          </w:p>
        </w:tc>
      </w:tr>
      <w:tr>
        <w:trPr>
          <w:trHeight w:val="34"/>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11,188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11,035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11,188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11,035</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10,695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discontinued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0"/>
        </w:trPr>
        <w:tc>
          <w:tcPr>
            <w:tcW w:w="778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940" w:type="dxa"/>
            <w:vAlign w:val="bottom"/>
            <w:shd w:val="clear" w:color="auto" w:fill="999999"/>
          </w:tcPr>
          <w:p>
            <w:pPr>
              <w:spacing w:after="0" w:line="20" w:lineRule="exact"/>
              <w:rPr>
                <w:sz w:val="1"/>
                <w:szCs w:val="1"/>
                <w:color w:val="auto"/>
              </w:rPr>
            </w:pPr>
          </w:p>
        </w:tc>
        <w:tc>
          <w:tcPr>
            <w:tcW w:w="320" w:type="dxa"/>
            <w:vAlign w:val="bottom"/>
            <w:shd w:val="clear" w:color="auto" w:fill="999999"/>
          </w:tcPr>
          <w:p>
            <w:pPr>
              <w:spacing w:after="0" w:line="20" w:lineRule="exact"/>
              <w:rPr>
                <w:sz w:val="1"/>
                <w:szCs w:val="1"/>
                <w:color w:val="auto"/>
              </w:rPr>
            </w:pPr>
          </w:p>
        </w:tc>
        <w:tc>
          <w:tcPr>
            <w:tcW w:w="920" w:type="dxa"/>
            <w:vAlign w:val="bottom"/>
            <w:shd w:val="clear" w:color="auto" w:fill="999999"/>
          </w:tcPr>
          <w:p>
            <w:pPr>
              <w:spacing w:after="0" w:line="20" w:lineRule="exact"/>
              <w:rPr>
                <w:sz w:val="1"/>
                <w:szCs w:val="1"/>
                <w:color w:val="auto"/>
              </w:rPr>
            </w:pPr>
          </w:p>
        </w:tc>
        <w:tc>
          <w:tcPr>
            <w:tcW w:w="380" w:type="dxa"/>
            <w:vAlign w:val="bottom"/>
            <w:shd w:val="clear" w:color="auto" w:fill="999999"/>
          </w:tcPr>
          <w:p>
            <w:pPr>
              <w:spacing w:after="0" w:line="20" w:lineRule="exact"/>
              <w:rPr>
                <w:sz w:val="1"/>
                <w:szCs w:val="1"/>
                <w:color w:val="auto"/>
              </w:rPr>
            </w:pPr>
          </w:p>
        </w:tc>
        <w:tc>
          <w:tcPr>
            <w:tcW w:w="820" w:type="dxa"/>
            <w:vAlign w:val="bottom"/>
            <w:shd w:val="clear" w:color="auto" w:fill="999999"/>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2014</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2013</w:t>
            </w:r>
          </w:p>
        </w:tc>
      </w:tr>
      <w:tr>
        <w:trPr>
          <w:trHeight w:val="156"/>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3"/>
          </w:tcPr>
          <w:p>
            <w:pPr>
              <w:jc w:val="right"/>
              <w:ind w:right="511"/>
              <w:spacing w:after="0" w:line="157" w:lineRule="exact"/>
              <w:rPr>
                <w:sz w:val="20"/>
                <w:szCs w:val="20"/>
                <w:color w:val="auto"/>
              </w:rPr>
            </w:pPr>
            <w:r>
              <w:rPr>
                <w:rFonts w:ascii="Arial" w:cs="Arial" w:eastAsia="Arial" w:hAnsi="Arial"/>
                <w:sz w:val="14"/>
                <w:szCs w:val="14"/>
                <w:b w:val="1"/>
                <w:bCs w:val="1"/>
                <w:i w:val="1"/>
                <w:iCs w:val="1"/>
                <w:color w:val="auto"/>
              </w:rPr>
              <w:t>(in thousands, except par value</w:t>
            </w:r>
          </w:p>
        </w:tc>
      </w:tr>
      <w:tr>
        <w:trPr>
          <w:trHeight w:val="188"/>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tcPr>
          <w:p>
            <w:pPr>
              <w:jc w:val="right"/>
              <w:ind w:right="851"/>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86,212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91,667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18,716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$349 and $408, respectively</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13,611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12,850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521</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119,659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132,744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5,257</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5,344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11,141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10,684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139,891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270"/>
        </w:trPr>
        <w:tc>
          <w:tcPr>
            <w:tcW w:w="8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4,881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25,521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15)</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12,055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32,004</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38,636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60,199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4,738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43,525</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65,636</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(Notes 10 and 11)</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$.01 par value; 50,000,000 shares authorized; 12,854,517 and 12,619,835 shares issued,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and 11,386,240 and 11,250,903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909,751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907,148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(798,171)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1,468,277 and 1,368,932 shares, respectively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(15,343)</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(12,733)</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96,366</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87,008</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139,891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34"/>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6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3"/>
              </w:rPr>
              <w:t>(in thousands)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45,471</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911,990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(858,105)</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6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46,625</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46,625</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4,756</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4,756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(880)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(12,236)</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(814)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82,922</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903,692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(811,480)</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6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3,947</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3,947</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5,629</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5,629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(3,321)</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637</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(2,806)</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(2,810)</w:t>
            </w:r>
          </w:p>
        </w:tc>
        <w:tc>
          <w:tcPr>
            <w:tcW w:w="20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87,008</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12,620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907,148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(807,533)</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6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9,362</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9,362</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7,446</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7,446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(2,610)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(4,812)</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(4,815)</w:t>
            </w:r>
          </w:p>
        </w:tc>
        <w:tc>
          <w:tcPr>
            <w:tcW w:w="20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96,366</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909,751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(798,171)</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(15,343)</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196"/>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b w:val="1"/>
                <w:bCs w:val="1"/>
                <w:color w:val="auto"/>
              </w:rPr>
              <w:t>Net income and comprehensive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9,362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3,947</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46,625</w:t>
            </w:r>
          </w:p>
        </w:tc>
      </w:tr>
      <w:tr>
        <w:trPr>
          <w:trHeight w:val="203"/>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Less: Income from discontinued operations, net of tax</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(9,849)</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(48,874)</w:t>
            </w:r>
          </w:p>
        </w:tc>
      </w:tr>
      <w:tr>
        <w:trPr>
          <w:trHeight w:val="196"/>
        </w:trPr>
        <w:tc>
          <w:tcPr>
            <w:tcW w:w="8000" w:type="dxa"/>
            <w:vAlign w:val="bottom"/>
          </w:tcPr>
          <w:p>
            <w:pPr>
              <w:ind w:left="180"/>
              <w:spacing w:after="0"/>
              <w:rPr>
                <w:sz w:val="20"/>
                <w:szCs w:val="20"/>
                <w:color w:val="auto"/>
              </w:rPr>
            </w:pPr>
            <w:r>
              <w:rPr>
                <w:rFonts w:ascii="Arial" w:cs="Arial" w:eastAsia="Arial" w:hAnsi="Arial"/>
                <w:sz w:val="14"/>
                <w:szCs w:val="14"/>
                <w:color w:val="auto"/>
              </w:rPr>
              <w:t>Loss from continuing operations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(673)</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(2,249)</w:t>
            </w:r>
          </w:p>
        </w:tc>
      </w:tr>
      <w:tr>
        <w:trPr>
          <w:trHeight w:val="163"/>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loss from continuing operations to net cash provided by (used in) operating activities attributable to</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747</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long-lived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Amortization of intangibles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4,105</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7,446</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5,627</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4,587</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Bad debt expense (benefit)</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current assets and liabilities: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7"/>
        </w:trPr>
        <w:tc>
          <w:tcPr>
            <w:tcW w:w="800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(1,228)</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(3,614)</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(6,011)</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(1,935)</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6,157</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(6,123)</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7"/>
        </w:trPr>
        <w:tc>
          <w:tcPr>
            <w:tcW w:w="8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r>
      <w:tr>
        <w:trPr>
          <w:trHeight w:val="210"/>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9,075</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10,238</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w:t>
            </w:r>
          </w:p>
        </w:tc>
      </w:tr>
      <w:tr>
        <w:trPr>
          <w:trHeight w:val="196"/>
        </w:trPr>
        <w:tc>
          <w:tcPr>
            <w:tcW w:w="8000" w:type="dxa"/>
            <w:vAlign w:val="bottom"/>
          </w:tcPr>
          <w:p>
            <w:pPr>
              <w:ind w:left="4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Acquisition of a business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(740)</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Decrease (increase) in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7,300</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3,397</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w:t>
            </w:r>
          </w:p>
        </w:tc>
      </w:tr>
      <w:tr>
        <w:trPr>
          <w:trHeight w:val="21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2,704</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647</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(3,717)</w:t>
            </w:r>
          </w:p>
        </w:tc>
      </w:tr>
      <w:tr>
        <w:trPr>
          <w:trHeight w:val="202"/>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8000" w:type="dxa"/>
            <w:vAlign w:val="bottom"/>
          </w:tcPr>
          <w:p>
            <w:pPr>
              <w:ind w:left="180"/>
              <w:spacing w:after="0"/>
              <w:rPr>
                <w:sz w:val="20"/>
                <w:szCs w:val="20"/>
                <w:color w:val="auto"/>
              </w:rPr>
            </w:pPr>
            <w:r>
              <w:rPr>
                <w:rFonts w:ascii="Arial" w:cs="Arial" w:eastAsia="Arial" w:hAnsi="Arial"/>
                <w:sz w:val="14"/>
                <w:szCs w:val="14"/>
                <w:color w:val="auto"/>
              </w:rPr>
              <w:t>Payments related to net-share settlement of stock -based compensation, net of proceeds from exercise of stock options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(4,812)</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(2,806)</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(815)</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(11,428)</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Decrease in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196"/>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used in financing activities attributable to continuing operations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(7,651)</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(11,923)</w:t>
            </w:r>
          </w:p>
        </w:tc>
      </w:tr>
      <w:tr>
        <w:trPr>
          <w:trHeight w:val="210"/>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provided by (used in)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4,128</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4,902</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(20,362)</w:t>
            </w:r>
          </w:p>
        </w:tc>
      </w:tr>
      <w:tr>
        <w:trPr>
          <w:trHeight w:val="210"/>
        </w:trPr>
        <w:tc>
          <w:tcPr>
            <w:tcW w:w="800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(used in) operating activities attributable to discontinued operations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226,747</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Net cash provided by investing activities attributable to discontinued operations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25,923</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used in financing activities attributable to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(197,659)</w:t>
            </w:r>
          </w:p>
        </w:tc>
      </w:tr>
      <w:tr>
        <w:trPr>
          <w:trHeight w:val="21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cash provided by (used in) discontinued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(9,583)</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6,575</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55,011</w:t>
            </w:r>
          </w:p>
        </w:tc>
      </w:tr>
      <w:tr>
        <w:trPr>
          <w:trHeight w:val="21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11,477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34,649</w:t>
            </w:r>
          </w:p>
        </w:tc>
      </w:tr>
      <w:tr>
        <w:trPr>
          <w:trHeight w:val="21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91,667</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80,190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45,541</w:t>
            </w:r>
          </w:p>
        </w:tc>
      </w:tr>
      <w:tr>
        <w:trPr>
          <w:trHeight w:val="223"/>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86,212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91,667</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80,190</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Interest 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1,308</w:t>
            </w:r>
          </w:p>
        </w:tc>
      </w:tr>
      <w:tr>
        <w:trPr>
          <w:trHeight w:val="22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payments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r>
      <w:tr>
        <w:trPr>
          <w:trHeight w:val="191"/>
        </w:trPr>
        <w:tc>
          <w:tcPr>
            <w:tcW w:w="8000" w:type="dxa"/>
            <w:vAlign w:val="bottom"/>
          </w:tcPr>
          <w:p>
            <w:pPr>
              <w:ind w:left="180"/>
              <w:spacing w:after="0"/>
              <w:rPr>
                <w:sz w:val="20"/>
                <w:szCs w:val="20"/>
                <w:color w:val="auto"/>
              </w:rPr>
            </w:pPr>
            <w:r>
              <w:rPr>
                <w:rFonts w:ascii="Arial" w:cs="Arial" w:eastAsia="Arial" w:hAnsi="Arial"/>
                <w:sz w:val="14"/>
                <w:szCs w:val="14"/>
                <w:color w:val="auto"/>
              </w:rPr>
              <w:t>Income tax refunds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("LendingTree" or the "Company"), formerly known as Tree.com, Inc., is the parent of LendingTree, LLC and several companies owned by LendingTree, LLC.</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a broad array of loan types and other credit-based offerings. The Company offers consumers tools and resources, including free credit scores, that help them to comparison-shop for mortgage loans, home equity loans and lines of credit, reverse mortgages, personal loans, auto loans, student loans, credit cards, small business loans and other related offerings. The Company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inquiries it generates with these lenders.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amounts from the prior consolidated financial statements have been reclassified to conform to the presentation adopted in the current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20, 2008, LendingTree was spun off from its parent company, IAC/InterActiveCorp ("IAC"), into a separate publicly-traded company. In connection with the spin-off, LendingTree was incorporated as a Delaware corporation in April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businesses of RealEstate.com, REALTORS® (which represent the former Real Estate segment) and LendingTree Loans are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15 </w:t>
      </w:r>
      <w:r>
        <w:rPr>
          <w:rFonts w:ascii="Arial" w:cs="Arial" w:eastAsia="Arial" w:hAnsi="Arial"/>
          <w:sz w:val="16"/>
          <w:szCs w:val="16"/>
          <w:b w:val="1"/>
          <w:bCs w:val="1"/>
          <w:color w:val="auto"/>
        </w:rPr>
        <w:t>—</w:t>
      </w:r>
      <w:r>
        <w:rPr>
          <w:rFonts w:ascii="Arial" w:cs="Arial" w:eastAsia="Arial" w:hAnsi="Arial"/>
          <w:sz w:val="16"/>
          <w:szCs w:val="16"/>
          <w:color w:val="auto"/>
        </w:rPr>
        <w:t>Discontinued Operations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accompanying consolidated financial statements as of December 31, 2014 and 2013, respectively, and for the years ended December 31, 2014, 2013 and 2012, respectively, have been prepared in accordance with accounting principles generally accepted in the United States of America ("GAAP") and pursuant to the rules and regulations of the U.S. Securities and Exchange Commission ("SEC").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derives its revenue primarily from match fees, which are earned through the delivery of qualified leads that originated through one of its websites or affiliates. The Company recognizes revenue when persuasive evidence of an arrangement exists, delivery has occurred, the fee is fixed or determinable and collectability is reasonably assured. Delivery is deemed to have occurred at the time a qualified lead is delivered to the customer, provided that no significant obligations remain.</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also derives revenues from lenders for closing fees on certain auto, business and personal loan products when a transaction is closed with the consumer. Closed loan fees and closed sale fees are recognized at the time the lender reports the closed loan or closed sale to the Company, which could be several months after the original request form is transmitted.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January 2013, the Company also derived revenue from lenders for closing fees on home equity loan products, which were recognized in the same manner as the closed loan fees on its auto loan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addition, during the years ended December 31, 2013 and 2012, the Company recognized approximately $0.6 million and $1.9 million of revenue, respectively, from marketing-related services provided to Discover Bank ("Discover"), a wholly owned subsidiary of Discover Financial Services. Revenue from these services was recognized in the period the services were provided.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15—Discontinued Operations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determines its allowance for doubtful accounts by considering a number of factors, including the length of time accounts receivable are past due, previous loss history and the specific customer's current ability to pay its obligation. Accounts receivable are considered past due when they are outstanding longer than the contractual payment terms. Accounts receivable are written off when management deems them uncollectible.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503</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w:t>
            </w:r>
          </w:p>
        </w:tc>
        <w:tc>
          <w:tcPr>
            <w:tcW w:w="480" w:type="dxa"/>
            <w:vAlign w:val="bottom"/>
          </w:tcPr>
          <w:p>
            <w:pPr>
              <w:spacing w:after="0"/>
              <w:rPr>
                <w:sz w:val="21"/>
                <w:szCs w:val="21"/>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406</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(265)</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w:t>
            </w:r>
          </w:p>
        </w:tc>
        <w:tc>
          <w:tcPr>
            <w:tcW w:w="4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408</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503</w:t>
            </w:r>
          </w:p>
        </w:tc>
      </w:tr>
      <w:tr>
        <w:trPr>
          <w:trHeight w:val="34"/>
        </w:trPr>
        <w:tc>
          <w:tcPr>
            <w:tcW w:w="7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 (Discontinued Operations)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Home Loan Center, Inc. ("HLC") subsidiary, which during its period of active operation primarily conducted business as 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or there are early payment defaults, LendingTree Loans may be required to repurchase loans or indemnify the investors for any losses from borrower defaults. LendingTree Loans maintains a liability for the estimated exposure relating to such contingent obligations and changes to the estimate are recorded in income from discontinued operations in the periods they occur.</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estimates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The Company then applies a settlement discount factor to the result of the foregoing to reflect publicly announced bulk settlements for similar loan types and vintages, the Company's own settlement experience, as well as LendingTree Loans' non-operating status, in order to estimate a range of potential liability. Changes to any one of these factors could significantly impact the estimate of the liability and could have a material impact on the Company's results of operations for any particular period.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15—Discontinued Operations— LendingTree Loans—Loan Loss Obligations for additional information on the loan loss reserve.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four operating segments: lending, auto, education and home services. The lending operating segment is in the Company's core business of lead generation in the lending marketplace, matching consumers looking for lending products with marketplace lenders. Similarly, the auto, education and home services businesses match consumers with auto financing providers and dealers, prospective students with educational institutions and agencies, and homeowners with home improvement professionals, respectively.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review of these operating segments at December 31, 2014 indicates that only its lending operating segment meets the quantitative threshold to be reported as a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including internally-developed software and significant improvements, are recorded at cost less accumulated depreciation.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and any gains or losses on dispositions are recognized as incurred in current operations.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Borders>
              <w:bottom w:val="single" w:sz="8" w:color="auto"/>
            </w:tcBorders>
          </w:tcPr>
          <w:p>
            <w:pPr>
              <w:jc w:val="center"/>
              <w:ind w:left="1634"/>
              <w:spacing w:after="0"/>
              <w:rPr>
                <w:sz w:val="20"/>
                <w:szCs w:val="20"/>
                <w:color w:val="auto"/>
              </w:rPr>
            </w:pPr>
            <w:r>
              <w:rPr>
                <w:rFonts w:ascii="Arial" w:cs="Arial" w:eastAsia="Arial" w:hAnsi="Arial"/>
                <w:sz w:val="14"/>
                <w:szCs w:val="14"/>
                <w:b w:val="1"/>
                <w:bCs w:val="1"/>
                <w:color w:val="auto"/>
                <w:w w:val="91"/>
              </w:rPr>
              <w:t>Estimated Useful Lives</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1 to 5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jc w:val="center"/>
              <w:ind w:left="1654"/>
              <w:spacing w:after="0"/>
              <w:rPr>
                <w:sz w:val="20"/>
                <w:szCs w:val="20"/>
                <w:color w:val="auto"/>
              </w:rPr>
            </w:pPr>
            <w:r>
              <w:rPr>
                <w:rFonts w:ascii="Arial" w:cs="Arial" w:eastAsia="Arial" w:hAnsi="Arial"/>
                <w:sz w:val="18"/>
                <w:szCs w:val="18"/>
                <w:color w:val="auto"/>
                <w:w w:val="90"/>
              </w:rPr>
              <w:t>Lesser of asset life or life of lease</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3 to 7 years</w:t>
            </w:r>
          </w:p>
        </w:tc>
      </w:tr>
      <w:tr>
        <w:trPr>
          <w:trHeight w:val="20"/>
        </w:trPr>
        <w:tc>
          <w:tcPr>
            <w:tcW w:w="58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on internal time sheets and external invoices (or time sheets), while costs incurred during the preliminary project stage and post-implementation/operation stage are expensed as incurred. Capitalized software development costs are amortized over an estimated useful life of one to three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acquired in business combinations is assigned to the reporting units that are expected to benefit from the combination as of the acquisition date. Goodwill and indefinite-lived intangible assets, primarily the Company's trade names and trademarks, are not amortized. Rather, these assets are tested annually for impairment as of October 1, or more frequently upon the occurrence of certain events or substantive changes in circumstances.</w:t>
      </w:r>
    </w:p>
    <w:p>
      <w:pPr>
        <w:spacing w:after="0" w:line="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October 1, 2014 annual impairment test of goodwill, the fair value of the lending reporting unit was estimated using a DCF analysis and a market comparable method, with each method being equally weighted in the calculation. Results of the October 1, 2014 annual impairment test for goodwill and the indefinite-lived intangible assets indicated that no impairments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Long-lived assets include property and equipment and intangible assets with definite lives. Amortization of definite-lived intangible assets is recorded on a straight-line basis over their estimated lives.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fourth quarter of 2014, the Company lost key customers and experienced a decline in revenue for a certain product included within the Education business. Accordingly, in early 2015, the Company amended its strategic course for this product, resulting in a reduction in anticipated future cash flows. At December 31, 2014, the Company reviewed the long-lived assets associated with this product for recoverability, resulting in an impairment charge to customer lists and internally developed software of approximately $0.8 million. The fair value of the long-lived assets was determined using a discounted cash flow model. The impairment charge is included in general and administrative expense on the accompanying consolidated statement of operations and comprehensive income and the "Other" category in the reconciliation of segment information in Note 16—Segment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82"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122"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3</w:t>
      </w:r>
      <w:r>
        <w:rPr>
          <w:rFonts w:ascii="Arial" w:cs="Arial" w:eastAsia="Arial" w:hAnsi="Arial"/>
          <w:sz w:val="17"/>
          <w:szCs w:val="17"/>
          <w:color w:val="auto"/>
        </w:rPr>
        <w:t>: Unobservable inputs for which there is little or no market data and which require the Company to develop its own assumptions,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best information available under the circumstances, about the assumptions market participants would use in pricing the asset or liability.</w:t>
      </w:r>
    </w:p>
    <w:p>
      <w:pPr>
        <w:spacing w:after="0" w:line="3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non-financial assets, such as goodwill, intangible assets and property and equipment are measured at fair value when there is an indicator of impairment and recorded at fair value only when an impairment charge is recognized. Such fair value measurements are based predominantly on Level 3 inputs. As of December 31, 2014 and 2013, the carrying value of all of the Company's financial instruments are equal to the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customer call centers, credit scoring fees and website network hosting and server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radio advertising, and online advertising costs, including fees paid to search engines and distribution partners. Advertising expense was $102.2 million, $80.7 million and $40.8 million for the years ended December 31, 2014, 2013 and 2012, respectively, and is included in selling and marketing expense on the consolidated statements of operations and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During 2014, 2013 and 2012, the Company reported losses from continuing operations and income from discontinued operations. As a result, the Company followed the accounting guidance prescribed in ASC 740-20-45-7, which provides an exception to the "with" and "without" approach to intraperiod tax allocation for determination of the amount of tax benefit to allocate to continuing operations in such circumstances.</w:t>
      </w:r>
    </w:p>
    <w:p>
      <w:pPr>
        <w:spacing w:after="0" w:line="7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forms of stock-based awards granted to LendingTree employees are principally restricted stock units ("RSUs"), stock options and restricted stock.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restricted stock awards also include performance-based vesting, where certain performance targets set at the time of grant must be achieved before an award vests.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The amount of non-cash compensation is reduced by estimated forfeitures, as the amount recorded to the consolidated statement of operations and comprehensive income is based on awards ultimately expected to vest. The forfeiture rate is estimated at the grant date, based on historical experience and revised, if necessary, in subsequent periods if the actual forfeiture rate differs from the estimated rate.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each stock option award is estimated using the Black-Scholes option pricing model, while the fair value of an RSU or restricted stock award is measured as the closing common stock price at the time of grant. For certain performance-based awards, the fair value is measured on the grant date as the fair value of the Company's common stock awarded and recognized as non-cash compensation, using a graded vesting attribution model that considers the probability of the targets being achieved.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Tax benefits resulting from tax deductions in excess of the non-cash compensation recognized in the consolidated statement of operations and comprehensive income are reported as a component of financing cash flows. In 2014, 2013 and 2012, while there were excess tax benefits from non-cash compensation, the tax benefits are not reflected in the consolidated statement of operations and comprehensive income because of the utilization of net operating losses ("NOLs").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w:t>
      </w:r>
    </w:p>
    <w:p>
      <w:pPr>
        <w:sectPr>
          <w:pgSz w:w="11900" w:h="16838" w:orient="portrait"/>
          <w:cols w:equalWidth="0" w:num="1">
            <w:col w:w="11420"/>
          </w:cols>
          <w:pgMar w:left="240" w:top="55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53"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2014,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marketplace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marketplace.</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years ended December 31, 2014, 2013 and 2012, one marketplace lender accounted for revenue representing 13%, 12% and 14% of total revenue, respectively, and another marketplace lender accounted for 11%, 12% and 11% of total revenue, respectively.</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related to revenue recognition. This ASU was initiated as a joint project between the FASB and International Accounting Standards board ("IASB") to clarify the principles for recognizing revenue and to develop a common revenue standard for GAAP and IFRS. This guidance will supersede the existing revenue recognition requirements in Accounting Standards Codification ("ASC") Topic 605, Revenue Recognition and is effective for annual reporting periods beginning after December 15, 2016. Early adoption is not permitted and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w:t>
      </w:r>
    </w:p>
    <w:p>
      <w:pPr>
        <w:spacing w:after="0" w:line="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February 2013, the FASB issued new accounting guidance that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3"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any additional amount the reporting entity expects to pay on behalf of its co-obligors. The guidance also requires an entity to disclose the nature and amount of these obligations, as well as other information about them. The new accounting guidance is effective for fiscal years, and interim periods within those years, beginning after December 15, 2013. The adoption of this guidance did not have a material impact on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2014</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2013</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400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16,106</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18,117</w:t>
            </w:r>
          </w:p>
        </w:tc>
      </w:tr>
      <w:tr>
        <w:trPr>
          <w:trHeight w:val="270"/>
        </w:trPr>
        <w:tc>
          <w:tcPr>
            <w:tcW w:w="8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for earnout related to an acquisition </w:t>
            </w:r>
            <w:r>
              <w:rPr>
                <w:rFonts w:ascii="Arial" w:cs="Arial" w:eastAsia="Arial" w:hAnsi="Arial"/>
                <w:sz w:val="25"/>
                <w:szCs w:val="25"/>
                <w:color w:val="auto"/>
                <w:vertAlign w:val="superscript"/>
              </w:rPr>
              <w:t>(c)</w:t>
            </w:r>
          </w:p>
        </w:tc>
        <w:tc>
          <w:tcPr>
            <w:tcW w:w="14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1,956</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restricted for loan loss obligations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40</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18,716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26,017</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10—Commitments for a discussion of surety bonds.</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During the second quarter of 2014, the Company reached and executed a settlement with one of its secondary market purchasers related to these contingent liabilities, upon which $2.0 million of cash previously held in escrow was released to the Company. This settlement had no impact on the results of operations for the year ended December 31, 2014. During the fourth quarter of 2014, the Company completed a settlement agreement with the largest investor to which it had sold loans. As a result of this settlement agreement, $12.1 million of cash held in escrow is expected to be released in December 2015.</w:t>
      </w:r>
    </w:p>
    <w:p>
      <w:pPr>
        <w:spacing w:after="0" w:line="135"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first quarter of 2014, the Company reached and executed a settlement with the disputing party on the earnout related to an acquisition completed prior to the spinoff from IAC in August 2008, upon which $2.0 million of cash previously held in escrow was released, of which $1.0 million was paid out to the disputing party. This settlement had no impact on the results of operations for the year ended December 31, 2014.</w:t>
      </w:r>
    </w:p>
    <w:p>
      <w:pPr>
        <w:spacing w:after="0" w:line="92"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fourth quarter of 2014, the Company reached and executed a settlement with the disputing party on certain loan loss obligations, upon which $3.1 million of cash previously held in escrow was paid out to the disputing party.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2014</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18,130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2,096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2,145</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20,067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23,352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(14,810)</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(18,008)</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5,344</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Unamortized capitalized software development costs, in service or under development, are $4.5 million and $4.3 million at December 31, 2014 and 2013, respectively. Capitalized software development depreciation expense was $2.8 million, $3.0 million and $3.1 million for the years ended December 31, 2014, 2013 and 2012, respectively.</w:t>
      </w:r>
    </w:p>
    <w:p>
      <w:pPr>
        <w:sectPr>
          <w:pgSz w:w="11900" w:h="16838" w:orient="portrait"/>
          <w:cols w:equalWidth="0" w:num="1">
            <w:col w:w="11420"/>
          </w:cols>
          <w:pgMar w:left="240" w:top="55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53"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During 2014, the Company recorded an impairment charge in its Education business of approximately $0.4 million to internally developed software.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 discussion of the impairment.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2014</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486,720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486,720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(483,088)</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3,632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3,632</w:t>
            </w:r>
          </w:p>
        </w:tc>
      </w:tr>
      <w:tr>
        <w:trPr>
          <w:trHeight w:val="324"/>
        </w:trPr>
        <w:tc>
          <w:tcPr>
            <w:tcW w:w="8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542</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11,141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10,684</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goodwill is associated with its one reportable segment, lending. There were no changes in the carrying amount of goodwill during the years ended December 31, 2014 and 2013. Results of the annual impairment test as of October 1, 2014 indicated that no impairment had occurred.</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2014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10.0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2.2 years</w:t>
            </w:r>
          </w:p>
        </w:tc>
        <w:tc>
          <w:tcPr>
            <w:tcW w:w="5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w:t>
            </w:r>
          </w:p>
        </w:tc>
        <w:tc>
          <w:tcPr>
            <w:tcW w:w="4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4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450"/>
        </w:trPr>
        <w:tc>
          <w:tcPr>
            <w:tcW w:w="5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5.0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(25,194)</w:t>
            </w:r>
          </w:p>
        </w:tc>
        <w:tc>
          <w:tcPr>
            <w:tcW w:w="4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2.5 years</w:t>
            </w:r>
          </w:p>
        </w:tc>
        <w:tc>
          <w:tcPr>
            <w:tcW w:w="5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(1,515)</w:t>
            </w:r>
          </w:p>
        </w:tc>
        <w:tc>
          <w:tcPr>
            <w:tcW w:w="4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4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(33,087)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459"/>
        </w:trPr>
        <w:tc>
          <w:tcPr>
            <w:tcW w:w="5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737"/>
              <w:spacing w:after="0"/>
              <w:rPr>
                <w:sz w:val="20"/>
                <w:szCs w:val="20"/>
                <w:color w:val="auto"/>
              </w:rPr>
            </w:pPr>
            <w:r>
              <w:rPr>
                <w:rFonts w:ascii="Arial" w:cs="Arial" w:eastAsia="Arial" w:hAnsi="Arial"/>
                <w:sz w:val="18"/>
                <w:szCs w:val="18"/>
                <w:color w:val="auto"/>
              </w:rPr>
              <w:t>50</w:t>
            </w: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2014,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2015</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2016</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9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w:t>
            </w:r>
          </w:p>
        </w:tc>
      </w:tr>
      <w:tr>
        <w:trPr>
          <w:trHeight w:val="27"/>
        </w:trPr>
        <w:tc>
          <w:tcPr>
            <w:tcW w:w="99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2014, the Company acquired certain intangible assets to be used in its home services business for $0.6 million paid on the acquisition date, plus contingent consideration of $0 to $0.8 million. During the fourth quarter of 2014, the Company finalized the purchase price of $1.0 million, which includes an estimated contingent consideration of $0.4 million. The entire purchase price was allocated to the customer lists acquired, which is being amortized on a straight-line basis over a useful life of 10 years.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During 2014, the Company recorded an impairment charge in its Education business of approximately $0.4 million to customer lists.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 Significant Accounting Policies for a discussion of the impairment.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2014</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11,170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8,837</w:t>
            </w: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1,806</w:t>
            </w: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4,560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4,279</w:t>
            </w: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3,662</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3,985</w:t>
            </w:r>
          </w:p>
        </w:tc>
      </w:tr>
      <w:tr>
        <w:trPr>
          <w:trHeight w:val="27"/>
        </w:trPr>
        <w:tc>
          <w:tcPr>
            <w:tcW w:w="47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23,314</w:t>
            </w:r>
          </w:p>
        </w:tc>
      </w:tr>
      <w:tr>
        <w:trPr>
          <w:trHeight w:val="459"/>
        </w:trPr>
        <w:tc>
          <w:tcPr>
            <w:tcW w:w="478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jc w:val="right"/>
              <w:ind w:right="2430"/>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9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19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11,035</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94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rPr>
              <w:t>11,035</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10,695</w:t>
            </w:r>
          </w:p>
        </w:tc>
      </w:tr>
      <w:tr>
        <w:trPr>
          <w:trHeight w:val="34"/>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2014, 2013 and 2012,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these periods. For the years ended December 31, 2014, 2013 and 2012, approximately 0.7 million, 0.7 million, and 0.6 million shares, respectively, related to potentially dilutive securities were excluded from the calculation of diluted loss per share, because their inclusion would have been anti-dilutive.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8—Stock-Based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2010, the board of directors authorized and the Company announced the repurchase of up to $10.0 million of LendingTree's common stock. In May 2014, the board of directors authorized and the Company announced the repurchase of up to an additional $10.0 million of LendingTree's common stock. During the years ended December 31, 2014, 2013 and 2012, the Company purchased 99,345, 180,453 and 65,218 shares, respectively, of its common stock for aggregate consideration of $2.6 million, $3.3 million and $0.9 million, respectively. At December 31, 2014, approximately $7.5 million remains authorized for share repurchase.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December 6, 2012, the Company announced a special cash dividend of $1.00 per share. The dividend was paid on December 26, 2012 to shareholders of record on December 17, 2012. The total amount of the dividend was approximately $11.6 million, giving effect to a 2013 correction to the overpayment of dividends totaling $0.4 million, and has been presented as a reduction of additional paid-in capital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currently has one active plan, the Fourth Amended and Restated LendingTree 2008 Stock and Annual Incentive Plan (the "Equity Award Plan"), under which future awards may be granted, which currently covers outstanding stock options to acquire shares of the Company's common stock, restricted stock and RSUs, and provides for the future grants of these and other equity awards. Under the Equity Award Plan, the Company is authorized to grant stock options, restricted stock, RSUs and other equity-based awards for up to 4.35 million shares of LendingTree common stock to employees, officers and directors. This Equity Award Plan also governs certain equity awards of IAC that were converted into equity awards of LendingTree in connection with the spin-off.</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Equity Award Plan has a stated term of ten years and provides that the exercise price of stock options granted will not be less than the market price of the common stock on the grant date. The Equity Award Plan itself does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6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Prior to the 2008 spin-off from IAC, employees received equity awards that were granted under various IAC stock and annual incentive plans. Upon spin-off, these IAC awards were converted into awards of both LendingTree and other former IAC companies, which vested in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901</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750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3,841</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1,196</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842</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626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7,446</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5,627</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4,587</w:t>
            </w:r>
          </w:p>
        </w:tc>
      </w:tr>
      <w:tr>
        <w:trPr>
          <w:trHeight w:val="34"/>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years ended December 31, 2014, 2013 and 2012, the Company recognized no income tax benefit related to non-cash compensation due to its net operating losses and valuation allowance. As of December 31, 2014, there was approximately $10.9 million, $5.8 million and $2.2 million of unrecognized compensation cost, net of estimated forfeitures, related to stock options, RSUs and restricted stock, respectively. These costs are expected to be recognized over a weighted-average period of approximately 3.0 years for stock options, 1.7 years for RSUs and 1.9 years for restricted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40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2013</w:t>
            </w:r>
          </w:p>
        </w:tc>
        <w:tc>
          <w:tcPr>
            <w:tcW w:w="2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1,038,999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8.98</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Granted</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1,106,791</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26.73</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(8,361)</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13.58</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13.04</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2014</w:t>
            </w:r>
          </w:p>
        </w:tc>
        <w:tc>
          <w:tcPr>
            <w:tcW w:w="26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2,136,679</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rPr>
              <w:t>18.16</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6.43</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64,492</w:t>
            </w: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2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983,107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9.07</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3.63</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38,602</w:t>
            </w:r>
          </w:p>
        </w:tc>
        <w:tc>
          <w:tcPr>
            <w:tcW w:w="0" w:type="dxa"/>
            <w:vAlign w:val="bottom"/>
          </w:tcPr>
          <w:p>
            <w:pPr>
              <w:spacing w:after="0"/>
              <w:rPr>
                <w:sz w:val="1"/>
                <w:szCs w:val="1"/>
                <w:color w:val="auto"/>
              </w:rPr>
            </w:pPr>
          </w:p>
        </w:tc>
      </w:tr>
      <w:tr>
        <w:trPr>
          <w:trHeight w:val="27"/>
        </w:trPr>
        <w:tc>
          <w:tcPr>
            <w:tcW w:w="400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$48.34 on the last trading day of 2014 and the exercise price, multiplied by the number of shares covered by in-the-money options) that would have been received by the option holders had all option holders exercised their options on December 31, 2014. The intrinsic value changes based on the market value of the Company's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2014, 2013 and 2012, the total intrinsic value of stock options that were exercised was $0.2 million, $0.4 million and $0.3 million, respectively. Cash received from stock option exercises and the related actual tax benefit realized were $0.1 million and $0.1 million, respectively, for the year ended December 31, 2014.</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years ended December 31, 2014 and 2012, the Company granted stock options with a weighted average grant date fair value per share of $11.22 and $3.63, respectively, of which the vesting periods include (a) three years from the grant date, (b) 25% and 75% over a period of 2.5 years and 3.5 years, respectively, and (c) two years from the grant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460" w:type="dxa"/>
            <w:vAlign w:val="bottom"/>
            <w:gridSpan w:val="2"/>
          </w:tcPr>
          <w:p>
            <w:pPr>
              <w:jc w:val="right"/>
              <w:ind w:right="732"/>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65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540" w:type="dxa"/>
            <w:vAlign w:val="bottom"/>
          </w:tcPr>
          <w:p>
            <w:pPr>
              <w:spacing w:after="0"/>
              <w:rPr>
                <w:sz w:val="18"/>
                <w:szCs w:val="18"/>
                <w:color w:val="auto"/>
              </w:rPr>
            </w:pPr>
          </w:p>
        </w:tc>
        <w:tc>
          <w:tcPr>
            <w:tcW w:w="2000" w:type="dxa"/>
            <w:vAlign w:val="bottom"/>
          </w:tcPr>
          <w:p>
            <w:pPr>
              <w:jc w:val="right"/>
              <w:ind w:right="913"/>
              <w:spacing w:after="0"/>
              <w:rPr>
                <w:sz w:val="20"/>
                <w:szCs w:val="20"/>
                <w:color w:val="auto"/>
              </w:rPr>
            </w:pPr>
            <w:r>
              <w:rPr>
                <w:rFonts w:ascii="Arial" w:cs="Arial" w:eastAsia="Arial" w:hAnsi="Arial"/>
                <w:sz w:val="16"/>
                <w:szCs w:val="16"/>
                <w:b w:val="1"/>
                <w:bCs w:val="1"/>
                <w:color w:val="auto"/>
              </w:rPr>
              <w:t>2014</w:t>
            </w:r>
          </w:p>
        </w:tc>
        <w:tc>
          <w:tcPr>
            <w:tcW w:w="14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20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5.75 - 6.63 years</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 years</w:t>
            </w:r>
          </w:p>
        </w:tc>
      </w:tr>
      <w:tr>
        <w:trPr>
          <w:trHeight w:val="270"/>
        </w:trPr>
        <w:tc>
          <w:tcPr>
            <w:tcW w:w="6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20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20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36% - 64%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2000" w:type="dxa"/>
            <w:vAlign w:val="bottom"/>
            <w:tcBorders>
              <w:bottom w:val="single" w:sz="8" w:color="999999"/>
            </w:tcBorders>
          </w:tcPr>
          <w:p>
            <w:pPr>
              <w:jc w:val="right"/>
              <w:ind w:right="333"/>
              <w:spacing w:after="0"/>
              <w:rPr>
                <w:sz w:val="20"/>
                <w:szCs w:val="20"/>
                <w:color w:val="auto"/>
              </w:rPr>
            </w:pPr>
            <w:r>
              <w:rPr>
                <w:rFonts w:ascii="Arial" w:cs="Arial" w:eastAsia="Arial" w:hAnsi="Arial"/>
                <w:sz w:val="18"/>
                <w:szCs w:val="18"/>
                <w:color w:val="auto"/>
              </w:rPr>
              <w:t>1.81% - 2.13%</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2.0%</w:t>
            </w:r>
          </w:p>
        </w:tc>
      </w:tr>
    </w:tbl>
    <w:p>
      <w:pPr>
        <w:spacing w:after="0" w:line="148" w:lineRule="exact"/>
        <w:rPr>
          <w:sz w:val="20"/>
          <w:szCs w:val="20"/>
          <w:color w:val="auto"/>
        </w:rPr>
      </w:pPr>
    </w:p>
    <w:p>
      <w:pPr>
        <w:jc w:val="both"/>
        <w:ind w:left="900" w:hanging="325"/>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year ended December 31, 2014, 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 For the year ended December 31, 2012, the expected term of stock options granted was based on analyses of historical employee termination rates and option exercise patterns, giving consideration to expectations of future employee behavior.</w:t>
      </w:r>
    </w:p>
    <w:p>
      <w:pPr>
        <w:spacing w:after="0" w:line="134"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2014 and 2012,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 or a blended rate which includes the historical volatility of the Company's common stock and that of a peer group.</w:t>
      </w:r>
    </w:p>
    <w:p>
      <w:pPr>
        <w:spacing w:after="0" w:line="11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December 31, 2014, the non-vested options are expected to vest over a weighted-average period of approximately 3.0 years. During the years ended December 31, 2014, 2013 and 2012, the total fair value of options vested was $0.4 million, $3.2 million and $0.3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RSUs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RSUs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Performance Condition</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jc w:val="center"/>
              <w:ind w:right="11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3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Date Fair</w:t>
            </w:r>
          </w:p>
        </w:tc>
        <w:tc>
          <w:tcPr>
            <w:tcW w:w="1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Units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Units</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2"/>
              </w:rPr>
              <w:t>(per unit)</w:t>
            </w: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2013</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599,122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135,607</w:t>
            </w:r>
          </w:p>
        </w:tc>
        <w:tc>
          <w:tcPr>
            <w:tcW w:w="2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(328,681)</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(500)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(54,247)</w:t>
            </w:r>
          </w:p>
        </w:tc>
        <w:tc>
          <w:tcPr>
            <w:tcW w:w="28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2014</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351,801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grant date fair value per share of the RSUs is calculated as the closing market price of LendingTree's common stock at the time of the grant.</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total fair value of RSUs that vested during the years ended December 31, 2014, 2013 and 2012 was $11.0 million, $7.5 million and $4.3 million, respectively. The total fair value of RSUs with a performance condition that vested during the year ended December 31, 2014 was $22,000.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100" w:type="dxa"/>
            <w:vAlign w:val="bottom"/>
            <w:gridSpan w:val="3"/>
            <w:vMerge w:val="restart"/>
          </w:tcPr>
          <w:p>
            <w:pPr>
              <w:jc w:val="right"/>
              <w:ind w:right="959"/>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vMerge w:val="restart"/>
          </w:tcPr>
          <w:p>
            <w:pPr>
              <w:spacing w:after="0"/>
              <w:rPr>
                <w:sz w:val="14"/>
                <w:szCs w:val="14"/>
                <w:color w:val="auto"/>
              </w:rPr>
            </w:pPr>
          </w:p>
        </w:tc>
        <w:tc>
          <w:tcPr>
            <w:tcW w:w="306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Market Condition</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52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Date Fair</w:t>
            </w: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5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8"/>
              </w:rPr>
              <w:t>(per share)</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8"/>
              </w:rPr>
              <w:t>(per share)</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2013</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119,500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62,500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(a)(b)</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43,389</w:t>
            </w:r>
          </w:p>
        </w:tc>
        <w:tc>
          <w:tcPr>
            <w:tcW w:w="2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3"/>
                <w:szCs w:val="23"/>
                <w:color w:val="auto"/>
              </w:rPr>
            </w:pP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(39,832)</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2014</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123,057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grant date fair value per share of the restricted stock is calculated as the closing market price of LendingTree's common stock at the time of grant.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grant date fair value per share of the restricted stock with an underlying market condition was calculated using a Monte Carlo simulation model. These shares vest based on the achievement of a market-based performance target within three years, but not earlier than one year from the grant date. The fair value on grant date is recognized over the requisite service period.</w:t>
      </w:r>
    </w:p>
    <w:p>
      <w:pPr>
        <w:spacing w:after="0" w:line="12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total fair value of restricted stock that vested during the years ended December 31, 2014, 2013 and 2012 was $1.5 million, $3.2 million and $0.8 million, respectively. The total fair value of restricted stock with a market condition that vested during the year ended December 31, 2014 was $2.1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benefit:</w:t>
            </w:r>
          </w:p>
        </w:tc>
        <w:tc>
          <w:tcPr>
            <w:tcW w:w="3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7"/>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Current income tax benefit</w:t>
            </w:r>
          </w:p>
        </w:tc>
        <w:tc>
          <w:tcPr>
            <w:tcW w:w="36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(590)</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r>
      <w:tr>
        <w:trPr>
          <w:trHeight w:val="27"/>
        </w:trPr>
        <w:tc>
          <w:tcPr>
            <w:tcW w:w="43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3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7"/>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7"/>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income tax provision (benefit)</w:t>
            </w:r>
          </w:p>
        </w:tc>
        <w:tc>
          <w:tcPr>
            <w:tcW w:w="36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106</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64</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r>
      <w:tr>
        <w:trPr>
          <w:trHeight w:val="27"/>
        </w:trPr>
        <w:tc>
          <w:tcPr>
            <w:tcW w:w="43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w:t>
            </w:r>
          </w:p>
        </w:tc>
        <w:tc>
          <w:tcPr>
            <w:tcW w:w="3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(484)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r>
      <w:tr>
        <w:trPr>
          <w:trHeight w:val="459"/>
        </w:trPr>
        <w:tc>
          <w:tcPr>
            <w:tcW w:w="4340" w:type="dxa"/>
            <w:vAlign w:val="bottom"/>
            <w:tcBorders>
              <w:top w:val="single" w:sz="8" w:color="auto"/>
            </w:tcBorders>
          </w:tcPr>
          <w:p>
            <w:pPr>
              <w:spacing w:after="0"/>
              <w:rPr>
                <w:sz w:val="24"/>
                <w:szCs w:val="24"/>
                <w:color w:val="auto"/>
              </w:rPr>
            </w:pPr>
          </w:p>
        </w:tc>
        <w:tc>
          <w:tcPr>
            <w:tcW w:w="3660" w:type="dxa"/>
            <w:vAlign w:val="bottom"/>
            <w:tcBorders>
              <w:top w:val="single" w:sz="8" w:color="auto"/>
            </w:tcBorders>
          </w:tcPr>
          <w:p>
            <w:pPr>
              <w:jc w:val="right"/>
              <w:ind w:right="2110"/>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 reconciliation of the income tax benefit to the amounts computed by applying the statutory federal income tax rate to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the federal statutory rate of 35%</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(340)</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income taxes, net of effect of federal tax benefit</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(143)</w:t>
            </w:r>
          </w:p>
        </w:tc>
        <w:tc>
          <w:tcPr>
            <w:tcW w:w="4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tax benefit</w:t>
            </w: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(484)</w:t>
            </w:r>
          </w:p>
        </w:tc>
        <w:tc>
          <w:tcPr>
            <w:tcW w:w="4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(453)</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r>
      <w:tr>
        <w:trPr>
          <w:trHeight w:val="34"/>
        </w:trPr>
        <w:tc>
          <w:tcPr>
            <w:tcW w:w="7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7,265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23,370</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3,010</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intangible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567</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1,296</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35,508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45,126</w:t>
            </w:r>
          </w:p>
        </w:tc>
      </w:tr>
      <w:tr>
        <w:trPr>
          <w:trHeight w:val="270"/>
        </w:trPr>
        <w:tc>
          <w:tcPr>
            <w:tcW w:w="83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5"/>
                <w:szCs w:val="25"/>
                <w:color w:val="auto"/>
                <w:vertAlign w:val="superscript"/>
              </w:rPr>
              <w:t>(b)</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(40,121)</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(49,674)</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(4,613)</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(4,548)</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deferred tax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(4,742)</w:t>
            </w:r>
          </w:p>
        </w:tc>
      </w:tr>
      <w:tr>
        <w:trPr>
          <w:trHeight w:val="27"/>
        </w:trPr>
        <w:tc>
          <w:tcPr>
            <w:tcW w:w="8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December 31, 2014 and 2013, the Company had pre-tax consolidated federal NOLs of $35.6 million and $30.1 million, respectively. The federal NOLs will expire between 2031 and 2034. In addition, the Company has separate state NOLs of approximately $315.8 million at December 31, 2014 that will expire at various times between 2015 and 2034.</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quarter ended December 31, 2014, the Company identified an error in the calculation of its previously disclosed deferred tax asset for net operating loss carryforwards. The error related primarily to the calculation of the Federal benefit of the state operating loss carryforwards. The Company has determined that the error is not material to prior periods. The Company has corrected this error as an out-of-period adjustment in 2014, resulting in a $5.8 million decrease to the deferred tax asset for net operating loss carryforwards with a corresponding decrease in the related valuation allowance, resulting in no net change to net deferred taxes in the table above. There was no impact to the accompanying consolidated statements of operations and comprehensive income, consolidated balance sheets or the consolidated statements of cash flows.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(4,850)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w:t>
            </w:r>
          </w:p>
        </w:tc>
      </w:tr>
      <w:tr>
        <w:trPr>
          <w:trHeight w:val="27"/>
        </w:trPr>
        <w:tc>
          <w:tcPr>
            <w:tcW w:w="8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(4,850)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(4,742)</w:t>
            </w:r>
          </w:p>
        </w:tc>
      </w:tr>
      <w:tr>
        <w:trPr>
          <w:trHeight w:val="27"/>
        </w:trPr>
        <w:tc>
          <w:tcPr>
            <w:tcW w:w="8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had a valuation allowance recorded at December 31, 2014 and 2013 related to the portion of net operating loss carryforwards and other deferred tax assets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49,674</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54,961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68,138</w:t>
            </w: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Charges to earnings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(3,707)</w:t>
            </w:r>
          </w:p>
        </w:tc>
        <w:tc>
          <w:tcPr>
            <w:tcW w:w="480" w:type="dxa"/>
            <w:vAlign w:val="bottom"/>
          </w:tcPr>
          <w:p>
            <w:pPr>
              <w:spacing w:after="0"/>
              <w:rPr>
                <w:sz w:val="23"/>
                <w:szCs w:val="23"/>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(5,287)</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(13,176)</w:t>
            </w:r>
          </w:p>
        </w:tc>
      </w:tr>
      <w:tr>
        <w:trPr>
          <w:trHeight w:val="270"/>
        </w:trPr>
        <w:tc>
          <w:tcPr>
            <w:tcW w:w="70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Out of period adjustment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40,121</w:t>
            </w:r>
          </w:p>
        </w:tc>
        <w:tc>
          <w:tcPr>
            <w:tcW w:w="480" w:type="dxa"/>
            <w:vAlign w:val="bottom"/>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49,674</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54,961</w:t>
            </w:r>
          </w:p>
        </w:tc>
      </w:tr>
      <w:tr>
        <w:trPr>
          <w:trHeight w:val="34"/>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is primarily related to the Company's net operating loss carryforwards and other deferred tax assets, including accrued expenses and goodwill, which impacted the income tax provision.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 of period adjustment in the valuation allowance is offset by an out of period adjustment to the deferred tax assets, as noted above, thus adjustment is limited to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w:t>
            </w:r>
          </w:p>
        </w:tc>
        <w:tc>
          <w:tcPr>
            <w:tcW w:w="110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of prior years</w:t>
            </w:r>
          </w:p>
        </w:tc>
        <w:tc>
          <w:tcPr>
            <w:tcW w:w="10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w:t>
            </w:r>
          </w:p>
        </w:tc>
        <w:tc>
          <w:tcPr>
            <w:tcW w:w="110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36</w:t>
            </w:r>
          </w:p>
        </w:tc>
      </w:tr>
      <w:tr>
        <w:trPr>
          <w:trHeight w:val="34"/>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2014, 2013 and 2012 are immaterial. There are no significant accruals for interest and penalties at December 31, 2014 and 2013.</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2014 and 2013, the accrual for unrecognized tax benefits, including interest, was $25,000 and $40,000, respectively, all of which would benefit the effective tax rate if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2014,</w:t>
      </w:r>
    </w:p>
    <w:p>
      <w:pPr>
        <w:sectPr>
          <w:pgSz w:w="11900" w:h="16838" w:orient="portrait"/>
          <w:cols w:equalWidth="0" w:num="1">
            <w:col w:w="11420"/>
          </w:cols>
          <w:pgMar w:left="240" w:top="553"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53"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a federal income tax examination for the tax years 2011 through 2013. In addition, the Company is subject to state and local tax examinations for the tax years 2011 through 2013.</w:t>
      </w:r>
    </w:p>
    <w:p>
      <w:pPr>
        <w:spacing w:after="0" w:line="22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was indemnified by its previous owner for any federal and/or combined state income tax liabilities resulting from years prior to the spin-off in 2008. The Joint Committee of Taxation has completed its review of IAC's tax returns and approved the audit settlement previously agreed to with the Internal Revenue Services for the years ended December 31, 2001 through 2008. The statute of limitations for the years 2001 through 2009 expired on July 1, 2014. Various state and local jurisdictions are open to examination, the most significant of which is New York, for various tax years beginning with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office space, equipment and services used in connection with its operations under various operating leases, many of which contain escalation clauses. The Company's primary operating leases relate to its office space in Charlotte, North Carolina and Burlingame, California, each of which expire in 2015.</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2014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920" w:type="dxa"/>
            <w:vAlign w:val="bottom"/>
            <w:tcBorders>
              <w:bottom w:val="single" w:sz="8" w:color="CCEEFF"/>
            </w:tcBorders>
            <w:shd w:val="clear" w:color="auto" w:fill="CCEEFF"/>
          </w:tcPr>
          <w:p>
            <w:pPr>
              <w:jc w:val="right"/>
              <w:ind w:right="5293"/>
              <w:spacing w:after="0"/>
              <w:rPr>
                <w:sz w:val="20"/>
                <w:szCs w:val="20"/>
                <w:color w:val="auto"/>
              </w:rPr>
            </w:pPr>
            <w:r>
              <w:rPr>
                <w:rFonts w:ascii="Arial" w:cs="Arial" w:eastAsia="Arial" w:hAnsi="Arial"/>
                <w:sz w:val="18"/>
                <w:szCs w:val="18"/>
                <w:color w:val="auto"/>
              </w:rPr>
              <w:t>2015</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w:t>
            </w:r>
          </w:p>
        </w:tc>
      </w:tr>
      <w:tr>
        <w:trPr>
          <w:trHeight w:val="271"/>
        </w:trPr>
        <w:tc>
          <w:tcPr>
            <w:tcW w:w="592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5"/>
                <w:szCs w:val="25"/>
                <w:b w:val="1"/>
                <w:bCs w:val="1"/>
                <w:color w:val="auto"/>
                <w:vertAlign w:val="superscript"/>
              </w:rPr>
              <w:t>(a)</w:t>
            </w:r>
          </w:p>
        </w:tc>
        <w:tc>
          <w:tcPr>
            <w:tcW w:w="4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1,003</w:t>
            </w:r>
          </w:p>
        </w:tc>
      </w:tr>
    </w:tbl>
    <w:p>
      <w:pPr>
        <w:spacing w:after="0" w:line="148"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subleases certain of its office space to third parties. These future minimum payments have not been reduced by the $0.1 million of minimum sublease rental income to be received in the future under non-cancelable subleases.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Rental expense for all operating leases, except those with terms of a month or less that were not renewed, charged to continuing operations was $1.1 million, $1.3 million and $1.1 million, net of $0, $18,000 and $42,000 sublease rental income, for each of the years ended December 31, 2014, 2013 and 2012, respectively, and a majority of which is included in general and administrative expense in the consolidated statements of operations and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3"/>
          </w:tcPr>
          <w:p>
            <w:pPr>
              <w:jc w:val="center"/>
              <w:ind w:left="817"/>
              <w:spacing w:after="0"/>
              <w:rPr>
                <w:sz w:val="20"/>
                <w:szCs w:val="20"/>
                <w:color w:val="auto"/>
              </w:rPr>
            </w:pPr>
            <w:r>
              <w:rPr>
                <w:rFonts w:ascii="Arial" w:cs="Arial" w:eastAsia="Arial" w:hAnsi="Arial"/>
                <w:sz w:val="16"/>
                <w:szCs w:val="16"/>
                <w:b w:val="1"/>
                <w:bCs w:val="1"/>
                <w:color w:val="auto"/>
                <w:w w:val="92"/>
              </w:rPr>
              <w:t>Commitments Due By Period</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0"/>
              </w:rPr>
              <w:t>Less Than</w:t>
            </w: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ind w:right="176"/>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5"/>
              </w:rPr>
              <w:t>1 year</w:t>
            </w:r>
          </w:p>
        </w:tc>
        <w:tc>
          <w:tcPr>
            <w:tcW w:w="380" w:type="dxa"/>
            <w:vAlign w:val="bottom"/>
          </w:tcPr>
          <w:p>
            <w:pPr>
              <w:spacing w:after="0"/>
              <w:rPr>
                <w:sz w:val="18"/>
                <w:szCs w:val="18"/>
                <w:color w:val="auto"/>
              </w:rPr>
            </w:pPr>
          </w:p>
        </w:tc>
        <w:tc>
          <w:tcPr>
            <w:tcW w:w="1600" w:type="dxa"/>
            <w:vAlign w:val="bottom"/>
          </w:tcPr>
          <w:p>
            <w:pPr>
              <w:jc w:val="center"/>
              <w:ind w:right="614"/>
              <w:spacing w:after="0"/>
              <w:rPr>
                <w:sz w:val="20"/>
                <w:szCs w:val="20"/>
                <w:color w:val="auto"/>
              </w:rPr>
            </w:pPr>
            <w:r>
              <w:rPr>
                <w:rFonts w:ascii="Arial" w:cs="Arial" w:eastAsia="Arial" w:hAnsi="Arial"/>
                <w:sz w:val="16"/>
                <w:szCs w:val="16"/>
                <w:b w:val="1"/>
                <w:bCs w:val="1"/>
                <w:color w:val="auto"/>
                <w:w w:val="89"/>
              </w:rPr>
              <w:t>1-3 years</w:t>
            </w:r>
          </w:p>
        </w:tc>
        <w:tc>
          <w:tcPr>
            <w:tcW w:w="1520" w:type="dxa"/>
            <w:vAlign w:val="bottom"/>
          </w:tcPr>
          <w:p>
            <w:pPr>
              <w:ind w:left="120"/>
              <w:spacing w:after="0"/>
              <w:rPr>
                <w:sz w:val="20"/>
                <w:szCs w:val="20"/>
                <w:color w:val="auto"/>
              </w:rPr>
            </w:pPr>
            <w:r>
              <w:rPr>
                <w:rFonts w:ascii="Arial" w:cs="Arial" w:eastAsia="Arial" w:hAnsi="Arial"/>
                <w:sz w:val="16"/>
                <w:szCs w:val="16"/>
                <w:b w:val="1"/>
                <w:bCs w:val="1"/>
                <w:color w:val="auto"/>
              </w:rPr>
              <w:t>3-5 years</w:t>
            </w:r>
          </w:p>
        </w:tc>
        <w:tc>
          <w:tcPr>
            <w:tcW w:w="124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Surety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4,648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4,648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11, unless otherwise indicated, the Company is unable to estimate the possible loss or range of losses that could potentially result from the application of such non-monetary remedies.</w:t>
      </w:r>
    </w:p>
    <w:p>
      <w:pPr>
        <w:sectPr>
          <w:pgSz w:w="11900" w:h="16838" w:orient="portrait"/>
          <w:cols w:equalWidth="0" w:num="1">
            <w:col w:w="11420"/>
          </w:cols>
          <w:pgMar w:left="240" w:top="553"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53"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and 2013, the Company has a litigation settlement accrual of $2.8 million and $0.5 million, respectively. The litigation settlement accrual relates to litigation matters that were either settled or a firm offer for settlement was extended, thereby establishing an accrual amount that is both probable and reasonably estimable.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defenses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A reserve of $2.3 million for this matter is included in the accompanying consolidated balance sheet as of December 31, 2014. The trial and post-trial motion process is now complete. 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legal fees.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Internet Patents Corporation f/k/a InsWeb v. Tree.com, Inc., No. C-12-6505 (U.S. Dist. Ct., N.D. Cal.). </w:t>
      </w:r>
      <w:r>
        <w:rPr>
          <w:rFonts w:ascii="Arial" w:cs="Arial" w:eastAsia="Arial" w:hAnsi="Arial"/>
          <w:sz w:val="17"/>
          <w:szCs w:val="17"/>
          <w:color w:val="auto"/>
        </w:rPr>
        <w:t>In December 2012, the plaintiff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infringed upon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A hearing on the consolidated appeals was held in August 2014 and the order remains pending. The Company believes the plaintiff's allegations lack merit and intends to defend against this action vigorously.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The Money Suite Company v. LendingTree, LLC, No. 1:13-ev-986 (U.S. Dist. Ct, D Del.). </w:t>
      </w:r>
      <w:r>
        <w:rPr>
          <w:rFonts w:ascii="Arial" w:cs="Arial" w:eastAsia="Arial" w:hAnsi="Arial"/>
          <w:sz w:val="18"/>
          <w:szCs w:val="18"/>
          <w:color w:val="auto"/>
        </w:rPr>
        <w:t>In June 2013, the plaintiff filed a patent infringement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LLC seeking a judgment that it infringed a patent held by plaintiff. The plaintiff alleges that LendingTree, LLC infringes U.S. Patent No. 6,684,189 for "an apparatus and method using front end network gateways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In September 2014, LendingTree, LLC, together with defendants in related matters, requested that the stay be lifted and filed a motion to dismiss the case. In January 2015, the court granted defendants' motions for invalidity and dismissed the case. In February 2015, the plaintiff filed a notice of appeal to the U.S. Court of Appeals for the Federal Circuit. The Company believes the plaintiff's allegations lack merit and intends to defend against this action vigorously.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AlphaCap Ventures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AlphaCap Ventures LLC v. LendingTree, LLC, No. 2:15CV00062 (U.S. Dist. Ct, E.D.Tex). </w:t>
      </w:r>
      <w:r>
        <w:rPr>
          <w:rFonts w:ascii="Arial" w:cs="Arial" w:eastAsia="Arial" w:hAnsi="Arial"/>
          <w:sz w:val="17"/>
          <w:szCs w:val="17"/>
          <w:color w:val="auto"/>
        </w:rPr>
        <w:t>In January 2015, the plaintiff filed a patent infringement</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LendingTree, LLC seeking a judgment that LendingTree, LLC infringed three patents held by the plaintiff. The plaintiff alleges that LendingTree, LLC infringes each of U.S. Patent No. 7,848,976, U.S. Patent No. 7,908,208 and U.S. Patent No. 8,433,630, each such patent entitled "Private Entity Profile Network" and relating generally to a computer-implemented method of collecting and managing information related to financing. The plaintiff seeks damages (including pre- and post-judgment interest thereon), injunctive relief and such other costs as the court may deem proper. The Company believes the plaintiff's allegations lack merit and intends to defend against this action vigorously.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December 31, 2014.</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Trade Commission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July 2014, the Company received a Non-Public Civil Investigative Demand ("CID") from the Federal Trade Commission ("FTC"). The CID was issued pursuant to a January 2014 resolution of the FTC authorizing an investigation "to determine whether unnamed corporations have engaged or are engaging in deceptive or unfair acts or practices in or affecting commerce in the advertising, marketing, sale or servicing of loans and related products in violation of Section 5 of the FTC Act of 1914, as amended. The CID indicated that this investigation was also to determine whether various unnamed loan brokers, lenders, loan services and other marketers of loans have engaged or are engaging in acts or practices in violation of the Consumer Credit Protection Act 15 U.S.C. Sec 1601 et seq." No specific wrongdoing by the Company was alleged, nor were any specific fines or penalties discussed in the CID. In January 2015, the FTC closed this investigation; no fines or penalties were assessed against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Lijkel Dijkstra v. Harry Carenbauer, Home Loan Center, Inc. et al., No. 5:11-cv-152-JPB (U.S. Dist. Ct., N.D.WV). </w:t>
      </w:r>
      <w:r>
        <w:rPr>
          <w:rFonts w:ascii="Arial" w:cs="Arial" w:eastAsia="Arial" w:hAnsi="Arial"/>
          <w:sz w:val="18"/>
          <w:szCs w:val="18"/>
          <w:color w:val="auto"/>
        </w:rPr>
        <w:t>In November 2008, the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w:t>
      </w:r>
    </w:p>
    <w:p>
      <w:pPr>
        <w:sectPr>
          <w:pgSz w:w="11900" w:h="16838" w:orient="portrait"/>
          <w:cols w:equalWidth="0" w:num="1">
            <w:col w:w="11420"/>
          </w:cols>
          <w:pgMar w:left="240" w:top="553"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53"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2014, the court awarded damages to plaintiffs in the amount of $2.8 million. A reserve of $2.8 million has been established for this matter in the accompanying consolidated balance sheet as of December 31, 2014, of which some or all may be covered by insurance.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HLC intends to renew its appeal following the issuance of a final order by the district court. The district court has stayed this matter pending plaintiffs' investigation and subsequent report to the district court as to whether any class members will seek trials on individual damages.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2013, the Company made a contribution of $0.4 million to an educational trust. The Company's Chairman and Chief Executive Officer is the trustee. However, he will not receive compensation as trustee and neither he nor any of his family members are entitled to distributions from the trust.</w:t>
      </w:r>
    </w:p>
    <w:p>
      <w:pPr>
        <w:spacing w:after="0" w:line="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November 7, 2012, the audit committee, compensation committee and board of directors approved an early redemption of 2,097.67 outstanding shares of Series A Redeemable Preferred Stock of the Company's wholly-owned subsidiary LendingTree Holdings Corp. owned by the Chairman and CEO, including all accrued dividends, for $3.3 million in cash. The redemption closed on November 30, 2012. The redemption value of the preferred stock was determined in part based on a valuation of the discounted remaining dividend stream through the mandatory redemption date of August 20,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13—BENEFIT PLANS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$17,500, $17,500 and $17,000 for 2014, 2013 and 2012, respectively).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less than three years of service vesting at 0%, and three years or more of service vesting at 100%. Matching contributions were approximately $0.5 million, $0.2 million and $0.3 million for the years ended December 31, 2014, 2013 and 2012,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Accrued restructuring costs primarily relate to lease obligations for call center leases exited in 2010, which are expected to be completed by 2015, and severance for headcount reductions in corporate infrastructure departments. Restructuring expense and payments against liabilities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Arial" w:cs="Arial" w:eastAsia="Arial" w:hAnsi="Arial"/>
                <w:sz w:val="16"/>
                <w:szCs w:val="16"/>
                <w:b w:val="1"/>
                <w:bCs w:val="1"/>
                <w:color w:val="auto"/>
                <w:w w:val="92"/>
              </w:rPr>
              <w:t>Employee</w:t>
            </w:r>
          </w:p>
        </w:tc>
        <w:tc>
          <w:tcPr>
            <w:tcW w:w="320" w:type="dxa"/>
            <w:vAlign w:val="bottom"/>
          </w:tcPr>
          <w:p>
            <w:pPr>
              <w:spacing w:after="0"/>
              <w:rPr>
                <w:sz w:val="17"/>
                <w:szCs w:val="17"/>
                <w:color w:val="auto"/>
              </w:rPr>
            </w:pPr>
          </w:p>
        </w:tc>
        <w:tc>
          <w:tcPr>
            <w:tcW w:w="1280" w:type="dxa"/>
            <w:vAlign w:val="bottom"/>
          </w:tcPr>
          <w:p>
            <w:pPr>
              <w:jc w:val="center"/>
              <w:ind w:right="174"/>
              <w:spacing w:after="0"/>
              <w:rPr>
                <w:sz w:val="20"/>
                <w:szCs w:val="20"/>
                <w:color w:val="auto"/>
              </w:rPr>
            </w:pPr>
            <w:r>
              <w:rPr>
                <w:rFonts w:ascii="Arial" w:cs="Arial" w:eastAsia="Arial" w:hAnsi="Arial"/>
                <w:sz w:val="16"/>
                <w:szCs w:val="16"/>
                <w:b w:val="1"/>
                <w:bCs w:val="1"/>
                <w:color w:val="auto"/>
                <w:w w:val="92"/>
              </w:rPr>
              <w:t>Continuing</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Arial" w:cs="Arial" w:eastAsia="Arial" w:hAnsi="Arial"/>
                <w:sz w:val="16"/>
                <w:szCs w:val="16"/>
                <w:b w:val="1"/>
                <w:bCs w:val="1"/>
                <w:color w:val="auto"/>
                <w:w w:val="93"/>
              </w:rPr>
              <w:t>Termination</w:t>
            </w:r>
          </w:p>
        </w:tc>
        <w:tc>
          <w:tcPr>
            <w:tcW w:w="320" w:type="dxa"/>
            <w:vAlign w:val="bottom"/>
          </w:tcPr>
          <w:p>
            <w:pPr>
              <w:spacing w:after="0"/>
              <w:rPr>
                <w:sz w:val="17"/>
                <w:szCs w:val="17"/>
                <w:color w:val="auto"/>
              </w:rPr>
            </w:pPr>
          </w:p>
        </w:tc>
        <w:tc>
          <w:tcPr>
            <w:tcW w:w="1280" w:type="dxa"/>
            <w:vAlign w:val="bottom"/>
          </w:tcPr>
          <w:p>
            <w:pPr>
              <w:jc w:val="center"/>
              <w:ind w:right="194"/>
              <w:spacing w:after="0"/>
              <w:rPr>
                <w:sz w:val="20"/>
                <w:szCs w:val="20"/>
                <w:color w:val="auto"/>
              </w:rPr>
            </w:pPr>
            <w:r>
              <w:rPr>
                <w:rFonts w:ascii="Arial" w:cs="Arial" w:eastAsia="Arial" w:hAnsi="Arial"/>
                <w:sz w:val="16"/>
                <w:szCs w:val="16"/>
                <w:b w:val="1"/>
                <w:bCs w:val="1"/>
                <w:color w:val="auto"/>
                <w:w w:val="88"/>
              </w:rPr>
              <w:t>Lease</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74"/>
              <w:spacing w:after="0"/>
              <w:rPr>
                <w:sz w:val="20"/>
                <w:szCs w:val="20"/>
                <w:color w:val="auto"/>
              </w:rPr>
            </w:pPr>
            <w:r>
              <w:rPr>
                <w:rFonts w:ascii="Arial" w:cs="Arial" w:eastAsia="Arial" w:hAnsi="Arial"/>
                <w:sz w:val="16"/>
                <w:szCs w:val="16"/>
                <w:b w:val="1"/>
                <w:bCs w:val="1"/>
                <w:color w:val="auto"/>
                <w:w w:val="85"/>
              </w:rPr>
              <w:t>Costs</w:t>
            </w:r>
          </w:p>
        </w:tc>
        <w:tc>
          <w:tcPr>
            <w:tcW w:w="320" w:type="dxa"/>
            <w:vAlign w:val="bottom"/>
          </w:tcPr>
          <w:p>
            <w:pPr>
              <w:spacing w:after="0"/>
              <w:rPr>
                <w:sz w:val="18"/>
                <w:szCs w:val="18"/>
                <w:color w:val="auto"/>
              </w:rPr>
            </w:pPr>
          </w:p>
        </w:tc>
        <w:tc>
          <w:tcPr>
            <w:tcW w:w="128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Obligations</w:t>
            </w:r>
          </w:p>
        </w:tc>
        <w:tc>
          <w:tcPr>
            <w:tcW w:w="40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6"/>
                <w:szCs w:val="16"/>
                <w:b w:val="1"/>
                <w:bCs w:val="1"/>
                <w:color w:val="auto"/>
              </w:rPr>
              <w:t>129</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b w:val="1"/>
                <w:bCs w:val="1"/>
                <w:color w:val="auto"/>
              </w:rPr>
              <w:t>1,207</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income</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6"/>
                <w:szCs w:val="16"/>
                <w:color w:val="auto"/>
              </w:rPr>
              <w:t>(47)</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(254)</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6"/>
                <w:szCs w:val="16"/>
                <w:color w:val="auto"/>
              </w:rPr>
              <w:t>70</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906</w:t>
            </w: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906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462</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178</w:t>
            </w: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w:t>
            </w:r>
          </w:p>
        </w:tc>
      </w:tr>
      <w:tr>
        <w:trPr>
          <w:trHeight w:val="34"/>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expect to incur significant additional costs related to the restructuring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income that are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r>
      <w:tr>
        <w:trPr>
          <w:trHeight w:val="28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14,256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86,833</w:t>
            </w:r>
          </w:p>
        </w:tc>
      </w:tr>
      <w:tr>
        <w:trPr>
          <w:trHeight w:val="324"/>
        </w:trPr>
        <w:tc>
          <w:tcPr>
            <w:tcW w:w="7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10,392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9,561</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24,373</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9,849</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4,620</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48,874</w:t>
            </w:r>
          </w:p>
        </w:tc>
      </w:tr>
      <w:tr>
        <w:trPr>
          <w:trHeight w:val="34"/>
        </w:trPr>
        <w:tc>
          <w:tcPr>
            <w:tcW w:w="7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before income taxes for the year ended December 31, 2012 includes goodwill and intangible asset impairment charges of $1.4 million and restructuring expense totaling $0.3 million. Income before income taxes for the year ended December 31, 2014 includes income from a reduction in the loan loss reserve of $14.1 million. See additional information in "Loan Loss Obligations"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Discover. Of the total purchase price, $8.0 million was paid prior to the closing, $37.9 million was paid upon the closing and the contingent amount of $10.0 million was paid and recognized as a gain from sale of discontinued operations in 2013.</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2014, $16.1 million is being held in escrow in accordance with the agreement with Discover for certain loan loss obligations that remain with the Company following the sale. As a result of a settlement agreement in 2014 with a secondary market purchaser of loans, $12.1 million of such amount is expected to be released from escrow in December 2015. The escrowed amount is recorded as restricted cash at December 31, 2014.</w:t>
      </w:r>
    </w:p>
    <w:p>
      <w:pPr>
        <w:sectPr>
          <w:pgSz w:w="11900" w:h="16838" w:orient="portrait"/>
          <w:cols w:equalWidth="0" w:num="1">
            <w:col w:w="11420"/>
          </w:cols>
          <w:pgMar w:left="240" w:top="553"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53"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Separate from the asset purchase agreement, LendingTree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2013.</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has participated as a marketplace lender since closing of the transaction.</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credits were exhausted in 2014.</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December 31, 2014, approximately $16.1 million is being held in escrow pending resolution of certain of these contingent liabilities. As a result of a settlement agreement in 2014 with a secondary market purchaser of loans, $12.1 million of such amount is expected to be released from escrow in December 2015.</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 The settlement was paid in the fourth quarter of 2014 with restricted cash of $3.1 million and cash on hand of $2.3 million. The settlement with this investor in the fourth quarter of 2014 and the impact this settlement had on the estimate of the remaining loan loss obligations resulted in income of $14.1 million, which is included in income from discontinued operations in the accompanying consolidated statements of operations and comprehensive income. The adjustment to the loan loss reserve did not result in tax expense recognition due to the Company's full valuation allowance against its deferred tax assets.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2012, LendingTree Loans completed settlements with two buyers of previously purchased loans. These settlements of $0.5 million and $3.3 million, respectively, relate to all existing and substantially all future losses on loans sold to these buyers. In the second quarter of 2014, LendingTree Loans completed settlements with two buyers of previously purchased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2013, the Company revised its estimation process for evaluating the adequacy of the reserve for loan losses to use a settlement discount framework. This model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$6.3 million to $11.2 million at December 31, 2014. The reserve balance recorded as of December 31, 2014 was $8.8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28,543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27,182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31,512</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Provision adjustments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(14,144)</w:t>
            </w:r>
          </w:p>
        </w:tc>
        <w:tc>
          <w:tcPr>
            <w:tcW w:w="34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1,531</w:t>
            </w:r>
          </w:p>
        </w:tc>
        <w:tc>
          <w:tcPr>
            <w:tcW w:w="3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6,977</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 in estimate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Charge-offs to reserves</w:t>
            </w: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(5,649)</w:t>
            </w: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8,750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28,543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27,182</w:t>
            </w:r>
          </w:p>
        </w:tc>
      </w:tr>
      <w:tr>
        <w:trPr>
          <w:trHeight w:val="27"/>
        </w:trPr>
        <w:tc>
          <w:tcPr>
            <w:tcW w:w="7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discussed above, during 2014, LendingTree Loans completed a settlement agreement with the largest investor to which it had sold loans, resulting in an adjustment to the provision.</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2012, in order to reflect the Company's exit from the mortgage loan origination business and its commercial objective to pursue bulk settlements with investors, management revised the estimation process for evaluating the adequacy of the reserve for loan losses resulting in a change in estimate.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included in current liabilities of discontinued operations in the accompanying consolidated balance sheets as of December 31, 2014 and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closing of the sale of substantially all of the operating assets of the LendingTree Loans business on June 6, 2012, all three then-existing warehouse lines of credit totaling $325.0 million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LendingTree Loans entered into commitments with consumers to originate loans at specified interest rates (interest rate lock commitments—"IRLCs"). IRLCs were reported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LendingTree Loans valued IRLCs for loans sold to investors on a best-efforts basis using quantitative risk models on a loan level basis.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December 31, 2014 and 2013, there are no IRLCs outstanding.</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became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assets and liabilities that are measured at fair value on a recurring basis at December 31, 2014 and 2013; however, there were during the year ended December 31,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53"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changes in assets and liabilities that are measured at fair value on a recurring basis using significant unobservable inputs (Level 3) during the year ended December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5"/>
              </w:rPr>
              <w:t>Interest Rate Lock</w:t>
            </w:r>
          </w:p>
        </w:tc>
        <w:tc>
          <w:tcPr>
            <w:tcW w:w="200" w:type="dxa"/>
            <w:vAlign w:val="bottom"/>
          </w:tcPr>
          <w:p>
            <w:pPr>
              <w:spacing w:after="0"/>
              <w:rPr>
                <w:sz w:val="13"/>
                <w:szCs w:val="13"/>
                <w:color w:val="auto"/>
              </w:rPr>
            </w:pPr>
          </w:p>
        </w:tc>
        <w:tc>
          <w:tcPr>
            <w:tcW w:w="13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6"/>
              </w:rPr>
              <w:t>Forward Delivery</w:t>
            </w:r>
          </w:p>
        </w:tc>
        <w:tc>
          <w:tcPr>
            <w:tcW w:w="320" w:type="dxa"/>
            <w:vAlign w:val="bottom"/>
          </w:tcPr>
          <w:p>
            <w:pPr>
              <w:spacing w:after="0"/>
              <w:rPr>
                <w:sz w:val="13"/>
                <w:szCs w:val="13"/>
                <w:color w:val="auto"/>
              </w:rPr>
            </w:pPr>
          </w:p>
        </w:tc>
        <w:tc>
          <w:tcPr>
            <w:tcW w:w="12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Loans Held</w:t>
            </w:r>
          </w:p>
        </w:tc>
      </w:tr>
      <w:tr>
        <w:trPr>
          <w:trHeight w:val="192"/>
        </w:trPr>
        <w:tc>
          <w:tcPr>
            <w:tcW w:w="6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Commitments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Contracts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for Sale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564</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73,378</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846</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of IRLCs to closed loans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(73,459)</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r>
      <w:tr>
        <w:trPr>
          <w:trHeight w:val="34"/>
        </w:trPr>
        <w:tc>
          <w:tcPr>
            <w:tcW w:w="6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 xml:space="preserve">The following presents the gains (losses) included in earnings for the year ended December 31, 2012 relating to assets and liabilities that are measured at fair value on a recurring basis using significant unobservable inputs (Level 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2"/>
              </w:rPr>
              <w:t>Year Ended December 31, 2012</w:t>
            </w:r>
          </w:p>
        </w:tc>
        <w:tc>
          <w:tcPr>
            <w:tcW w:w="116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94"/>
              </w:rPr>
              <w:t>Interest Rate</w:t>
            </w:r>
          </w:p>
        </w:tc>
        <w:tc>
          <w:tcPr>
            <w:tcW w:w="500" w:type="dxa"/>
            <w:vAlign w:val="bottom"/>
          </w:tcPr>
          <w:p>
            <w:pPr>
              <w:spacing w:after="0"/>
              <w:rPr>
                <w:sz w:val="13"/>
                <w:szCs w:val="13"/>
                <w:color w:val="auto"/>
              </w:rPr>
            </w:pPr>
          </w:p>
        </w:tc>
        <w:tc>
          <w:tcPr>
            <w:tcW w:w="1220" w:type="dxa"/>
            <w:vAlign w:val="bottom"/>
          </w:tcPr>
          <w:p>
            <w:pPr>
              <w:jc w:val="center"/>
              <w:ind w:right="201"/>
              <w:spacing w:after="0" w:line="153" w:lineRule="exact"/>
              <w:rPr>
                <w:sz w:val="20"/>
                <w:szCs w:val="20"/>
                <w:color w:val="auto"/>
              </w:rPr>
            </w:pPr>
            <w:r>
              <w:rPr>
                <w:rFonts w:ascii="Arial" w:cs="Arial" w:eastAsia="Arial" w:hAnsi="Arial"/>
                <w:sz w:val="14"/>
                <w:szCs w:val="14"/>
                <w:b w:val="1"/>
                <w:bCs w:val="1"/>
                <w:color w:val="auto"/>
                <w:w w:val="97"/>
              </w:rPr>
              <w:t>Forward</w:t>
            </w:r>
          </w:p>
        </w:tc>
        <w:tc>
          <w:tcPr>
            <w:tcW w:w="400" w:type="dxa"/>
            <w:vAlign w:val="bottom"/>
          </w:tcPr>
          <w:p>
            <w:pPr>
              <w:spacing w:after="0"/>
              <w:rPr>
                <w:sz w:val="13"/>
                <w:szCs w:val="13"/>
                <w:color w:val="auto"/>
              </w:rPr>
            </w:pPr>
          </w:p>
        </w:tc>
        <w:tc>
          <w:tcPr>
            <w:tcW w:w="1160" w:type="dxa"/>
            <w:vAlign w:val="bottom"/>
          </w:tcPr>
          <w:p>
            <w:pPr>
              <w:jc w:val="center"/>
              <w:ind w:right="221"/>
              <w:spacing w:after="0" w:line="153" w:lineRule="exact"/>
              <w:rPr>
                <w:sz w:val="20"/>
                <w:szCs w:val="20"/>
                <w:color w:val="auto"/>
              </w:rPr>
            </w:pPr>
            <w:r>
              <w:rPr>
                <w:rFonts w:ascii="Arial" w:cs="Arial" w:eastAsia="Arial" w:hAnsi="Arial"/>
                <w:sz w:val="14"/>
                <w:szCs w:val="14"/>
                <w:b w:val="1"/>
                <w:bCs w:val="1"/>
                <w:color w:val="auto"/>
                <w:w w:val="92"/>
              </w:rPr>
              <w:t>Loans</w:t>
            </w: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7"/>
              </w:rPr>
              <w:t>Lock</w:t>
            </w:r>
          </w:p>
        </w:tc>
        <w:tc>
          <w:tcPr>
            <w:tcW w:w="500" w:type="dxa"/>
            <w:vAlign w:val="bottom"/>
          </w:tcPr>
          <w:p>
            <w:pPr>
              <w:spacing w:after="0"/>
              <w:rPr>
                <w:sz w:val="12"/>
                <w:szCs w:val="12"/>
                <w:color w:val="auto"/>
              </w:rPr>
            </w:pPr>
          </w:p>
        </w:tc>
        <w:tc>
          <w:tcPr>
            <w:tcW w:w="12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Delivery</w:t>
            </w:r>
          </w:p>
        </w:tc>
        <w:tc>
          <w:tcPr>
            <w:tcW w:w="400" w:type="dxa"/>
            <w:vAlign w:val="bottom"/>
          </w:tcPr>
          <w:p>
            <w:pPr>
              <w:spacing w:after="0"/>
              <w:rPr>
                <w:sz w:val="12"/>
                <w:szCs w:val="12"/>
                <w:color w:val="auto"/>
              </w:rPr>
            </w:pPr>
          </w:p>
        </w:tc>
        <w:tc>
          <w:tcPr>
            <w:tcW w:w="11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8"/>
              </w:rPr>
              <w:t>Held</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Commitments</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1"/>
              </w:rPr>
              <w:t>Contracts</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3"/>
              </w:rPr>
              <w:t>for Sale</w:t>
            </w:r>
          </w:p>
        </w:tc>
      </w:tr>
      <w:tr>
        <w:trPr>
          <w:trHeight w:val="28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Total net gains (losses) included in earnings, which are included in discontinued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846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Change in unrealized losses relating to assets and liabilities still held at December 31, 2012,</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which are included in discontinued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34"/>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gain recognized in the consolidated statements of operations and comprehensive income for derivatives for the year ended December 31, 2012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406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3"/>
              </w:rPr>
              <w:t>Location of Gain Recognized in Income on Derivative</w:t>
            </w:r>
          </w:p>
        </w:tc>
        <w:tc>
          <w:tcPr>
            <w:tcW w:w="48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40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Lock Commitments</w:t>
            </w:r>
          </w:p>
        </w:tc>
        <w:tc>
          <w:tcPr>
            <w:tcW w:w="4060" w:type="dxa"/>
            <w:vAlign w:val="bottom"/>
            <w:tcBorders>
              <w:bottom w:val="single" w:sz="8" w:color="CCEEFF"/>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Discontinued operations</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73,378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Forward Delivery Contracts</w:t>
            </w:r>
          </w:p>
        </w:tc>
        <w:tc>
          <w:tcPr>
            <w:tcW w:w="4060" w:type="dxa"/>
            <w:vAlign w:val="bottom"/>
          </w:tcPr>
          <w:p>
            <w:pPr>
              <w:jc w:val="center"/>
              <w:ind w:left="56"/>
              <w:spacing w:after="0"/>
              <w:rPr>
                <w:sz w:val="20"/>
                <w:szCs w:val="20"/>
                <w:color w:val="auto"/>
              </w:rPr>
            </w:pPr>
            <w:r>
              <w:rPr>
                <w:rFonts w:ascii="Arial" w:cs="Arial" w:eastAsia="Arial" w:hAnsi="Arial"/>
                <w:sz w:val="18"/>
                <w:szCs w:val="18"/>
                <w:color w:val="auto"/>
                <w:w w:val="91"/>
              </w:rPr>
              <w:t>Discontinued operations</w:t>
            </w:r>
          </w:p>
        </w:tc>
        <w:tc>
          <w:tcPr>
            <w:tcW w:w="4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gain on derivatives</w:t>
            </w:r>
          </w:p>
        </w:tc>
        <w:tc>
          <w:tcPr>
            <w:tcW w:w="4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77,622</w:t>
            </w:r>
          </w:p>
        </w:tc>
        <w:tc>
          <w:tcPr>
            <w:tcW w:w="0" w:type="dxa"/>
            <w:vAlign w:val="bottom"/>
          </w:tcPr>
          <w:p>
            <w:pPr>
              <w:spacing w:after="0"/>
              <w:rPr>
                <w:sz w:val="1"/>
                <w:szCs w:val="1"/>
                <w:color w:val="auto"/>
              </w:rPr>
            </w:pPr>
          </w:p>
        </w:tc>
      </w:tr>
      <w:tr>
        <w:trPr>
          <w:trHeight w:val="27"/>
        </w:trPr>
        <w:tc>
          <w:tcPr>
            <w:tcW w:w="562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under the fair value option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December 31, 2014 and 2013, there were no loans held for sale or carried at the lower of cost or market ("LOCOM") value assessed on an individual loan basis.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2012, the change in fair value of loans held for sale for which the fair value option was elected was a gain of $2.7 million and is included in discontinued operations in the consolidated statement of operations and comprehensive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one reportable segment, its lending operating segment. The Company formerly referred to this reportable segment as its mortgage segment. Its additional operating segments - auto, education and home services - are included in the "Other" category in the reconciliation of segment information below.</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expenses presented below for the lending segment and the operating segments shown in the Other category include allocations of certain corporate expenses that are identifiable and directly benefit those segments. The unallocated expenses included in the "Corporate" category are those corporate overhead expenses that are not directly attributable to an operating segment and include: finance, legal, executive technology support and human resources.</w:t>
      </w:r>
    </w:p>
    <w:p>
      <w:pPr>
        <w:spacing w:after="0" w:line="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earnings before interest, taxes, depreciation and amortization ("Adjusted EBITDA"), a non-GAAP measure, is the primary metric by which the chief operating decision maker evaluates the performance of the Company's businesses, on which its marketing expenditures and internal budgets are based and by which management and many employees are compensated. Adjusted EBITDA is defined as operating income or loss (which excludes interest expense and taxes) adjusted to exclude amortization of intangibles and depreciation, and excludes (1) non-cash compensation expense, (2) non-cash asset impairment charges, (3) gain/loss on disposal of assets, (4) restructuring and severance expenses, (5) litigation settlements and contingencies and legal fees for certain patent litigation, (6) adjustments for acquisitions or dispositions and (7) one-time items. For the periods presented in this report, there are no adjustments for one-time items, except for a $0.9 million related to a discretionary cash bonus payment to employee stock option holders and a one-time contribution to an educational trust of $0.4 million.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Summarized information by segment and reconciliations to Adjusted EBITDA and income (loss) before income taxes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5"/>
              </w:rPr>
              <w:t>Year Ended December 31, 2014</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6"/>
                <w:szCs w:val="16"/>
                <w:b w:val="1"/>
                <w:bCs w:val="1"/>
                <w:color w:val="auto"/>
              </w:rPr>
              <w:t>Lending</w:t>
            </w:r>
          </w:p>
        </w:tc>
        <w:tc>
          <w:tcPr>
            <w:tcW w:w="32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154,504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12,846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167,350</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104,388</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8,316</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112,704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17,006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6,345</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1,088</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7,457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10,616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10,618</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124,894</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15,321</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28,104</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168,319</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29,610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(2,475)</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(28,104)</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10,616</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10,618</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33,923</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1,087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(13,183)</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21,827</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(971)</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9"/>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68</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5"/>
              </w:rPr>
              <w:t>Year Ended December 31, 2013</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6"/>
                <w:szCs w:val="16"/>
                <w:b w:val="1"/>
                <w:bCs w:val="1"/>
                <w:color w:val="auto"/>
              </w:rPr>
              <w:t>Lending</w:t>
            </w:r>
          </w:p>
        </w:tc>
        <w:tc>
          <w:tcPr>
            <w:tcW w:w="32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127,985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139,240</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83,694</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7,449</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91,121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18,784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4,302</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5,264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8,924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8,955</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98,625</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13,135</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28,587</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140,347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29,360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(2,503)</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(27,964)</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3,257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Trust contribution</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8,924</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32,572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52</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(13,907)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18,717</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783"/>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69</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w w:val="95"/>
              </w:rPr>
              <w:t>Year Ended December 31, 2012</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6"/>
                <w:szCs w:val="16"/>
                <w:b w:val="1"/>
                <w:bCs w:val="1"/>
                <w:color w:val="auto"/>
              </w:rPr>
              <w:t>Lending</w:t>
            </w:r>
          </w:p>
        </w:tc>
        <w:tc>
          <w:tcPr>
            <w:tcW w:w="26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61,176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14,620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77,443</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35,250</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13,677</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48,934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3,470</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15,873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2,277</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1,258</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45,791</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20,719</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13,784</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80,294</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15,385</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(6,099)</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(12,137)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3,093</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4,587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18,316</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(2,887)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(11,650)</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3,779</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(3,732)</w:t>
            </w:r>
          </w:p>
        </w:tc>
      </w:tr>
      <w:tr>
        <w:trPr>
          <w:trHeight w:val="34"/>
        </w:trPr>
        <w:tc>
          <w:tcPr>
            <w:tcW w:w="7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78"/>
        </w:trPr>
        <w:tc>
          <w:tcPr>
            <w:tcW w:w="7080" w:type="dxa"/>
            <w:vAlign w:val="bottom"/>
            <w:gridSpan w:val="3"/>
          </w:tcPr>
          <w:p>
            <w:pPr>
              <w:ind w:left="340"/>
              <w:spacing w:after="0"/>
              <w:rPr>
                <w:sz w:val="20"/>
                <w:szCs w:val="20"/>
                <w:color w:val="auto"/>
              </w:rPr>
            </w:pPr>
            <w:r>
              <w:rPr>
                <w:rFonts w:ascii="Arial" w:cs="Arial" w:eastAsia="Arial" w:hAnsi="Arial"/>
                <w:sz w:val="18"/>
                <w:szCs w:val="18"/>
                <w:color w:val="auto"/>
              </w:rPr>
              <w:t xml:space="preserve">Revenue by product category of the lending segment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5"/>
          </w:tcPr>
          <w:p>
            <w:pPr>
              <w:jc w:val="center"/>
              <w:ind w:right="131"/>
              <w:spacing w:after="0"/>
              <w:rPr>
                <w:sz w:val="20"/>
                <w:szCs w:val="20"/>
                <w:color w:val="auto"/>
              </w:rPr>
            </w:pPr>
            <w:r>
              <w:rPr>
                <w:rFonts w:ascii="Arial" w:cs="Arial" w:eastAsia="Arial" w:hAnsi="Arial"/>
                <w:sz w:val="16"/>
                <w:szCs w:val="16"/>
                <w:b w:val="1"/>
                <w:bCs w:val="1"/>
                <w:color w:val="auto"/>
                <w:w w:val="92"/>
              </w:rPr>
              <w:t>Year Ended Year Ended December 31,</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134,137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123,091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20,367</w:t>
            </w:r>
          </w:p>
        </w:tc>
        <w:tc>
          <w:tcPr>
            <w:tcW w:w="2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4,894</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1,814</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2"/>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lending revenue</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154,504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127,985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61,176</w:t>
            </w:r>
          </w:p>
        </w:tc>
      </w:tr>
      <w:tr>
        <w:trPr>
          <w:trHeight w:val="459"/>
        </w:trPr>
        <w:tc>
          <w:tcPr>
            <w:tcW w:w="5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70</w:t>
            </w: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INFORMATION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summary financial information for the years ended December 31, 2014 and 2013: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40,036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42,144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41,306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43,864</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(5,834)</w:t>
            </w:r>
          </w:p>
        </w:tc>
        <w:tc>
          <w:tcPr>
            <w:tcW w:w="4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2,683</w:t>
            </w: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2,109</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15,637</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0.19</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(loss) per share from discontinued operations:</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1.12</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1.39</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r>
      <w:tr>
        <w:trPr>
          <w:trHeight w:val="582"/>
        </w:trPr>
        <w:tc>
          <w:tcPr>
            <w:tcW w:w="56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28,080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37,406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37,343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36,411</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4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1,317</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9,112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7,079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0.12</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(loss) per share from discontinued operations:</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0.82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0.64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885"/>
        </w:trPr>
        <w:tc>
          <w:tcPr>
            <w:tcW w:w="56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71</w:t>
            </w:r>
          </w:p>
        </w:tc>
        <w:tc>
          <w:tcPr>
            <w:tcW w:w="9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553" w:right="2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2014,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Management, with the participation of our Chief Executive Officer and Chief Financial Officer, assessed the effectiveness of our internal control over financial reporting as of December 31, 2014.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2014. The effectiveness of our internal control over financial reporting as of December 31, 2014 has been audited by PricewaterhouseCoopers LLP, an independent registered public accounting firm, as stated in their report appearing under "Item 8. Financial Statements and Supplementary Data"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2014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Agreement with Gabe Dalporto</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11, 2015, we entered into a new employment agreement with Mr. Gabe Dalporto, our Chief Marketing Officer and President, Mortgage. This agreement replaces the employment agreement we entered into with Mr. Dalporto on January 9,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2" w:name="page73"/>
    <w:bookmarkEnd w:id="72"/>
    <w:p>
      <w:pPr>
        <w:jc w:val="both"/>
        <w:spacing w:after="0" w:line="267" w:lineRule="auto"/>
        <w:rPr>
          <w:sz w:val="20"/>
          <w:szCs w:val="20"/>
          <w:color w:val="auto"/>
        </w:rPr>
      </w:pPr>
      <w:r>
        <w:rPr>
          <w:rFonts w:ascii="Arial" w:cs="Arial" w:eastAsia="Arial" w:hAnsi="Arial"/>
          <w:sz w:val="17"/>
          <w:szCs w:val="17"/>
          <w:color w:val="auto"/>
        </w:rPr>
        <w:t>The employment agreement has an initial term that ends on February 6, 2018. Mr. Dalporto may request to extend the term of the agreement prior to its expiration, and the Compensation Committee may agree to extend the term of the agreement for up to two additional one-year periods. Under the employment agreement, Mr. Dalporto will receive a base salary of $350,000 and is eligible to receive an annual bonus of up to 60% of his base salary as well as equity incentives, subject to the discretion of the Compensation Committee. The employment agreement provides that, if we terminate Mr. Dalporto’s employment without “cause” or Mr. Dalporto resigns for “good reason” (as defined in the employment agreement, and each of which is referred to as a “qualifying termination”) during the term of his agreement, then Mr. Dalporto would receive (i) any accrued obligations, as defined in the employment agreement, (ii) one year of base salary, payable in installments on our regularly scheduled payroll dates and (iii) health care coverage under COBRA for a period of one year, if Mr. Dalporto elects COBRA continuation coverage. Receipt of such benefits is conditioned upon Mr. Dalporto providing, and not revoking, a release of claims against us and our affiliates within sixty days of the qualifying termination. Our obligation to make payments of base salary referenced in clause (ii) above will (a) be offset by any compensation Mr. Dalporto earns as a result of his employment with or services provided to a third party during the period in which the base salary payments are being paid and (b) immediately cease if Mr. Dalporto breaches the terms of the employment agreement. Additionally, if a qualifying termination occurs before February 19, 2016 and Mr. Dalporto timely executes, and does not revoke, a release of claims against us and our affiliates and fully complies with his obligations under the employment agreement, then: (i) the portion of Mr. Dalporto’s then outstanding unvested restricted stock units (RSUs) issued pursuant to our 2008 Stock and Annual Incentive Plan (which we refer to as the 2008 Plan), which were otherwise scheduled to vest between the date of the qualifying termination and February 19, 2016, will instead become vested on the effective date of the release of claims; and (ii) the portion of Mr. Dalporto’s then outstanding unvested options to purchase common stock issued pursuant to the 2008 Plan which were otherwise scheduled to vest on February 19, 2016 will instead become vested and exercisable on the effective date of the release of claims. All other unvested RSUs and options issued to Mr. Dalporto pursuant to the 2008 Plan and which are not described by the foregoing clauses (i) and (ii) will terminate without consideration as of the date of the qualifying termination. Furthermore, if Mr. Dalporto has not provided, or has revoked, a release of claims against us and our affiliates, then the RSUs or options that were covered by the foregoing clauses (i) and (ii) will terminate without consideration as of the 61st day following the qualifying termination.</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Mr. Dalporto is terminated for cause, then no further base salary will be paid to him after the date of termination and he will not be eligible to receive any annual bonus relating to the performance year in which his employment terminates. In the event of Mr. Dalporto’s death during the term of the employment agreement, we would pay his estate, on the next regularly scheduled payroll date following the date of his death, a lump sum payment in the amount of the accrued obligations, as such term is defined in the employment agreement, except that any annual bonus amounts payable as part of the accrued obligations would be paid to his estate on the date that such amounts are paid to other similarly situated executives in accordance with the terms of the annual bonus plan in effect on the date of his death. If Mr. Dalporto’s employment is terminated due to disability during the term of the employment agreement, we would pay him, on the next regularly scheduled payroll date following the date of such termination, a lump sum payment in the amount of the accrued obligations, as such term is defined in the employment agreement.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 qualifying termination occurs within one year following a “change in control,” as defined in the change of control letter issued by us to certain or our executives, the terms of such letter, as it may be amended from time to time, will control and supersede the terms of the employment agreement with respect to any benefit or payments which would otherwise be due to Mr. Dalporto thereunder.</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Mr. Dalporto has also agreed that during the term of his employment and for one year following the termination of his employment for any reason he will not compete with our business and that he will not solicit our employees or customers, except for a qualifying termination within one year following a change in control. The agreement also imposes various restrictions on Mr. Dalporto, for our benefit, including maintaining confidentiality of our information.</w:t>
      </w:r>
    </w:p>
    <w:p>
      <w:pPr>
        <w:sectPr>
          <w:pgSz w:w="11900" w:h="16838" w:orient="portrait"/>
          <w:cols w:equalWidth="0" w:num="1">
            <w:col w:w="11420"/>
          </w:cols>
          <w:pgMar w:left="240" w:top="287"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2015 Annual Meeting of Stockholders and which will be filed with the Securities and Exchange Commission not later than 120 days after the end of the Company's fiscal year ended December 31, 2014 (the "2015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2015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2015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2015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2015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2015 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2014,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2014 and 2013.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2014,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2.1</w:t>
        <w:tab/>
        <w:t>Separation and Distribution Agreement among IAC/InterActiveCorp, Exhibit 10.1 to the Registrant's Registration Statement on Form S-1 HSN, Inc., Interval Leisure Group, Inc., Ticketmaster and Tree.com, (No. 333-152700), filed August 1,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 dated August 20, 2008.</w:t>
      </w:r>
    </w:p>
    <w:p>
      <w:pPr>
        <w:spacing w:after="0" w:line="4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2.2</w:t>
        <w:tab/>
        <w:t>Tax Sharing Agreement among IAC/InterActiveCorp, HSN, Inc., Exhibit 10.2 to the Registrant's Current Report on Form 8-K filed Interval Leisure Group, Inc., Ticketmaster and Tree.com, Inc., dated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2.3</w:t>
        <w:tab/>
        <w:t>Employee Matters Agreement among IAC/InterActiveCorp, HSN, Inc., Exhibit 10.3 to the Registrant's Current Report on Form 8-K filed Interval Leisure Group, Inc., Ticketmaster and Tree.com, Inc., dated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August 20, 2008.</w:t>
      </w:r>
    </w:p>
    <w:p>
      <w:pPr>
        <w:spacing w:after="0" w:line="4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2.4</w:t>
        <w:tab/>
        <w:t>Transition Services Agreement among IAC/InterActiveCorp, HSN, Exhibit 10.4 to the Registrant's Current Report on Form 8-K filed Inc., Interval Leisure Group, Inc., Ticketmaster and Tree.com, Inc.,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2.5</w:t>
        <w:tab/>
        <w:t>Spinco Assignment and Assumption Agreement among Exhibit 10.6 to the Registrant's Current Report on Form 8-K filed IAC/InterActiveCorp, Tree.com, Inc., Liberty Media Corporation and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Liberty USA Holdings, LLC, dated August 20, 2008.</w:t>
      </w:r>
    </w:p>
    <w:p>
      <w:pPr>
        <w:spacing w:after="0" w:line="4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2.6</w:t>
        <w:tab/>
        <w:t>Asset Purchase Agreement among Home Loan Center, Inc., First Exhibit 2.1 to Registrant's Current Report on Form 8K filed Residential Mortgage Network, Inc. dba SurePoint Lending, and the November 16, 2010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shareholders of First Residential Mortgage Network named therein,</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November 15, 2010.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First Amendment to Asset Purchase Agreement among HLC, SurePoint Exhibit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and the shareholders party thereto, dated March 14, 2011.</w:t>
            </w:r>
          </w:p>
        </w:tc>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March 21,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5880" w:type="dxa"/>
            <w:vAlign w:val="bottom"/>
            <w:gridSpan w:val="2"/>
          </w:tcPr>
          <w:p>
            <w:pPr>
              <w:ind w:left="80"/>
              <w:spacing w:after="0"/>
              <w:rPr>
                <w:sz w:val="20"/>
                <w:szCs w:val="20"/>
                <w:color w:val="auto"/>
              </w:rPr>
            </w:pPr>
            <w:r>
              <w:rPr>
                <w:rFonts w:ascii="Arial" w:cs="Arial" w:eastAsia="Arial" w:hAnsi="Arial"/>
                <w:sz w:val="18"/>
                <w:szCs w:val="18"/>
                <w:color w:val="auto"/>
                <w:w w:val="95"/>
              </w:rPr>
              <w:t>Second  Amendment  to  Asset  Purchase  Agreement  among  HLC, Exhibit</w:t>
            </w:r>
          </w:p>
        </w:tc>
        <w:tc>
          <w:tcPr>
            <w:tcW w:w="300" w:type="dxa"/>
            <w:vAlign w:val="bottom"/>
          </w:tcPr>
          <w:p>
            <w:pPr>
              <w:jc w:val="right"/>
              <w:spacing w:after="0"/>
              <w:rPr>
                <w:sz w:val="20"/>
                <w:szCs w:val="20"/>
                <w:color w:val="auto"/>
              </w:rPr>
            </w:pPr>
            <w:r>
              <w:rPr>
                <w:rFonts w:ascii="Arial" w:cs="Arial" w:eastAsia="Arial" w:hAnsi="Arial"/>
                <w:sz w:val="18"/>
                <w:szCs w:val="18"/>
                <w:color w:val="auto"/>
                <w:w w:val="95"/>
              </w:rPr>
              <w:t>2.2</w:t>
            </w:r>
          </w:p>
        </w:tc>
        <w:tc>
          <w:tcPr>
            <w:tcW w:w="4120" w:type="dxa"/>
            <w:vAlign w:val="bottom"/>
          </w:tcPr>
          <w:p>
            <w:pPr>
              <w:ind w:left="40"/>
              <w:spacing w:after="0"/>
              <w:rPr>
                <w:sz w:val="20"/>
                <w:szCs w:val="20"/>
                <w:color w:val="auto"/>
              </w:rPr>
            </w:pPr>
            <w:r>
              <w:rPr>
                <w:rFonts w:ascii="Arial" w:cs="Arial" w:eastAsia="Arial" w:hAnsi="Arial"/>
                <w:sz w:val="18"/>
                <w:szCs w:val="18"/>
                <w:color w:val="auto"/>
                <w:w w:val="98"/>
              </w:rPr>
              <w:t>to the Registrant's Current Report on Form 8-K filed</w:t>
            </w:r>
          </w:p>
        </w:tc>
      </w:tr>
      <w:tr>
        <w:trPr>
          <w:trHeight w:val="230"/>
        </w:trPr>
        <w:tc>
          <w:tcPr>
            <w:tcW w:w="1120" w:type="dxa"/>
            <w:vAlign w:val="bottom"/>
          </w:tcPr>
          <w:p>
            <w:pPr>
              <w:spacing w:after="0"/>
              <w:rPr>
                <w:sz w:val="20"/>
                <w:szCs w:val="20"/>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w w:val="91"/>
              </w:rPr>
              <w:t>SurePoint and the shareholders party thereto, dated March 15, 2011.</w:t>
            </w:r>
          </w:p>
        </w:tc>
        <w:tc>
          <w:tcPr>
            <w:tcW w:w="5160" w:type="dxa"/>
            <w:vAlign w:val="bottom"/>
            <w:gridSpan w:val="3"/>
          </w:tcPr>
          <w:p>
            <w:pPr>
              <w:ind w:left="180"/>
              <w:spacing w:after="0"/>
              <w:rPr>
                <w:sz w:val="20"/>
                <w:szCs w:val="20"/>
                <w:color w:val="auto"/>
              </w:rPr>
            </w:pPr>
            <w:r>
              <w:rPr>
                <w:rFonts w:ascii="Arial" w:cs="Arial" w:eastAsia="Arial" w:hAnsi="Arial"/>
                <w:sz w:val="18"/>
                <w:szCs w:val="18"/>
                <w:color w:val="auto"/>
              </w:rPr>
              <w:t>March 21, 2011</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18" w:right="2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370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10300" w:type="dxa"/>
            <w:vAlign w:val="bottom"/>
            <w:tcBorders>
              <w:bottom w:val="single" w:sz="8" w:color="auto"/>
            </w:tcBorders>
            <w:gridSpan w:val="5"/>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5"/>
              </w:rPr>
              <w:t>Asset Purchase Agreement among Tree.com, Inc., Home Loan Center, Exhibit 2.1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Inc., LendingTree, LLC, HLC Escrow, Inc. and Discover Bank, dated May 16, 2011</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May 12, 2011**</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0300" w:type="dxa"/>
            <w:vAlign w:val="bottom"/>
            <w:gridSpan w:val="5"/>
          </w:tcPr>
          <w:p>
            <w:pPr>
              <w:ind w:left="80"/>
              <w:spacing w:after="0"/>
              <w:rPr>
                <w:sz w:val="20"/>
                <w:szCs w:val="20"/>
                <w:color w:val="auto"/>
              </w:rPr>
            </w:pPr>
            <w:r>
              <w:rPr>
                <w:rFonts w:ascii="Arial" w:cs="Arial" w:eastAsia="Arial" w:hAnsi="Arial"/>
                <w:sz w:val="18"/>
                <w:szCs w:val="18"/>
                <w:color w:val="auto"/>
                <w:w w:val="94"/>
              </w:rPr>
              <w:t>Asset Purchase Agreement among LendingTree, LLC, RealEstate.com, Exhibit 2.1 to the Registrant's Current Report on Form 8-K filed</w:t>
            </w:r>
          </w:p>
        </w:tc>
      </w:tr>
      <w:tr>
        <w:trPr>
          <w:trHeight w:val="230"/>
        </w:trPr>
        <w:tc>
          <w:tcPr>
            <w:tcW w:w="1120" w:type="dxa"/>
            <w:vAlign w:val="bottom"/>
          </w:tcPr>
          <w:p>
            <w:pPr>
              <w:spacing w:after="0"/>
              <w:rPr>
                <w:sz w:val="20"/>
                <w:szCs w:val="20"/>
                <w:color w:val="auto"/>
              </w:rPr>
            </w:pP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Inc. and Market Leader, Inc., dated September 15, 2011**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September 21, 2011</w:t>
            </w:r>
          </w:p>
        </w:tc>
      </w:tr>
      <w:tr>
        <w:trPr>
          <w:trHeight w:val="27"/>
        </w:trPr>
        <w:tc>
          <w:tcPr>
            <w:tcW w:w="1120" w:type="dxa"/>
            <w:vAlign w:val="bottom"/>
          </w:tcPr>
          <w:p>
            <w:pPr>
              <w:spacing w:after="0"/>
              <w:rPr>
                <w:sz w:val="2"/>
                <w:szCs w:val="2"/>
                <w:color w:val="auto"/>
              </w:rPr>
            </w:pPr>
          </w:p>
        </w:tc>
        <w:tc>
          <w:tcPr>
            <w:tcW w:w="5280" w:type="dxa"/>
            <w:vAlign w:val="bottom"/>
            <w:gridSpan w:val="4"/>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2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1"/>
              </w:rPr>
              <w:t>Amendment to Asset Purchase Agreement among Home Loan Center,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Exhibit 2.1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Inc., HLC Escrow, Inc., LendingTree, LLC, Tree.com, Inc., Discover February 8, 2012</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0"/>
              </w:rPr>
              <w:t>Bank and Discover Financial Services, dated February 7, 2012**</w:t>
            </w: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3700" w:type="dxa"/>
            <w:vAlign w:val="bottom"/>
          </w:tcPr>
          <w:p>
            <w:pPr>
              <w:ind w:left="80"/>
              <w:spacing w:after="0"/>
              <w:rPr>
                <w:sz w:val="20"/>
                <w:szCs w:val="20"/>
                <w:color w:val="auto"/>
              </w:rPr>
            </w:pPr>
            <w:r>
              <w:rPr>
                <w:rFonts w:ascii="Arial" w:cs="Arial" w:eastAsia="Arial" w:hAnsi="Arial"/>
                <w:sz w:val="18"/>
                <w:szCs w:val="18"/>
                <w:color w:val="auto"/>
              </w:rPr>
              <w:t>Amended   and   Restated   Certificate   of</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Incorporation</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w w:val="99"/>
              </w:rPr>
              <w:t>of Exhibit 3.1 to the Registrant's Current Report on Form 8-K filed</w:t>
            </w: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LendingTree, Inc.</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August 25, 2008</w:t>
            </w:r>
          </w:p>
        </w:tc>
      </w:tr>
      <w:tr>
        <w:trPr>
          <w:trHeight w:val="27"/>
        </w:trPr>
        <w:tc>
          <w:tcPr>
            <w:tcW w:w="11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Third Amended and Restated By-laws of LendingTree, Inc.</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Exhibit 3.2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300" w:type="dxa"/>
            <w:vAlign w:val="bottom"/>
            <w:gridSpan w:val="5"/>
          </w:tcPr>
          <w:p>
            <w:pPr>
              <w:ind w:left="80"/>
              <w:spacing w:after="0"/>
              <w:rPr>
                <w:sz w:val="20"/>
                <w:szCs w:val="20"/>
                <w:color w:val="auto"/>
              </w:rPr>
            </w:pPr>
            <w:r>
              <w:rPr>
                <w:rFonts w:ascii="Arial" w:cs="Arial" w:eastAsia="Arial" w:hAnsi="Arial"/>
                <w:sz w:val="18"/>
                <w:szCs w:val="18"/>
                <w:color w:val="auto"/>
                <w:w w:val="92"/>
              </w:rPr>
              <w:t>Amended  and  Restated  Restricted  Share  Grant  and  Shareholders' Exhibit 10.8 to the Registrant's Registration Statement on Form S-1</w:t>
            </w:r>
          </w:p>
        </w:tc>
      </w:tr>
      <w:tr>
        <w:trPr>
          <w:trHeight w:val="216"/>
        </w:trPr>
        <w:tc>
          <w:tcPr>
            <w:tcW w:w="11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Agreement,  among  Forest  Merger  Corp.,</w:t>
            </w:r>
          </w:p>
        </w:tc>
        <w:tc>
          <w:tcPr>
            <w:tcW w:w="1060" w:type="dxa"/>
            <w:vAlign w:val="bottom"/>
          </w:tcPr>
          <w:p>
            <w:pPr>
              <w:ind w:left="80"/>
              <w:spacing w:after="0"/>
              <w:rPr>
                <w:sz w:val="20"/>
                <w:szCs w:val="20"/>
                <w:color w:val="auto"/>
              </w:rPr>
            </w:pPr>
            <w:r>
              <w:rPr>
                <w:rFonts w:ascii="Arial" w:cs="Arial" w:eastAsia="Arial" w:hAnsi="Arial"/>
                <w:sz w:val="18"/>
                <w:szCs w:val="18"/>
                <w:color w:val="auto"/>
                <w:w w:val="90"/>
              </w:rPr>
              <w:t>LendingTree,</w:t>
            </w:r>
          </w:p>
        </w:tc>
        <w:tc>
          <w:tcPr>
            <w:tcW w:w="5540" w:type="dxa"/>
            <w:vAlign w:val="bottom"/>
            <w:gridSpan w:val="3"/>
          </w:tcPr>
          <w:p>
            <w:pPr>
              <w:jc w:val="right"/>
              <w:ind w:right="2030"/>
              <w:spacing w:after="0"/>
              <w:rPr>
                <w:sz w:val="20"/>
                <w:szCs w:val="20"/>
                <w:color w:val="auto"/>
              </w:rPr>
            </w:pPr>
            <w:r>
              <w:rPr>
                <w:rFonts w:ascii="Arial" w:cs="Arial" w:eastAsia="Arial" w:hAnsi="Arial"/>
                <w:sz w:val="18"/>
                <w:szCs w:val="18"/>
                <w:color w:val="auto"/>
                <w:w w:val="97"/>
              </w:rPr>
              <w:t>Inc., (No. 333-152700), filed August 1, 2008</w:t>
            </w:r>
          </w:p>
        </w:tc>
      </w:tr>
      <w:tr>
        <w:trPr>
          <w:trHeight w:val="230"/>
        </w:trPr>
        <w:tc>
          <w:tcPr>
            <w:tcW w:w="1120" w:type="dxa"/>
            <w:vAlign w:val="bottom"/>
          </w:tcPr>
          <w:p>
            <w:pPr>
              <w:spacing w:after="0"/>
              <w:rPr>
                <w:sz w:val="20"/>
                <w:szCs w:val="20"/>
                <w:color w:val="auto"/>
              </w:rPr>
            </w:pPr>
          </w:p>
        </w:tc>
        <w:tc>
          <w:tcPr>
            <w:tcW w:w="5080" w:type="dxa"/>
            <w:vAlign w:val="bottom"/>
            <w:gridSpan w:val="3"/>
          </w:tcPr>
          <w:p>
            <w:pPr>
              <w:ind w:left="80"/>
              <w:spacing w:after="0"/>
              <w:rPr>
                <w:sz w:val="20"/>
                <w:szCs w:val="20"/>
                <w:color w:val="auto"/>
              </w:rPr>
            </w:pPr>
            <w:r>
              <w:rPr>
                <w:rFonts w:ascii="Arial" w:cs="Arial" w:eastAsia="Arial" w:hAnsi="Arial"/>
                <w:sz w:val="18"/>
                <w:szCs w:val="18"/>
                <w:color w:val="auto"/>
                <w:w w:val="90"/>
              </w:rPr>
              <w:t>InterActiveCorp and the Grantees named therein, dated July 7, 2003*</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5"/>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6"/>
              </w:rPr>
              <w:t>Registration Rights Agreement among Tree.com, Inc., Liberty Media Exhibit 10.5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w w:val="95"/>
              </w:rPr>
              <w:t>Corporation and Liberty USA Holdings, LLC, dated August 20, 2008.</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25,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5280" w:type="dxa"/>
            <w:vAlign w:val="bottom"/>
            <w:gridSpan w:val="4"/>
          </w:tcPr>
          <w:p>
            <w:pPr>
              <w:ind w:left="80"/>
              <w:spacing w:after="0"/>
              <w:rPr>
                <w:sz w:val="20"/>
                <w:szCs w:val="20"/>
                <w:color w:val="auto"/>
              </w:rPr>
            </w:pPr>
            <w:r>
              <w:rPr>
                <w:rFonts w:ascii="Arial" w:cs="Arial" w:eastAsia="Arial" w:hAnsi="Arial"/>
                <w:sz w:val="18"/>
                <w:szCs w:val="18"/>
                <w:color w:val="auto"/>
                <w:w w:val="90"/>
              </w:rPr>
              <w:t>Letter Agreement between Tree.com, Inc. and Alexander Mandel, dated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July 27, 2012*</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November 14, 2012</w:t>
            </w:r>
          </w:p>
        </w:tc>
      </w:tr>
      <w:tr>
        <w:trPr>
          <w:trHeight w:val="27"/>
        </w:trPr>
        <w:tc>
          <w:tcPr>
            <w:tcW w:w="1120" w:type="dxa"/>
            <w:vAlign w:val="bottom"/>
          </w:tcPr>
          <w:p>
            <w:pPr>
              <w:spacing w:after="0"/>
              <w:rPr>
                <w:sz w:val="2"/>
                <w:szCs w:val="2"/>
                <w:color w:val="auto"/>
              </w:rPr>
            </w:pPr>
          </w:p>
        </w:tc>
        <w:tc>
          <w:tcPr>
            <w:tcW w:w="5280" w:type="dxa"/>
            <w:vAlign w:val="bottom"/>
            <w:gridSpan w:val="4"/>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Change in Control Letter between Tree.com, Inc. and Alexander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10.2 to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Mandel, dated July 27, 2012*</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14,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300" w:type="dxa"/>
            <w:vAlign w:val="bottom"/>
            <w:gridSpan w:val="5"/>
          </w:tcPr>
          <w:p>
            <w:pPr>
              <w:ind w:left="80"/>
              <w:spacing w:after="0"/>
              <w:rPr>
                <w:sz w:val="20"/>
                <w:szCs w:val="20"/>
                <w:color w:val="auto"/>
              </w:rPr>
            </w:pPr>
            <w:r>
              <w:rPr>
                <w:rFonts w:ascii="Arial" w:cs="Arial" w:eastAsia="Arial" w:hAnsi="Arial"/>
                <w:sz w:val="18"/>
                <w:szCs w:val="18"/>
                <w:color w:val="auto"/>
                <w:w w:val="95"/>
              </w:rPr>
              <w:t>Letter Agreement between Tree.com, Inc. and Carla Shumate, dated Exhibit 10.1 to the Registrant's Annual Report on Form 10-K filed</w:t>
            </w: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December 11, 2012*</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April 1, 2013</w:t>
            </w:r>
          </w:p>
        </w:tc>
      </w:tr>
      <w:tr>
        <w:trPr>
          <w:trHeight w:val="27"/>
        </w:trPr>
        <w:tc>
          <w:tcPr>
            <w:tcW w:w="1120" w:type="dxa"/>
            <w:vAlign w:val="bottom"/>
          </w:tcPr>
          <w:p>
            <w:pPr>
              <w:spacing w:after="0"/>
              <w:rPr>
                <w:sz w:val="2"/>
                <w:szCs w:val="2"/>
                <w:color w:val="auto"/>
              </w:rPr>
            </w:pPr>
          </w:p>
        </w:tc>
        <w:tc>
          <w:tcPr>
            <w:tcW w:w="10300" w:type="dxa"/>
            <w:vAlign w:val="bottom"/>
            <w:gridSpan w:val="5"/>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3"/>
              </w:rPr>
              <w:t>Employment Agreement between Tree.com, Inc. and Douglas Lebda, Exhibit 10.1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dated January 9, 2014*</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5280" w:type="dxa"/>
            <w:vAlign w:val="bottom"/>
            <w:gridSpan w:val="4"/>
          </w:tcPr>
          <w:p>
            <w:pPr>
              <w:ind w:left="80"/>
              <w:spacing w:after="0"/>
              <w:rPr>
                <w:sz w:val="20"/>
                <w:szCs w:val="20"/>
                <w:color w:val="auto"/>
              </w:rPr>
            </w:pPr>
            <w:r>
              <w:rPr>
                <w:rFonts w:ascii="Arial" w:cs="Arial" w:eastAsia="Arial" w:hAnsi="Arial"/>
                <w:sz w:val="18"/>
                <w:szCs w:val="18"/>
                <w:color w:val="auto"/>
                <w:w w:val="92"/>
              </w:rPr>
              <w:t>Employment Agreement between Tree.com, Inc. and Gabriel Dalporto,</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dated January 9, 2014*</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7, 2014</w:t>
            </w:r>
          </w:p>
        </w:tc>
      </w:tr>
      <w:tr>
        <w:trPr>
          <w:trHeight w:val="27"/>
        </w:trPr>
        <w:tc>
          <w:tcPr>
            <w:tcW w:w="1120" w:type="dxa"/>
            <w:vAlign w:val="bottom"/>
          </w:tcPr>
          <w:p>
            <w:pPr>
              <w:spacing w:after="0"/>
              <w:rPr>
                <w:sz w:val="2"/>
                <w:szCs w:val="2"/>
                <w:color w:val="auto"/>
              </w:rPr>
            </w:pPr>
          </w:p>
        </w:tc>
        <w:tc>
          <w:tcPr>
            <w:tcW w:w="10300" w:type="dxa"/>
            <w:vAlign w:val="bottom"/>
            <w:gridSpan w:val="5"/>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Employment  Agreement  between  LendingTree,  Inc.  and  Gabriel †</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Dalporto, dated March 11, 2015*</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3700" w:type="dxa"/>
            <w:vAlign w:val="bottom"/>
          </w:tcPr>
          <w:p>
            <w:pPr>
              <w:ind w:left="80"/>
              <w:spacing w:after="0"/>
              <w:rPr>
                <w:sz w:val="20"/>
                <w:szCs w:val="20"/>
                <w:color w:val="auto"/>
              </w:rPr>
            </w:pPr>
            <w:r>
              <w:rPr>
                <w:rFonts w:ascii="Arial" w:cs="Arial" w:eastAsia="Arial" w:hAnsi="Arial"/>
                <w:sz w:val="18"/>
                <w:szCs w:val="18"/>
                <w:color w:val="auto"/>
              </w:rPr>
              <w:t>Restricted  Share  Grant  and  Stockholder's</w:t>
            </w:r>
          </w:p>
        </w:tc>
        <w:tc>
          <w:tcPr>
            <w:tcW w:w="1060" w:type="dxa"/>
            <w:vAlign w:val="bottom"/>
          </w:tcPr>
          <w:p>
            <w:pPr>
              <w:ind w:left="80"/>
              <w:spacing w:after="0"/>
              <w:rPr>
                <w:sz w:val="20"/>
                <w:szCs w:val="20"/>
                <w:color w:val="auto"/>
              </w:rPr>
            </w:pPr>
            <w:r>
              <w:rPr>
                <w:rFonts w:ascii="Arial" w:cs="Arial" w:eastAsia="Arial" w:hAnsi="Arial"/>
                <w:sz w:val="18"/>
                <w:szCs w:val="18"/>
                <w:color w:val="auto"/>
              </w:rPr>
              <w:t>Agreement</w:t>
            </w:r>
          </w:p>
        </w:tc>
        <w:tc>
          <w:tcPr>
            <w:tcW w:w="5540" w:type="dxa"/>
            <w:vAlign w:val="bottom"/>
            <w:gridSpan w:val="3"/>
          </w:tcPr>
          <w:p>
            <w:pPr>
              <w:jc w:val="right"/>
              <w:spacing w:after="0"/>
              <w:rPr>
                <w:sz w:val="20"/>
                <w:szCs w:val="20"/>
                <w:color w:val="auto"/>
              </w:rPr>
            </w:pPr>
            <w:r>
              <w:rPr>
                <w:rFonts w:ascii="Arial" w:cs="Arial" w:eastAsia="Arial" w:hAnsi="Arial"/>
                <w:sz w:val="18"/>
                <w:szCs w:val="18"/>
                <w:color w:val="auto"/>
                <w:w w:val="90"/>
              </w:rPr>
              <w:t>among Exhibits 99.2 and 99.3 to the Registrant's Current Report on Form 8-</w:t>
            </w:r>
          </w:p>
        </w:tc>
      </w:tr>
      <w:tr>
        <w:trPr>
          <w:trHeight w:val="216"/>
        </w:trPr>
        <w:tc>
          <w:tcPr>
            <w:tcW w:w="1120" w:type="dxa"/>
            <w:vAlign w:val="bottom"/>
          </w:tcPr>
          <w:p>
            <w:pPr>
              <w:spacing w:after="0"/>
              <w:rPr>
                <w:sz w:val="18"/>
                <w:szCs w:val="18"/>
                <w:color w:val="auto"/>
              </w:rPr>
            </w:pPr>
          </w:p>
        </w:tc>
        <w:tc>
          <w:tcPr>
            <w:tcW w:w="5080" w:type="dxa"/>
            <w:vAlign w:val="bottom"/>
            <w:gridSpan w:val="3"/>
          </w:tcPr>
          <w:p>
            <w:pPr>
              <w:ind w:left="80"/>
              <w:spacing w:after="0"/>
              <w:rPr>
                <w:sz w:val="20"/>
                <w:szCs w:val="20"/>
                <w:color w:val="auto"/>
              </w:rPr>
            </w:pPr>
            <w:r>
              <w:rPr>
                <w:rFonts w:ascii="Arial" w:cs="Arial" w:eastAsia="Arial" w:hAnsi="Arial"/>
                <w:sz w:val="18"/>
                <w:szCs w:val="18"/>
                <w:color w:val="auto"/>
                <w:w w:val="99"/>
              </w:rPr>
              <w:t>IAC/InterActiveCorp, LendingTree Holdings Corp. and Douglas</w:t>
            </w:r>
          </w:p>
        </w:tc>
        <w:tc>
          <w:tcPr>
            <w:tcW w:w="5220" w:type="dxa"/>
            <w:vAlign w:val="bottom"/>
            <w:gridSpan w:val="2"/>
          </w:tcPr>
          <w:p>
            <w:pPr>
              <w:jc w:val="right"/>
              <w:ind w:right="3150"/>
              <w:spacing w:after="0"/>
              <w:rPr>
                <w:sz w:val="20"/>
                <w:szCs w:val="20"/>
                <w:color w:val="auto"/>
              </w:rPr>
            </w:pPr>
            <w:r>
              <w:rPr>
                <w:rFonts w:ascii="Arial" w:cs="Arial" w:eastAsia="Arial" w:hAnsi="Arial"/>
                <w:sz w:val="18"/>
                <w:szCs w:val="18"/>
                <w:color w:val="auto"/>
                <w:w w:val="93"/>
              </w:rPr>
              <w:t>R. K filed August 20, 2008</w:t>
            </w:r>
          </w:p>
        </w:tc>
      </w:tr>
      <w:tr>
        <w:trPr>
          <w:trHeight w:val="216"/>
        </w:trPr>
        <w:tc>
          <w:tcPr>
            <w:tcW w:w="1120" w:type="dxa"/>
            <w:vAlign w:val="bottom"/>
          </w:tcPr>
          <w:p>
            <w:pPr>
              <w:spacing w:after="0"/>
              <w:rPr>
                <w:sz w:val="18"/>
                <w:szCs w:val="18"/>
                <w:color w:val="auto"/>
              </w:rPr>
            </w:pPr>
          </w:p>
        </w:tc>
        <w:tc>
          <w:tcPr>
            <w:tcW w:w="5280" w:type="dxa"/>
            <w:vAlign w:val="bottom"/>
            <w:gridSpan w:val="4"/>
          </w:tcPr>
          <w:p>
            <w:pPr>
              <w:ind w:left="80"/>
              <w:spacing w:after="0"/>
              <w:rPr>
                <w:sz w:val="20"/>
                <w:szCs w:val="20"/>
                <w:color w:val="auto"/>
              </w:rPr>
            </w:pPr>
            <w:r>
              <w:rPr>
                <w:rFonts w:ascii="Arial" w:cs="Arial" w:eastAsia="Arial" w:hAnsi="Arial"/>
                <w:sz w:val="18"/>
                <w:szCs w:val="18"/>
                <w:color w:val="auto"/>
              </w:rPr>
              <w:t>Lebda, dated August 15, 2008, together with Exhibit A thereto,</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gridSpan w:val="4"/>
          </w:tcPr>
          <w:p>
            <w:pPr>
              <w:ind w:left="80"/>
              <w:spacing w:after="0"/>
              <w:rPr>
                <w:sz w:val="20"/>
                <w:szCs w:val="20"/>
                <w:color w:val="auto"/>
              </w:rPr>
            </w:pPr>
            <w:r>
              <w:rPr>
                <w:rFonts w:ascii="Arial" w:cs="Arial" w:eastAsia="Arial" w:hAnsi="Arial"/>
                <w:sz w:val="18"/>
                <w:szCs w:val="18"/>
                <w:color w:val="auto"/>
                <w:w w:val="97"/>
              </w:rPr>
              <w:t>Amended and Restated Certificate of Incorporation of LendingTree</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Holdings Corp.*</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5"/>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8"/>
              </w:rPr>
              <w:t>Amendment No. 1 to the Stock Option Award Agreement between Exhibit 10.15 to the Registrant's Quarterly Report on Form 10-Q</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8"/>
              </w:rPr>
              <w:t>Douglas R. Lebda and Tree.com, Inc., dated May 10, 2010*</w:t>
            </w: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5280" w:type="dxa"/>
            <w:vAlign w:val="bottom"/>
            <w:gridSpan w:val="4"/>
          </w:tcPr>
          <w:p>
            <w:pPr>
              <w:ind w:left="80"/>
              <w:spacing w:after="0"/>
              <w:rPr>
                <w:sz w:val="20"/>
                <w:szCs w:val="20"/>
                <w:color w:val="auto"/>
              </w:rPr>
            </w:pPr>
            <w:r>
              <w:rPr>
                <w:rFonts w:ascii="Arial" w:cs="Arial" w:eastAsia="Arial" w:hAnsi="Arial"/>
                <w:sz w:val="18"/>
                <w:szCs w:val="18"/>
                <w:color w:val="auto"/>
                <w:w w:val="97"/>
              </w:rPr>
              <w:t>Amendment No. 1 to the Restricted Share Grant and Stockholder's</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16"/>
        </w:trPr>
        <w:tc>
          <w:tcPr>
            <w:tcW w:w="1120" w:type="dxa"/>
            <w:vAlign w:val="bottom"/>
          </w:tcPr>
          <w:p>
            <w:pPr>
              <w:spacing w:after="0"/>
              <w:rPr>
                <w:sz w:val="18"/>
                <w:szCs w:val="18"/>
                <w:color w:val="auto"/>
              </w:rPr>
            </w:pPr>
          </w:p>
        </w:tc>
        <w:tc>
          <w:tcPr>
            <w:tcW w:w="10300" w:type="dxa"/>
            <w:vAlign w:val="bottom"/>
            <w:gridSpan w:val="5"/>
          </w:tcPr>
          <w:p>
            <w:pPr>
              <w:ind w:left="80"/>
              <w:spacing w:after="0"/>
              <w:rPr>
                <w:sz w:val="20"/>
                <w:szCs w:val="20"/>
                <w:color w:val="auto"/>
              </w:rPr>
            </w:pPr>
            <w:r>
              <w:rPr>
                <w:rFonts w:ascii="Arial" w:cs="Arial" w:eastAsia="Arial" w:hAnsi="Arial"/>
                <w:sz w:val="18"/>
                <w:szCs w:val="18"/>
                <w:color w:val="auto"/>
              </w:rPr>
              <w:t>Agreement between Tree.com, Inc., LendingTree Holdings Corp. and November 12, 2010</w:t>
            </w:r>
          </w:p>
        </w:tc>
      </w:tr>
      <w:tr>
        <w:trPr>
          <w:trHeight w:val="230"/>
        </w:trPr>
        <w:tc>
          <w:tcPr>
            <w:tcW w:w="11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Douglas R. Lebda, dated August 30, 2010*</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5"/>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30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2"/>
              </w:rPr>
              <w:t>Fourth Amended and Restated Tree.com, Inc. 2008 Stock and Annual Exhibit 10.1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10.11</w:t>
            </w:r>
          </w:p>
        </w:tc>
        <w:tc>
          <w:tcPr>
            <w:tcW w:w="3700" w:type="dxa"/>
            <w:vAlign w:val="bottom"/>
          </w:tcPr>
          <w:p>
            <w:pPr>
              <w:ind w:left="80"/>
              <w:spacing w:after="0"/>
              <w:rPr>
                <w:sz w:val="20"/>
                <w:szCs w:val="20"/>
                <w:color w:val="auto"/>
              </w:rPr>
            </w:pPr>
            <w:r>
              <w:rPr>
                <w:rFonts w:ascii="Arial" w:cs="Arial" w:eastAsia="Arial" w:hAnsi="Arial"/>
                <w:sz w:val="18"/>
                <w:szCs w:val="18"/>
                <w:color w:val="auto"/>
                <w:w w:val="96"/>
              </w:rPr>
              <w:t>Form of Notice of Restricted Stock Unit Award*</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10.86(b) to the Registrant's Post-Effective Amendment to its</w:t>
            </w:r>
          </w:p>
        </w:tc>
      </w:tr>
      <w:tr>
        <w:trPr>
          <w:trHeight w:val="216"/>
        </w:trPr>
        <w:tc>
          <w:tcPr>
            <w:tcW w:w="1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13, 2012</w:t>
            </w:r>
          </w:p>
        </w:tc>
      </w:tr>
      <w:tr>
        <w:trPr>
          <w:trHeight w:val="486"/>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Restricted Stock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10.86(c) to the Registrant's Post-Effective Amendment to its</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13,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10.13</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10.86(d) to the Registrant's Post-Effective Amendment to its</w:t>
            </w:r>
          </w:p>
        </w:tc>
      </w:tr>
      <w:tr>
        <w:trPr>
          <w:trHeight w:val="216"/>
        </w:trPr>
        <w:tc>
          <w:tcPr>
            <w:tcW w:w="1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13, 2012</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Compensation Plan for Non-Employee Directors*</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10.15 to the Registrant's Registration Statement on Form S-</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 (No. 333-152700), filed August 1,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10.6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March 27, 2009</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Form of Amendment to Restricted Stock Awards for Douglas R. Exhibit 10.4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Lebda*</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10.17</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10.13 to the Registrant's Quarterly Report on Form 10-Q</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filed May 12,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10.3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Restricted Stock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7, 2014</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10.5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10.21</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6"/>
              </w:rPr>
              <w:t>Standard Terms and Conditions to Restricted Stock Award Letters of Exhibit 10.2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Tree.com BU Holding Company, Inc.*</w:t>
            </w:r>
          </w:p>
        </w:tc>
        <w:tc>
          <w:tcPr>
            <w:tcW w:w="5020" w:type="dxa"/>
            <w:vAlign w:val="bottom"/>
          </w:tcPr>
          <w:p>
            <w:pPr>
              <w:ind w:left="40"/>
              <w:spacing w:after="0"/>
              <w:rPr>
                <w:sz w:val="20"/>
                <w:szCs w:val="20"/>
                <w:color w:val="auto"/>
              </w:rPr>
            </w:pPr>
            <w:r>
              <w:rPr>
                <w:rFonts w:ascii="Arial" w:cs="Arial" w:eastAsia="Arial" w:hAnsi="Arial"/>
                <w:sz w:val="18"/>
                <w:szCs w:val="18"/>
                <w:color w:val="auto"/>
              </w:rPr>
              <w:t>February 3, 2011</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Stock Purchase Agreement between Tree.com, Inc. and Douglas 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Lebda, dated February 8, 2009*</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11, 2009</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10.23</w:t>
            </w:r>
          </w:p>
        </w:tc>
        <w:tc>
          <w:tcPr>
            <w:tcW w:w="5280" w:type="dxa"/>
            <w:vAlign w:val="bottom"/>
          </w:tcPr>
          <w:p>
            <w:pPr>
              <w:ind w:left="80"/>
              <w:spacing w:after="0"/>
              <w:rPr>
                <w:sz w:val="20"/>
                <w:szCs w:val="20"/>
                <w:color w:val="auto"/>
              </w:rPr>
            </w:pPr>
            <w:r>
              <w:rPr>
                <w:rFonts w:ascii="Arial" w:cs="Arial" w:eastAsia="Arial" w:hAnsi="Arial"/>
                <w:sz w:val="18"/>
                <w:szCs w:val="18"/>
                <w:color w:val="auto"/>
                <w:w w:val="94"/>
              </w:rPr>
              <w:t>Amendment No. 1 to Stock Purchase Agreement between Tree.com,</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Inc. and Douglas R. Lebda, dated May 10, 2010*</w:t>
            </w:r>
          </w:p>
        </w:tc>
        <w:tc>
          <w:tcPr>
            <w:tcW w:w="5020" w:type="dxa"/>
            <w:vAlign w:val="bottom"/>
          </w:tcPr>
          <w:p>
            <w:pPr>
              <w:ind w:left="4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Subsidiaries of LendingTree, Inc.</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528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Power of Attorney (included on signature page of this Annual Report †</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on Form 10-K)</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Certification of the Chief Executive Officer pursuant to Rule 13a-14(a) †</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Certification of the Chief Financial Officer pursuant to Rule 13a-14(a) †</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Certification of the Chief Executive Officer pursuant to 18 U.S.C. ††</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Certification of the Chief Financial Officer pursuant to 18 U.S.C. ††</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101.CAL</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486"/>
        </w:trPr>
        <w:tc>
          <w:tcPr>
            <w:tcW w:w="1120" w:type="dxa"/>
            <w:vAlign w:val="bottom"/>
          </w:tcPr>
          <w:p>
            <w:pPr>
              <w:spacing w:after="0"/>
              <w:rPr>
                <w:sz w:val="24"/>
                <w:szCs w:val="24"/>
                <w:color w:val="auto"/>
              </w:rPr>
            </w:pPr>
          </w:p>
        </w:tc>
        <w:tc>
          <w:tcPr>
            <w:tcW w:w="5280" w:type="dxa"/>
            <w:vAlign w:val="bottom"/>
          </w:tcPr>
          <w:p>
            <w:pPr>
              <w:ind w:left="4500"/>
              <w:spacing w:after="0"/>
              <w:rPr>
                <w:sz w:val="20"/>
                <w:szCs w:val="20"/>
                <w:color w:val="auto"/>
              </w:rPr>
            </w:pPr>
            <w:r>
              <w:rPr>
                <w:rFonts w:ascii="Arial" w:cs="Arial" w:eastAsia="Arial" w:hAnsi="Arial"/>
                <w:sz w:val="18"/>
                <w:szCs w:val="18"/>
                <w:color w:val="auto"/>
              </w:rPr>
              <w:t>77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49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494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360" w:type="dxa"/>
            <w:vAlign w:val="bottom"/>
          </w:tcPr>
          <w:p>
            <w:pPr>
              <w:ind w:left="25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4"/>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101.DEF</w:t>
            </w:r>
          </w:p>
        </w:tc>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101.INS</w:t>
            </w:r>
          </w:p>
        </w:tc>
        <w:tc>
          <w:tcPr>
            <w:tcW w:w="494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53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101.LAB</w:t>
            </w:r>
          </w:p>
        </w:tc>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101.PRE</w:t>
            </w:r>
          </w:p>
        </w:tc>
        <w:tc>
          <w:tcPr>
            <w:tcW w:w="4940" w:type="dxa"/>
            <w:vAlign w:val="bottom"/>
          </w:tcPr>
          <w:p>
            <w:pPr>
              <w:ind w:left="80"/>
              <w:spacing w:after="0"/>
              <w:rPr>
                <w:sz w:val="20"/>
                <w:szCs w:val="20"/>
                <w:color w:val="auto"/>
              </w:rPr>
            </w:pPr>
            <w:r>
              <w:rPr>
                <w:rFonts w:ascii="Arial" w:cs="Arial" w:eastAsia="Arial" w:hAnsi="Arial"/>
                <w:sz w:val="18"/>
                <w:szCs w:val="18"/>
                <w:color w:val="auto"/>
                <w:w w:val="98"/>
              </w:rPr>
              <w:t>XBRL Taxonomy Extension Presentation Linkbase Document</w:t>
            </w:r>
          </w:p>
        </w:tc>
        <w:tc>
          <w:tcPr>
            <w:tcW w:w="53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101.SCH</w:t>
            </w:r>
          </w:p>
        </w:tc>
        <w:tc>
          <w:tcPr>
            <w:tcW w:w="494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53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44" w:lineRule="exact"/>
        <w:rPr>
          <w:sz w:val="20"/>
          <w:szCs w:val="20"/>
          <w:color w:val="auto"/>
        </w:rPr>
      </w:pPr>
    </w:p>
    <w:p>
      <w:pPr>
        <w:ind w:firstLine="8"/>
        <w:spacing w:after="0" w:line="277" w:lineRule="auto"/>
        <w:tabs>
          <w:tab w:leader="none" w:pos="2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3"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Katharine Pierce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2014,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43" w:lineRule="exact"/>
        <w:rPr>
          <w:sz w:val="20"/>
          <w:szCs w:val="20"/>
          <w:color w:val="auto"/>
        </w:rPr>
      </w:pPr>
    </w:p>
    <w:p>
      <w:pPr>
        <w:ind w:left="1760"/>
        <w:spacing w:after="0"/>
        <w:tabs>
          <w:tab w:leader="none" w:pos="6460" w:val="left"/>
          <w:tab w:leader="none" w:pos="9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DOUGLAS R. LEBDA</w:t>
            </w:r>
          </w:p>
        </w:tc>
        <w:tc>
          <w:tcPr>
            <w:tcW w:w="4460" w:type="dxa"/>
            <w:vAlign w:val="bottom"/>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Douglas R. Lebda</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ALEXANDER MANDEL</w:t>
            </w:r>
          </w:p>
        </w:tc>
        <w:tc>
          <w:tcPr>
            <w:tcW w:w="44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Alexander Mandel</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CARLA SHUMATE</w:t>
            </w:r>
          </w:p>
        </w:tc>
        <w:tc>
          <w:tcPr>
            <w:tcW w:w="4460" w:type="dxa"/>
            <w:vAlign w:val="bottom"/>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Carla Shumate</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NEAL DERMER</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Neal Dermer</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ROBIN HENDERSON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Robin Henderson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PETER HORAN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Peter Horan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STEVEN OZONIAN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Steven Ozonian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CRAIG TROYER</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16, 2015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Craig Troyer</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18"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391" w:lineRule="exact"/>
        <w:rPr>
          <w:sz w:val="20"/>
          <w:szCs w:val="20"/>
          <w:color w:val="auto"/>
        </w:rPr>
      </w:pPr>
    </w:p>
    <w:p>
      <w:pPr>
        <w:ind w:right="20" w:firstLine="324"/>
        <w:spacing w:after="0" w:line="216" w:lineRule="auto"/>
        <w:rPr>
          <w:sz w:val="20"/>
          <w:szCs w:val="20"/>
          <w:color w:val="auto"/>
        </w:rPr>
      </w:pPr>
      <w:r>
        <w:rPr>
          <w:rFonts w:ascii="Arial" w:cs="Arial" w:eastAsia="Arial" w:hAnsi="Arial"/>
          <w:sz w:val="18"/>
          <w:szCs w:val="18"/>
          <w:color w:val="auto"/>
        </w:rPr>
        <w:t>This Employment Agreement (“Agreement”) is made and entered into this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2015 (the “Effective Date”) by and between LendingTree, Inc. (“Employer”) and Gabriel Dalporto (“Executive”) (each a “Party” and collectively, the “Parties”).</w:t>
      </w:r>
    </w:p>
    <w:p>
      <w:pPr>
        <w:spacing w:after="0" w:line="1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WHEREAS, Executive has been employed by Employer as Chief Marketing Officer and President, Mortgage pursuant to an Employment Agreement dated January 9, 2014 (the “Prior Employment Agreement”); and</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WHEREAS, Employer and Executive desire for Executive’s employment to continue under the terms of this Agreement rather than the Prior Employment Agreement from and after the Effective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NOW, THEREFORE, in consideration of the premises and the mutual agreements contained herein, Employer and Executive hereby agree as follows:</w:t>
      </w:r>
    </w:p>
    <w:p>
      <w:pPr>
        <w:spacing w:after="0" w:line="221" w:lineRule="exact"/>
        <w:rPr>
          <w:sz w:val="20"/>
          <w:szCs w:val="20"/>
          <w:color w:val="auto"/>
        </w:rPr>
      </w:pPr>
    </w:p>
    <w:p>
      <w:pPr>
        <w:jc w:val="both"/>
        <w:ind w:firstLine="332"/>
        <w:spacing w:after="0" w:line="343" w:lineRule="auto"/>
        <w:tabs>
          <w:tab w:leader="none" w:pos="78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Employer shall employ and Executive agrees to be employed as Chief Marketing Officer and President, Mortgage.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Employer from time to time by Employer’s Chief Executive Officer. Executive will devote Executive’s full working time and best efforts to the diligent and faithful performance of such duties as may be entrusted to Executive from time to time by Employer, and shall observe and abide by the corporate policies and decisions of Employer in all business matters. Executive’s principal place of employment shall be the offices of Employer located in Burlingame, CA; provided, however, that travel to Employer’s other offices or places of business activity may be required. Executive acknowledges that Employer may, in its sole discretion from time to time, change Executive’s responsibilities or his direct/indirect reports without any effect hereunder.</w:t>
      </w:r>
    </w:p>
    <w:p>
      <w:pPr>
        <w:spacing w:after="0" w:line="111" w:lineRule="exact"/>
        <w:rPr>
          <w:rFonts w:ascii="Arial" w:cs="Arial" w:eastAsia="Arial" w:hAnsi="Arial"/>
          <w:sz w:val="16"/>
          <w:szCs w:val="16"/>
          <w:color w:val="auto"/>
        </w:rPr>
      </w:pPr>
    </w:p>
    <w:p>
      <w:pPr>
        <w:ind w:left="800" w:hanging="46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656"/>
        <w:spacing w:after="0" w:line="311" w:lineRule="auto"/>
        <w:tabs>
          <w:tab w:leader="none" w:pos="149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Executive’s employment shall be governed by the terms of this Agreement for the period beginning on the Effective Date and ending February 6, 2018, unless earlier terminated as provided herein (the “Initial Term”). This Agreement will expire by its terms unless renewed in the manner set forth in Section 2.b below.</w:t>
      </w:r>
    </w:p>
    <w:p>
      <w:pPr>
        <w:spacing w:after="0" w:line="127" w:lineRule="exact"/>
        <w:rPr>
          <w:rFonts w:ascii="Arial" w:cs="Arial" w:eastAsia="Arial" w:hAnsi="Arial"/>
          <w:sz w:val="18"/>
          <w:szCs w:val="18"/>
          <w:color w:val="auto"/>
        </w:rPr>
      </w:pPr>
    </w:p>
    <w:p>
      <w:pPr>
        <w:jc w:val="both"/>
        <w:ind w:firstLine="656"/>
        <w:spacing w:after="0" w:line="301" w:lineRule="auto"/>
        <w:tabs>
          <w:tab w:leader="none" w:pos="150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Renewal Terms</w:t>
      </w:r>
      <w:r>
        <w:rPr>
          <w:rFonts w:ascii="Arial" w:cs="Arial" w:eastAsia="Arial" w:hAnsi="Arial"/>
          <w:sz w:val="18"/>
          <w:szCs w:val="18"/>
          <w:color w:val="auto"/>
        </w:rPr>
        <w:t>. Upon the written request of the Executive to extend the Executive’s term of employment under this Agreement at least sixty (60) days prior to the expiration of the Agreement, Employer’s Compensation Committee of the Board of Directors (the “Compensation Committee”) shall consider extending the term of this Agreement. If Executive’s request for an extension is approved by the Compensation Committee, this Agreement shall be extended by one additional year. Each such additional one-year period shall be referred to as a “Renewal Term” and, together with the Initial Term, the “Term”. The maximum number of Renewal Terms shall be two; following the second Renewal Term, the Agreement shall automatically expire. For purposes of clarity, if the Agreement is not renewed in accordance with this Section 2.b, the Agreement shall automatically expire at the end of the then-current term. Such expiration shall not entitle Executive to any compensation or benefits except as earned by Executive through the date of expiration or the then-current term.</w:t>
      </w:r>
    </w:p>
    <w:p>
      <w:pPr>
        <w:spacing w:after="0" w:line="138" w:lineRule="exact"/>
        <w:rPr>
          <w:rFonts w:ascii="Arial" w:cs="Arial" w:eastAsia="Arial" w:hAnsi="Arial"/>
          <w:sz w:val="18"/>
          <w:szCs w:val="18"/>
          <w:color w:val="auto"/>
        </w:rPr>
      </w:pPr>
    </w:p>
    <w:p>
      <w:pPr>
        <w:jc w:val="both"/>
        <w:ind w:firstLine="332"/>
        <w:spacing w:after="0" w:line="311" w:lineRule="auto"/>
        <w:tabs>
          <w:tab w:leader="none" w:pos="78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Employer shall pay and Executive shall accept as full consideration for the services to be rendered hereunder compensation consisting of the items listed below. Employer shall have no obligation to pay any such compensation for any period after the termination of Executive’s employment, except as otherwise expressly provided.</w:t>
      </w:r>
    </w:p>
    <w:p>
      <w:pPr>
        <w:spacing w:after="0" w:line="127" w:lineRule="exact"/>
        <w:rPr>
          <w:rFonts w:ascii="Arial" w:cs="Arial" w:eastAsia="Arial" w:hAnsi="Arial"/>
          <w:sz w:val="18"/>
          <w:szCs w:val="18"/>
          <w:color w:val="auto"/>
        </w:rPr>
      </w:pPr>
    </w:p>
    <w:p>
      <w:pPr>
        <w:jc w:val="both"/>
        <w:ind w:firstLine="656"/>
        <w:spacing w:after="0" w:line="311" w:lineRule="auto"/>
        <w:tabs>
          <w:tab w:leader="none" w:pos="14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Base salary, paid pursuant to Employer’s normal payroll practices, at an annual rate of $350,000 or such other rate as may be established prospectively by the Compensation Committee from time to time (“Base Salary”). All such Base Salary payments shall be subject to deduction and withholding authorized or required by applicable law.</w:t>
      </w:r>
    </w:p>
    <w:p>
      <w:pPr>
        <w:spacing w:after="0" w:line="127" w:lineRule="exact"/>
        <w:rPr>
          <w:rFonts w:ascii="Arial" w:cs="Arial" w:eastAsia="Arial" w:hAnsi="Arial"/>
          <w:sz w:val="18"/>
          <w:szCs w:val="18"/>
          <w:color w:val="auto"/>
        </w:rPr>
      </w:pPr>
    </w:p>
    <w:p>
      <w:pPr>
        <w:jc w:val="both"/>
        <w:ind w:firstLine="656"/>
        <w:spacing w:after="0" w:line="302" w:lineRule="auto"/>
        <w:tabs>
          <w:tab w:leader="none" w:pos="150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the Executive shall be eligible to receive a target annual bonus (“Annual Bonus”) of up to 60% of his Base Salary with respect to each full fiscal year of Employer (each a “Performance Year”) during the Term, beginning with the Performance Year that began on January 1, 2015. The terms and conditions of the Annual Bonus, including the applicable performance criteria for a Performance Year, and the amount of the Annual Bonus payable to the Executive for a Performance Year, if any, shall be determined by Employer’s Compensation Committee. Except as expressly provided in this Agreement, the Annual Bonus will be paid in accordance with Employer’s standard policies and procedures for the payment of annual bonuses to its other similarly situated employees. Executive shall not be entitled to an Annual Bonus for any fiscal year for which he was not employed under this Agreement on the last day of such fiscal year.</w:t>
      </w:r>
    </w:p>
    <w:p>
      <w:pPr>
        <w:sectPr>
          <w:pgSz w:w="11900" w:h="16838" w:orient="portrait"/>
          <w:cols w:equalWidth="0" w:num="1">
            <w:col w:w="11420"/>
          </w:cols>
          <w:pgMar w:left="240" w:top="742" w:right="239" w:bottom="1440" w:gutter="0" w:footer="0" w:header="0"/>
        </w:sectPr>
      </w:pPr>
    </w:p>
    <w:bookmarkStart w:id="80" w:name="page81"/>
    <w:bookmarkEnd w:id="80"/>
    <w:p>
      <w:pPr>
        <w:jc w:val="both"/>
        <w:ind w:left="-332" w:firstLine="656"/>
        <w:spacing w:after="0" w:line="321" w:lineRule="auto"/>
        <w:tabs>
          <w:tab w:leader="none" w:pos="116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Equity Incentives</w:t>
      </w:r>
      <w:r>
        <w:rPr>
          <w:rFonts w:ascii="Arial" w:cs="Arial" w:eastAsia="Arial" w:hAnsi="Arial"/>
          <w:sz w:val="17"/>
          <w:szCs w:val="17"/>
          <w:color w:val="auto"/>
        </w:rPr>
        <w:t>. During the Term, Executive shall be eligible to receive equity incentives, as determined in the discretion of the Compensation Committee, including, but not limited to restricted stock unit awards and/or stock options. Subject to the discretion of the Compensation Committee, equity incentives shall be granted to the Executive at the time Employer normally grants such incentives generally and otherwise in accordance with applicable policies, practices, terms and conditions (including, but not limited to, vesting requirements), and provided further that Executive is employed by Employer on the date such incentives are awarded. Executive re-acknowledges that the Notice of Special Stock Option Award dated August 6, 2014 contains the following language: “By your acceptance of this Stock Option, you acknowledge that the [Compensation] Committee has expressed its intent not to consider grants of further Awards to you under the 2008 Plan before February 6, 2018, and that any and all future Awards under the 2008 Plan will be made, if at all, within the sole discretion of the [Compensation] Committee.”</w:t>
      </w:r>
    </w:p>
    <w:p>
      <w:pPr>
        <w:spacing w:after="0" w:line="123" w:lineRule="exact"/>
        <w:rPr>
          <w:rFonts w:ascii="Arial" w:cs="Arial" w:eastAsia="Arial" w:hAnsi="Arial"/>
          <w:sz w:val="17"/>
          <w:szCs w:val="17"/>
          <w:color w:val="auto"/>
        </w:rPr>
      </w:pPr>
    </w:p>
    <w:p>
      <w:pPr>
        <w:ind w:left="-332" w:right="20" w:firstLine="656"/>
        <w:spacing w:after="0" w:line="324" w:lineRule="auto"/>
        <w:tabs>
          <w:tab w:leader="none" w:pos="117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During the Term, Executive shall be entitled to paid vacation and other paid time off each year, in accordance with applicable plans, policies, programs and practices applicable to similarly situated employees generally.</w:t>
      </w:r>
    </w:p>
    <w:p>
      <w:pPr>
        <w:spacing w:after="0" w:line="116" w:lineRule="exact"/>
        <w:rPr>
          <w:rFonts w:ascii="Arial" w:cs="Arial" w:eastAsia="Arial" w:hAnsi="Arial"/>
          <w:sz w:val="18"/>
          <w:szCs w:val="18"/>
          <w:color w:val="auto"/>
        </w:rPr>
      </w:pPr>
    </w:p>
    <w:p>
      <w:pPr>
        <w:jc w:val="both"/>
        <w:ind w:left="-332" w:firstLine="656"/>
        <w:spacing w:after="0" w:line="311" w:lineRule="auto"/>
        <w:tabs>
          <w:tab w:leader="none" w:pos="116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Such other benefits, payments, or items of compensation as are provided under the employee benefit plans of Employer, or as are made available from time to time under compensation policies set by Employer for management employees of Employer having similar salary and level of responsibility.</w:t>
      </w:r>
    </w:p>
    <w:p>
      <w:pPr>
        <w:spacing w:after="0" w:line="127" w:lineRule="exact"/>
        <w:rPr>
          <w:rFonts w:ascii="Arial" w:cs="Arial" w:eastAsia="Arial" w:hAnsi="Arial"/>
          <w:sz w:val="18"/>
          <w:szCs w:val="18"/>
          <w:color w:val="auto"/>
        </w:rPr>
      </w:pPr>
    </w:p>
    <w:p>
      <w:pPr>
        <w:jc w:val="both"/>
        <w:ind w:left="-332" w:firstLine="656"/>
        <w:spacing w:after="0" w:line="336" w:lineRule="auto"/>
        <w:tabs>
          <w:tab w:leader="none" w:pos="114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Employer shall reimburse Executive, in accordance with the general policies and practices of Employer as in effect from time to time, for normal out-of-pocket expenses incurred by Executive in the ordinary course of business, including without limitation, Employer’s standard mileage allowance for business use of any personal vehicle, business related travel, customer entertainment</w:t>
      </w:r>
      <w:r>
        <w:rPr>
          <w:rFonts w:ascii="Arial" w:cs="Arial" w:eastAsia="Arial" w:hAnsi="Arial"/>
          <w:sz w:val="17"/>
          <w:szCs w:val="17"/>
          <w:b w:val="1"/>
          <w:bCs w:val="1"/>
          <w:color w:val="auto"/>
        </w:rPr>
        <w:t>,</w:t>
      </w:r>
      <w:r>
        <w:rPr>
          <w:rFonts w:ascii="Arial" w:cs="Arial" w:eastAsia="Arial" w:hAnsi="Arial"/>
          <w:sz w:val="17"/>
          <w:szCs w:val="17"/>
          <w:color w:val="auto"/>
        </w:rPr>
        <w:t xml:space="preserve"> and professional organizations.</w:t>
      </w:r>
    </w:p>
    <w:p>
      <w:pPr>
        <w:spacing w:after="0" w:line="110" w:lineRule="exact"/>
        <w:rPr>
          <w:rFonts w:ascii="Arial" w:cs="Arial" w:eastAsia="Arial" w:hAnsi="Arial"/>
          <w:sz w:val="17"/>
          <w:szCs w:val="17"/>
          <w:color w:val="auto"/>
        </w:rPr>
      </w:pPr>
    </w:p>
    <w:p>
      <w:pPr>
        <w:ind w:left="468" w:hanging="468"/>
        <w:spacing w:after="0"/>
        <w:tabs>
          <w:tab w:leader="none" w:pos="46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332" w:firstLine="656"/>
        <w:spacing w:after="0" w:line="301" w:lineRule="auto"/>
        <w:tabs>
          <w:tab w:leader="none" w:pos="116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at any time during the Term of this Agreement, Executive incurs a Disability (as defined below), then Executive’s employment shall be immediately terminated as of the date of Executive’s Disability. Upon executive’s Disability, Employer shall pay Executive, in a single lump sum cash payment, on the next regularly scheduled payroll date following the date of such termination, an amount equal to the Accrued Obligations (as defined below); provided, however, that any Annual Bonus amounts payable as part of the Accrued Obligations shall be paid on the date that such amounts are paid by Employer to other executives in accordance with the Company’s Annual Bonus plan as in effect at the date of such termination. For purposes of this Agreement, Executive shall be considered to have incurred a “Disability” if Executive has incurred a permanent and total disability (and no reasonable accommodation can be made to permit Executive to perform essential functions of his job) as determined under Employer’s long-term disability plan applicable to Executive.</w:t>
      </w:r>
    </w:p>
    <w:p>
      <w:pPr>
        <w:spacing w:after="0" w:line="138" w:lineRule="exact"/>
        <w:rPr>
          <w:rFonts w:ascii="Arial" w:cs="Arial" w:eastAsia="Arial" w:hAnsi="Arial"/>
          <w:sz w:val="18"/>
          <w:szCs w:val="18"/>
          <w:color w:val="auto"/>
        </w:rPr>
      </w:pPr>
    </w:p>
    <w:p>
      <w:pPr>
        <w:jc w:val="both"/>
        <w:ind w:left="-332" w:firstLine="656"/>
        <w:spacing w:after="0" w:line="300" w:lineRule="auto"/>
        <w:tabs>
          <w:tab w:leader="none" w:pos="117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should die during the Term, Executive’s employment and Employer’s obligations hereunder (other than pro rata payment of Base Salary) shall terminate as of Executive’s death. In such event, Employer shall pay Executive’s estate, in a single lump sum on the next regularly scheduled payroll date following the date of such termination, the Accrued Obligations; provided, however, that any Annual Bonus amounts payable as part of the Accrued Obligations shall be paid on the date that such amounts are paid by Employer to other similarly situated executives in accordance with Employer’s Annual Bonus plan as in effect at the date of such termination. As used in this Agreement, “Accrued Obligations” shall mean the sum of (i) Executive’s earned but unpaid Base Salary, (ii) any portion of Executive’s earned but unpaid Annual Bonus relating to a previously completed Performance Year, (iii) any earned but unpaid Annual Bonus relating to the Performance Year in which the Executive is terminated; (iv) any compensation previously earned but deferred by Executive (together with any interest or earnings thereon) that has not yet been paid and that is not otherwise to be paid at a late date pursuant to the executive deferred compensation plan of Employer, if any, and (v) reimbursements that Executive is entitled to receive under paragraph 3(f) of the Agreement.</w:t>
      </w:r>
    </w:p>
    <w:p>
      <w:pPr>
        <w:spacing w:after="0" w:line="140" w:lineRule="exact"/>
        <w:rPr>
          <w:rFonts w:ascii="Arial" w:cs="Arial" w:eastAsia="Arial" w:hAnsi="Arial"/>
          <w:sz w:val="18"/>
          <w:szCs w:val="18"/>
          <w:color w:val="auto"/>
        </w:rPr>
      </w:pPr>
    </w:p>
    <w:p>
      <w:pPr>
        <w:ind w:left="468" w:hanging="468"/>
        <w:spacing w:after="0"/>
        <w:tabs>
          <w:tab w:leader="none" w:pos="46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by Employer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332" w:firstLine="656"/>
        <w:spacing w:after="0" w:line="342" w:lineRule="auto"/>
        <w:tabs>
          <w:tab w:leader="none" w:pos="116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Employer may terminate the employment of Executive under this Agreement during its Term for Cause. “Cause” shall include Executive’s fraud, dishonesty, theft, embezzlement, misconduct by Executive injurious to Employer or any of its affiliates, conviction of, or entry of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crime that constitutes a felony or other crime involving moral turpitude, competition with Employer or any of its affiliates, unauthorized use of any trade secrets of Employer or any of its affiliates or Confidential Information (as defined below), a material violation of any policy, code or standard of ethics generally applicable to employees of Employer, Executive’s material breach of fiduciary duties owed to Employer, Executive’s excessive and unexcused absenteeism unrelated to a disability, or, following written notice and a reasonable opportunity to cure, gross neglect by Executive of the duties assigned to Executive. In such event (i) no further Base Salary shall be paid to Executive after the date of termination, and (ii) Executive shall not be eligible to receive any Annual Bonus relating to the Performance Year in which Executive’s employment terminates in accordance with this paragraph. Executive shall retain only such rights to participate in other benefits as are required by the terms of those plans, Employer’s polices, or applicable law.</w:t>
      </w:r>
    </w:p>
    <w:p>
      <w:pPr>
        <w:sectPr>
          <w:pgSz w:w="11900" w:h="16838" w:orient="portrait"/>
          <w:cols w:equalWidth="0" w:num="1">
            <w:col w:w="11088"/>
          </w:cols>
          <w:pgMar w:left="572" w:top="935" w:right="239" w:bottom="1440" w:gutter="0" w:footer="0" w:header="0"/>
        </w:sectPr>
      </w:pPr>
    </w:p>
    <w:bookmarkStart w:id="81" w:name="page82"/>
    <w:bookmarkEnd w:id="81"/>
    <w:p>
      <w:pPr>
        <w:jc w:val="both"/>
        <w:ind w:left="-8" w:firstLine="656"/>
        <w:spacing w:after="0" w:line="334" w:lineRule="auto"/>
        <w:tabs>
          <w:tab w:leader="none" w:pos="149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by Employer other than for Death, Disability or Cause</w:t>
      </w:r>
      <w:r>
        <w:rPr>
          <w:rFonts w:ascii="Arial" w:cs="Arial" w:eastAsia="Arial" w:hAnsi="Arial"/>
          <w:sz w:val="16"/>
          <w:szCs w:val="16"/>
          <w:i w:val="1"/>
          <w:iCs w:val="1"/>
          <w:color w:val="auto"/>
        </w:rPr>
        <w:t>.</w:t>
      </w:r>
      <w:r>
        <w:rPr>
          <w:rFonts w:ascii="Arial" w:cs="Arial" w:eastAsia="Arial" w:hAnsi="Arial"/>
          <w:sz w:val="16"/>
          <w:szCs w:val="16"/>
          <w:color w:val="auto"/>
        </w:rPr>
        <w:t xml:space="preserve"> Upon termination of Executive’s employment with Employer prior to the expiration of the Term by Executive for Good Reason or by Employer without Cause (other than for death or Disability) (“Qualifying Termination”), Employer shall pay Executive the amounts described below. For the avoidance of doubt, expiration of the Term is not a Qualifying Termination. Notwithstanding the foregoing, Executive shall receive the payments and benefits described in subparagraphs (ii) - (iv) below if Executive executes and does not revoke a general release of Employer and its affiliates in a form substantially similar to that used for similarly situated executives of Employer and its affiliates (“Release of Claims”) and Executive complies with the restrictive covenants set forth herein. If Executive does not execute the Release of Claims within sixty (60) days following the Qualifying Termination, or if Executive revokes the Release of Claims (the end of the permitted revocation period following execution without revocation being exercised, the “Release of Claims Effective Date”), Executive’s entitlement to the payments and benefits described in subparagraphs (ii) - (iv) below shall immediately become null and void. “Good Reason” shall mean the occurrence of any of the following without Executive’s written consent: (i) material adverse change in the office to which Executive reports from those in effect immediately following the Effective Date, excluding for this purpose any such change that is an isolated and inadvertent action not taken in bad faith and that is remedied by Employer promptly after receipt of notice thereof given by Executive or that is authorized pursuant to this Agreement and further excluding a change in the office to which Executive reports due to internal restructuring, realignment or the resignation, promotion, demotion or a reorganization of managers within Employer;</w:t>
      </w:r>
    </w:p>
    <w:p>
      <w:pPr>
        <w:spacing w:after="0" w:line="7" w:lineRule="exact"/>
        <w:rPr>
          <w:rFonts w:ascii="Arial" w:cs="Arial" w:eastAsia="Arial" w:hAnsi="Arial"/>
          <w:sz w:val="16"/>
          <w:szCs w:val="16"/>
          <w:color w:val="auto"/>
        </w:rPr>
      </w:pPr>
    </w:p>
    <w:p>
      <w:pPr>
        <w:jc w:val="both"/>
        <w:ind w:left="-8" w:firstLine="8"/>
        <w:spacing w:after="0" w:line="319"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material reduction in Executive’s annual base salary; (iii) relocation of Executive’s principal place of business more than 50 miles from the San Francisco, CA metropolitan area; or (iv) material reduction of Executive’s day-to-day duties such that Executive’s duties no longer include general management functions (for purposes of clarity, Executive’s duties shall be deemed to include general management functions for so long as Executive retains the title of President, Mortgage or any other title which would generally be understood to involve general management functions) or participation on the senior executive team. In order to resign his employment for Good Reason, Executive must notify Employer in writing within fifteen (15) days of the initial existence of any event falling under (i) - (iv) and such notice shall describe in detail the facts and circumstances explaining why Executive believes a Good Reason event has occurred. Employer shall then have sixty (60) days following its receipt of such notice to cure or remedy such alleged Good Reason event such that Good Reason will not be deemed to exist for such event. If the event remains uncured or is not remedied by Employer within such sixty (60) day period and if Executive’s employment has not otherwise been terminated, then a Qualifying Termination shall automatically occur on the first business day following the end of such sixty (60) day cure/remedy period.</w:t>
      </w:r>
    </w:p>
    <w:p>
      <w:pPr>
        <w:spacing w:after="0" w:line="102" w:lineRule="exact"/>
        <w:rPr>
          <w:rFonts w:ascii="Arial" w:cs="Arial" w:eastAsia="Arial" w:hAnsi="Arial"/>
          <w:sz w:val="17"/>
          <w:szCs w:val="17"/>
          <w:color w:val="auto"/>
        </w:rPr>
      </w:pPr>
    </w:p>
    <w:p>
      <w:pPr>
        <w:jc w:val="both"/>
        <w:ind w:left="1952" w:hanging="655"/>
        <w:spacing w:after="0" w:line="259" w:lineRule="auto"/>
        <w:tabs>
          <w:tab w:leader="none" w:pos="1952"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 amount equal to all Accrued Obligations within 30 days following the date of such Qualifying Termination, except for (a) accrued wages which shall be paid on date of the Qualifying Termination and (b) Annual Bonus amounts which shall be paid on the date that such amounts are paid by Employer to other similarly situated executives in accordance with Employer’s Annual Bonus plan as in effect at the date of such termination.</w:t>
      </w:r>
    </w:p>
    <w:p>
      <w:pPr>
        <w:spacing w:after="0" w:line="132" w:lineRule="exact"/>
        <w:rPr>
          <w:rFonts w:ascii="Arial" w:cs="Arial" w:eastAsia="Arial" w:hAnsi="Arial"/>
          <w:sz w:val="18"/>
          <w:szCs w:val="18"/>
          <w:color w:val="auto"/>
        </w:rPr>
      </w:pPr>
    </w:p>
    <w:p>
      <w:pPr>
        <w:jc w:val="both"/>
        <w:ind w:left="1952" w:hanging="655"/>
        <w:spacing w:after="0" w:line="247" w:lineRule="auto"/>
        <w:tabs>
          <w:tab w:leader="none" w:pos="1952" w:val="left"/>
        </w:tabs>
        <w:numPr>
          <w:ilvl w:val="2"/>
          <w:numId w:val="29"/>
        </w:numPr>
        <w:rPr>
          <w:rFonts w:ascii="Arial" w:cs="Arial" w:eastAsia="Arial" w:hAnsi="Arial"/>
          <w:sz w:val="17"/>
          <w:szCs w:val="17"/>
          <w:color w:val="auto"/>
        </w:rPr>
      </w:pPr>
      <w:r>
        <w:rPr>
          <w:rFonts w:ascii="Arial" w:cs="Arial" w:eastAsia="Arial" w:hAnsi="Arial"/>
          <w:sz w:val="17"/>
          <w:szCs w:val="17"/>
          <w:color w:val="auto"/>
        </w:rPr>
        <w:t>An amount equal to one (1) year of Executive’s then-current Base Salary, payable in installments on Employer’s regularly scheduled payroll dates over the one (1) year period following the date of such Qualifying Termination (“Salary Continuation Payments”) beginning on the regularly scheduled payroll date immediately following the Release of Claims Effective Date. Notwithstanding the foregoing, if the Salary Continuation Payments are determined to be “nonqualified deferred compensation” that is subject to Section 409A (as defined below), then the first installment shall be made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 and the remaining Salary Continuation Payments shall be payable in installments on Employer’s regularly scheduled paydays following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w:t>
      </w:r>
    </w:p>
    <w:p>
      <w:pPr>
        <w:spacing w:after="0" w:line="47"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2"/>
          <w:numId w:val="29"/>
        </w:numPr>
        <w:rPr>
          <w:rFonts w:ascii="Arial" w:cs="Arial" w:eastAsia="Arial" w:hAnsi="Arial"/>
          <w:sz w:val="18"/>
          <w:szCs w:val="18"/>
          <w:color w:val="auto"/>
        </w:rPr>
      </w:pPr>
      <w:r>
        <w:rPr>
          <w:rFonts w:ascii="Arial" w:cs="Arial" w:eastAsia="Arial" w:hAnsi="Arial"/>
          <w:sz w:val="18"/>
          <w:szCs w:val="18"/>
          <w:color w:val="auto"/>
        </w:rPr>
        <w:t>Payment of premiums for continuation of health care coverage under COBRA for a period equal to one (1) year from the loss of coverage at the same level in effect at the time of termination of Executive’s employment, provided that Executive elects COBRA continuation coverage.</w:t>
      </w:r>
    </w:p>
    <w:p>
      <w:pPr>
        <w:spacing w:after="0" w:line="127" w:lineRule="exact"/>
        <w:rPr>
          <w:rFonts w:ascii="Arial" w:cs="Arial" w:eastAsia="Arial" w:hAnsi="Arial"/>
          <w:sz w:val="18"/>
          <w:szCs w:val="18"/>
          <w:color w:val="auto"/>
        </w:rPr>
      </w:pPr>
    </w:p>
    <w:p>
      <w:pPr>
        <w:jc w:val="both"/>
        <w:ind w:left="1952" w:hanging="655"/>
        <w:spacing w:after="0" w:line="290" w:lineRule="auto"/>
        <w:tabs>
          <w:tab w:leader="none" w:pos="1952" w:val="left"/>
        </w:tabs>
        <w:numPr>
          <w:ilvl w:val="2"/>
          <w:numId w:val="29"/>
        </w:numPr>
        <w:rPr>
          <w:rFonts w:ascii="Arial" w:cs="Arial" w:eastAsia="Arial" w:hAnsi="Arial"/>
          <w:sz w:val="16"/>
          <w:szCs w:val="16"/>
          <w:color w:val="auto"/>
        </w:rPr>
      </w:pPr>
      <w:r>
        <w:rPr>
          <w:rFonts w:ascii="Arial" w:cs="Arial" w:eastAsia="Arial" w:hAnsi="Arial"/>
          <w:sz w:val="16"/>
          <w:szCs w:val="16"/>
          <w:color w:val="auto"/>
        </w:rPr>
        <w:t>(1) the Qualifying Termination occurs between the Effective Date and February 19, 2016 and (2) Executive timely executes and does not revoke the Release of Claims and (3) Executive fully complies with his obligations under this Agreement then: (a) the portion of Executive’s then outstanding unvested Restricted Stock Units (“RSUs”) issued pursuant to LendingTree, Inc.’s 2008 Stock and Annual Incentive Plan (the “Plan”) which were otherwise scheduled to vest between the date of the Qualifying Termination and February 19, 2016 shall instead become vested on the Release of Claims Effective Date, and (b) the portion of Executive’s then outstanding unvested options to purchase common stock (“Options”) issued pursuant to the Plan which were otherwise scheduled to vest on February 19, 2016 shall instead become vested and exercisable on the Release of Claims Effective Date. All RSUs that vest pursuant to this subsection (iv) shall be settled in accordance with the grant terms of such RSUs.</w:t>
      </w:r>
    </w:p>
    <w:p>
      <w:pPr>
        <w:sectPr>
          <w:pgSz w:w="11900" w:h="16838" w:orient="portrait"/>
          <w:cols w:equalWidth="0" w:num="1">
            <w:col w:w="11412"/>
          </w:cols>
          <w:pgMar w:left="248" w:top="935" w:right="239" w:bottom="1440" w:gutter="0" w:footer="0" w:header="0"/>
        </w:sectPr>
      </w:pPr>
    </w:p>
    <w:bookmarkStart w:id="82" w:name="page83"/>
    <w:bookmarkEnd w:id="82"/>
    <w:p>
      <w:pPr>
        <w:jc w:val="both"/>
        <w:ind w:left="1960"/>
        <w:spacing w:after="0" w:line="315" w:lineRule="auto"/>
        <w:rPr>
          <w:sz w:val="20"/>
          <w:szCs w:val="20"/>
          <w:color w:val="auto"/>
        </w:rPr>
      </w:pPr>
      <w:r>
        <w:rPr>
          <w:rFonts w:ascii="Arial" w:cs="Arial" w:eastAsia="Arial" w:hAnsi="Arial"/>
          <w:sz w:val="17"/>
          <w:szCs w:val="17"/>
          <w:color w:val="auto"/>
        </w:rPr>
        <w:t>All Options that vest pursuant to this subsection (iv) shall remain exercisable only to the extent permitted under the grant terms of such Options. All other unvested RSUs and Options issued to Executive pursuant to the Plan and which are not covered by the foregoing clauses (a) and (b) shall terminate without consideration as of the date of such Qualifying Termination. Additionally, if there is no Release of Claims Effective Date then the RSUs or Options that were covered by the foregoing clauses (a) and (b) shall terminate without consideration as of the 61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day following the Qualifying Termination.</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Notwithstanding the foregoing, if Executive obtains other employment or is otherwise compensated for services during the period in which he is receiving Salary Continuation Payments (“Severance Period”), Employer’s obligation to make future payments to Executive under subparagraph (ii) above shall be offset against any compensation earned by Executive as a result of employment with or services provided to a third party. Executive agrees to inform Employer promptly of his employment status and any amounts so earned during the Severance Period. Further, Employer’s obligation to make payments under subparagraph (ii) shall immediately cease in the event that Executive breaches the terms of this Agreement, including but not limited to, Executive’s obligations set forth in Section 12 of this Agreement. Executive acknowledges and agrees that the payments described in paragraph 5(b) above constitute good and valuable consideration for such Release of Claims.</w:t>
      </w:r>
    </w:p>
    <w:p>
      <w:pPr>
        <w:spacing w:after="0" w:line="162" w:lineRule="exact"/>
        <w:rPr>
          <w:sz w:val="20"/>
          <w:szCs w:val="20"/>
          <w:color w:val="auto"/>
        </w:rPr>
      </w:pPr>
    </w:p>
    <w:p>
      <w:pPr>
        <w:jc w:val="both"/>
        <w:ind w:firstLine="332"/>
        <w:spacing w:after="0" w:line="306" w:lineRule="auto"/>
        <w:tabs>
          <w:tab w:leader="none" w:pos="82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Reference is made to the change in control letter issued by Employer to certain executives of Employer, as the same may be revised from time to time (the “CIC Letter”). In the event that Executive experiences a Qualifying Termination within the one-year period following a Change in Control (as defined in the CIC Letter), the terms of the CIC Letter, as it may be amended from time to time, shall control and supersede the terms of this Agreement with respect to any benefits or payments which would otherwise be due hereunder.</w:t>
      </w:r>
    </w:p>
    <w:p>
      <w:pPr>
        <w:spacing w:after="0" w:line="132" w:lineRule="exact"/>
        <w:rPr>
          <w:rFonts w:ascii="Arial" w:cs="Arial" w:eastAsia="Arial" w:hAnsi="Arial"/>
          <w:sz w:val="18"/>
          <w:szCs w:val="18"/>
          <w:color w:val="auto"/>
        </w:rPr>
      </w:pPr>
    </w:p>
    <w:p>
      <w:pPr>
        <w:jc w:val="both"/>
        <w:ind w:firstLine="332"/>
        <w:spacing w:after="0" w:line="318" w:lineRule="auto"/>
        <w:tabs>
          <w:tab w:leader="none" w:pos="78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Return of Property</w:t>
      </w:r>
      <w:r>
        <w:rPr>
          <w:rFonts w:ascii="Arial" w:cs="Arial" w:eastAsia="Arial" w:hAnsi="Arial"/>
          <w:sz w:val="17"/>
          <w:szCs w:val="17"/>
          <w:color w:val="auto"/>
        </w:rPr>
        <w:t>. “Confidential Information” means any written, oral, or other information obtained by Executive in confidence from Employer, or any of its affiliates, including without limitation information about their respective operations, financial condition, business commitments or business strategy, as a result of Executive’s employment with Employer unless such information is already publicly known through no fault of any person bound by a duty of confidentiality to Employer or any of its affiliates. Executive will not at any time, during or after Executive’s employment with Employer, directly or indirectly disclose Confidential Information to any person or entity other than authorized officers, directors and employees of Employer. Executive will not at any time, during or after Executive’s employment with Employer, in any manner use Confidential Information on behalf of himself or any other person or entity other than Employer, or accept any position in which Executive would have a duty to any person to use Confidential Information against the interests of Employer or any of its affiliates. Upon termination of Executive’s employment for any reason, Executive will promptly return to Employer all property of Employer, including documents and computer files, especially where such property contains or reflects Confidential Information. Nothing in this Agreement shall be interpreted or shall operate to diminish such duties or obligations of Executive to Employer that arise or continue in effect after the termination of Executive’s employment hereunder, including without limitation any such duties or obligations to maintain confidentiality or refrain from adverse use of any of Employer’s trade secrets or other Confidential Information that Executive may have acquired in the course of Executive’s employment.</w:t>
      </w:r>
    </w:p>
    <w:p>
      <w:pPr>
        <w:spacing w:after="0" w:line="130" w:lineRule="exact"/>
        <w:rPr>
          <w:rFonts w:ascii="Arial" w:cs="Arial" w:eastAsia="Arial" w:hAnsi="Arial"/>
          <w:sz w:val="17"/>
          <w:szCs w:val="17"/>
          <w:color w:val="auto"/>
        </w:rPr>
      </w:pPr>
    </w:p>
    <w:p>
      <w:pPr>
        <w:jc w:val="both"/>
        <w:ind w:firstLine="332"/>
        <w:spacing w:after="0" w:line="318" w:lineRule="auto"/>
        <w:tabs>
          <w:tab w:leader="none" w:pos="78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Disclosure and Ownership of Work Related Intellectual Property</w:t>
      </w:r>
      <w:r>
        <w:rPr>
          <w:rFonts w:ascii="Arial" w:cs="Arial" w:eastAsia="Arial" w:hAnsi="Arial"/>
          <w:sz w:val="17"/>
          <w:szCs w:val="17"/>
          <w:color w:val="auto"/>
        </w:rPr>
        <w:t>. Executive shall disclose fully to Employer any and all intellectual property (including, without limitation, inventions, processes, improvements to inventions and processes, and enhancements to inventions and processes, whether or not patentable, formulae, data and computer programs, related documentation and all other forms of copyrightable subject matter) that Executive conceives, develops or makes during the term of Executive’s employment, whether or not within the original Term of this Agreement, and that in whole or in part result from or relate to Executive’s work for Employer (collectively, “Work Related Intellectual Property”). Any such disclosure shall be made promptly after each item of Work Related Intellectual Property is conceived, developed or made by Executive, whichever is sooner. Executive acknowledges that all Work Related Intellectual Property that is copyrightable subject matter and which qualifies as “work made for hire” shall be automatically owned by Employer. Further, Executive hereby assigns to Employer any and all rights which Executive has or may have in Work Related Intellectual Property that is copyrightable subject matter and that, for any reason, does not qualify as “work made for hire.” If any Work Related Intellectual Property embodies or reflects any preexisting rights of Executive, Executive hereby grants to Employer the irrevocable, perpetual, nonexclusive, worldwide, and royalty-free license to use, reproduce, display, perform, distribute copies of and prepare derivative works based upon such preexisting rights and to authorize others to do any or all of the foregoing.</w:t>
      </w:r>
    </w:p>
    <w:p>
      <w:pPr>
        <w:spacing w:after="0" w:line="133" w:lineRule="exact"/>
        <w:rPr>
          <w:rFonts w:ascii="Arial" w:cs="Arial" w:eastAsia="Arial" w:hAnsi="Arial"/>
          <w:sz w:val="17"/>
          <w:szCs w:val="17"/>
          <w:color w:val="auto"/>
        </w:rPr>
      </w:pPr>
    </w:p>
    <w:p>
      <w:pPr>
        <w:ind w:right="20" w:firstLine="332"/>
        <w:spacing w:after="0" w:line="324" w:lineRule="auto"/>
        <w:tabs>
          <w:tab w:leader="none" w:pos="78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Executive covenants as follows, except in the event of a Qualifying Termination within one year following a Change in Control (in which instance, Executive agrees to be bound by the terms of the CIC Letter):</w:t>
      </w:r>
    </w:p>
    <w:p>
      <w:pPr>
        <w:spacing w:after="0" w:line="116" w:lineRule="exact"/>
        <w:rPr>
          <w:rFonts w:ascii="Arial" w:cs="Arial" w:eastAsia="Arial" w:hAnsi="Arial"/>
          <w:sz w:val="18"/>
          <w:szCs w:val="18"/>
          <w:color w:val="auto"/>
        </w:rPr>
      </w:pPr>
    </w:p>
    <w:p>
      <w:pPr>
        <w:jc w:val="both"/>
        <w:ind w:firstLine="656"/>
        <w:spacing w:after="0" w:line="306" w:lineRule="auto"/>
        <w:tabs>
          <w:tab w:leader="none" w:pos="149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In consideration of this Agreement, and other good and valuable consideration provided hereunder, the receipt and sufficiency of which are hereby acknowledged by Executive, Executive hereby agrees and covenants that during the Term and for a period of twelve (12) months thereafter (together, the “Restricted Period”), Executive shall not, without the prior written consent of Employer, directly or indirectly, engage in or become associated with a Competitive Activity.</w:t>
      </w:r>
    </w:p>
    <w:p>
      <w:pPr>
        <w:sectPr>
          <w:pgSz w:w="11900" w:h="16838" w:orient="portrait"/>
          <w:cols w:equalWidth="0" w:num="1">
            <w:col w:w="11420"/>
          </w:cols>
          <w:pgMar w:left="240" w:top="935" w:right="239" w:bottom="1440" w:gutter="0" w:footer="0" w:header="0"/>
        </w:sectPr>
      </w:pPr>
    </w:p>
    <w:bookmarkStart w:id="83" w:name="page84"/>
    <w:bookmarkEnd w:id="83"/>
    <w:p>
      <w:pPr>
        <w:jc w:val="both"/>
        <w:spacing w:after="0" w:line="302" w:lineRule="auto"/>
        <w:rPr>
          <w:sz w:val="20"/>
          <w:szCs w:val="20"/>
          <w:color w:val="auto"/>
        </w:rPr>
      </w:pPr>
      <w:r>
        <w:rPr>
          <w:rFonts w:ascii="Arial" w:cs="Arial" w:eastAsia="Arial" w:hAnsi="Arial"/>
          <w:sz w:val="18"/>
          <w:szCs w:val="18"/>
          <w:color w:val="auto"/>
        </w:rPr>
        <w:t>“Competitive Activity” means any business or other endeavor, in any state of the United States, involving products or services that are the same or similar to the type of products or services that Employer is engaged in providing both (x) as of the date hereof or at any time during the Term and (y) at any time during the twelve (12) month period preceding Executive’s termination of employment. Executive shall be considered to have become “associated with a Competitive Activity” if Executive becomes directly or indirectly involved as an owner, principal, employee, officer, director, independent contractor, representative, stockholder, financial backer, agent, partner, member, advisor, lender, or in any other individual or representative capacity with any individual, partnership, corporation or other organization that is engaged in a Competitive Activity.</w:t>
      </w:r>
    </w:p>
    <w:p>
      <w:pPr>
        <w:spacing w:after="0" w:line="139" w:lineRule="exact"/>
        <w:rPr>
          <w:sz w:val="20"/>
          <w:szCs w:val="20"/>
          <w:color w:val="auto"/>
        </w:rPr>
      </w:pPr>
    </w:p>
    <w:p>
      <w:pPr>
        <w:jc w:val="both"/>
        <w:ind w:firstLine="656"/>
        <w:spacing w:after="0" w:line="336" w:lineRule="auto"/>
        <w:tabs>
          <w:tab w:leader="none" w:pos="1506"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Notwithstanding the foregoing, Executive may make and retain investments during the Restricted Period, in less than one percent (1%) of the outstanding capital stock of any publicly traded corporation engaged in a Competitive Activity if the stock of such corporation is either listed on a national stock exchange or on the NASDAQ Stock Market if Executive is not otherwise affiliated with such corporation.</w:t>
      </w:r>
    </w:p>
    <w:p>
      <w:pPr>
        <w:spacing w:after="0" w:line="110" w:lineRule="exact"/>
        <w:rPr>
          <w:rFonts w:ascii="Arial" w:cs="Arial" w:eastAsia="Arial" w:hAnsi="Arial"/>
          <w:sz w:val="17"/>
          <w:szCs w:val="17"/>
          <w:color w:val="auto"/>
        </w:rPr>
      </w:pPr>
    </w:p>
    <w:p>
      <w:pPr>
        <w:jc w:val="both"/>
        <w:ind w:firstLine="656"/>
        <w:spacing w:after="0" w:line="318" w:lineRule="auto"/>
        <w:tabs>
          <w:tab w:leader="none" w:pos="149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Executive recognizes that he will possess Confidential Information about other employees, consultants and contractors of Employer and its subsidiaries or affiliates relating to their education, experience, skills, abilities, compensation and benefits and interpersonal relationships with suppliers to and customers of Employer and its subsidiaries or affiliates. Executive recognizes that the information he will possess about these other employees, consultants and contractors is not generally known, is of substantial value to Employer and its subsidiaries or affiliates in developing their respective businesses and in securing and retaining customers, and will be acquired by Executive because of Executive’s position with Employer. Executive agrees that during the Restricted Period (i) Executive will not, directly or indirectly, solicit or recruit any person then employed by Employer and/or any of its subsidiaries and/or affiliates with whom Executive has had direct contact during his employment, in all cases for the purpose of being employed by Executive or by any business, individual, partnership, firm, corporation or the entity on whose behalf Executive is acting as an agent, representative or employee; and (ii) Executive will not convey any such Confidential Information or trade secrets about employees of Employer or any of its subsidiaries or affiliates to any other person except within the scope of Executives duties hereunder. Notwithstanding the foregoing, upon a termination of Executive’s employment by Employer for any reason other than for Cause, the restrictions set forth immediately above shall apply for a period of twelve (12) months following such termination in the case of employees with whom Executive had a direct working relationship prior to his employment with Employer, its subsidiaries, and/or affiliates.</w:t>
      </w:r>
    </w:p>
    <w:p>
      <w:pPr>
        <w:spacing w:after="0" w:line="130" w:lineRule="exact"/>
        <w:rPr>
          <w:rFonts w:ascii="Arial" w:cs="Arial" w:eastAsia="Arial" w:hAnsi="Arial"/>
          <w:sz w:val="17"/>
          <w:szCs w:val="17"/>
          <w:color w:val="auto"/>
        </w:rPr>
      </w:pPr>
    </w:p>
    <w:p>
      <w:pPr>
        <w:jc w:val="both"/>
        <w:ind w:firstLine="656"/>
        <w:spacing w:after="0" w:line="306" w:lineRule="auto"/>
        <w:tabs>
          <w:tab w:leader="none" w:pos="150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w:t>
      </w:r>
      <w:r>
        <w:rPr>
          <w:rFonts w:ascii="Arial" w:cs="Arial" w:eastAsia="Arial" w:hAnsi="Arial"/>
          <w:sz w:val="18"/>
          <w:szCs w:val="18"/>
          <w:color w:val="auto"/>
        </w:rPr>
        <w:t>. During the Restricted Period, Executive shall not solicit any Customers of Employer or encourage (regardless of who initiates the contact) any such Customers to use the facilities or services of any competitor of Employer. For the purposes of this Agreement, “Customers” means any persons or entities that purchased products or services from Employer within twelve (12) calendar months of the termination of Executive’s employment.</w:t>
      </w:r>
    </w:p>
    <w:p>
      <w:pPr>
        <w:spacing w:after="0" w:line="132" w:lineRule="exact"/>
        <w:rPr>
          <w:rFonts w:ascii="Arial" w:cs="Arial" w:eastAsia="Arial" w:hAnsi="Arial"/>
          <w:sz w:val="18"/>
          <w:szCs w:val="18"/>
          <w:color w:val="auto"/>
        </w:rPr>
      </w:pPr>
    </w:p>
    <w:p>
      <w:pPr>
        <w:jc w:val="both"/>
        <w:ind w:right="20" w:firstLine="656"/>
        <w:spacing w:after="0" w:line="311" w:lineRule="auto"/>
        <w:tabs>
          <w:tab w:leader="none" w:pos="14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acknowledges that the restrictions, prohibitions and other provisions herein, including, without limitation, the Restricted Period, are reasonable, fair and equitable in terms of duration and scope, are necessary to protect the legitimate business interests of Employer, and are a material inducement to Employer to enter into this Agreement.</w:t>
      </w:r>
    </w:p>
    <w:p>
      <w:pPr>
        <w:spacing w:after="0" w:line="127" w:lineRule="exact"/>
        <w:rPr>
          <w:rFonts w:ascii="Arial" w:cs="Arial" w:eastAsia="Arial" w:hAnsi="Arial"/>
          <w:sz w:val="18"/>
          <w:szCs w:val="18"/>
          <w:color w:val="auto"/>
        </w:rPr>
      </w:pPr>
    </w:p>
    <w:p>
      <w:pPr>
        <w:jc w:val="both"/>
        <w:ind w:firstLine="332"/>
        <w:spacing w:after="0" w:line="319" w:lineRule="auto"/>
        <w:tabs>
          <w:tab w:leader="none" w:pos="87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Remedies for Breach.</w:t>
      </w:r>
      <w:r>
        <w:rPr>
          <w:rFonts w:ascii="Arial" w:cs="Arial" w:eastAsia="Arial" w:hAnsi="Arial"/>
          <w:sz w:val="17"/>
          <w:szCs w:val="17"/>
          <w:color w:val="auto"/>
        </w:rPr>
        <w:t xml:space="preserve"> Executive acknowledges and agrees that a breach of any of the covenants made by Executive in Sections 7, 8 and 9 above would cause irreparable harm to Employer or any of its affiliates for which there would be no adequate remedy at law. Accordingly, the parties agree that in the event of any breach or attempted breach by Executive of any of the provisions of Sections 7, 8 and/or 9, Employer shall be entitled to institute and prosecute proceedings at law or in equity with respect to such breach, and, if successful, to recover such costs, expenses, and reasonable attorney’s fees as may be incurred in connection with such proceedings. The parties further agree that, to the extent Employer institutes and prosecutes proceedings at law or in equity against Executive for an alleged breach, and such action is unsuccessful, Executive is entitled to recover such costs, expenses, and reasonable attorneys’ fees as may be incurred in connection with such proceedings. If Executive breaches Section 8 above, the duration of the period identified shall be computed from the date Executive resumes compliance with the covenant or from the date Employer is granted injunctive or other equitable relief by a court of competent jurisdiction enforcing the covenant, whichever shall first occur, reduced by the number of days Executive was not in breach of the covenant after termination of employment, or any delay in filing suit, whichever is greater.</w:t>
      </w:r>
    </w:p>
    <w:p>
      <w:pPr>
        <w:spacing w:after="0" w:line="129" w:lineRule="exact"/>
        <w:rPr>
          <w:rFonts w:ascii="Arial" w:cs="Arial" w:eastAsia="Arial" w:hAnsi="Arial"/>
          <w:sz w:val="17"/>
          <w:szCs w:val="17"/>
          <w:color w:val="auto"/>
        </w:rPr>
      </w:pPr>
    </w:p>
    <w:p>
      <w:pPr>
        <w:jc w:val="both"/>
        <w:ind w:firstLine="332"/>
        <w:spacing w:after="0" w:line="329" w:lineRule="auto"/>
        <w:tabs>
          <w:tab w:leader="none" w:pos="86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Survival of Obligations</w:t>
      </w:r>
      <w:r>
        <w:rPr>
          <w:rFonts w:ascii="Arial" w:cs="Arial" w:eastAsia="Arial" w:hAnsi="Arial"/>
          <w:sz w:val="17"/>
          <w:szCs w:val="17"/>
          <w:color w:val="auto"/>
        </w:rPr>
        <w:t>. Executive’s obligations under Sections 7, 8 and 9 of this Agreement shall survive the termination of Executive’s employment and this Agreement, regardless of the reason for or method of termination. Each of the provisions in these Sections shall be enforceable independently of every other provision, and the existence of any claim or cause of action Executive may have against Employer, whether predicated on this Agreement or otherwise, shall not constitute a defense to the enforcement of these Sections of the Agreement by Employer.</w:t>
      </w:r>
    </w:p>
    <w:p>
      <w:pPr>
        <w:spacing w:after="0" w:line="116" w:lineRule="exact"/>
        <w:rPr>
          <w:rFonts w:ascii="Arial" w:cs="Arial" w:eastAsia="Arial" w:hAnsi="Arial"/>
          <w:sz w:val="17"/>
          <w:szCs w:val="17"/>
          <w:color w:val="auto"/>
        </w:rPr>
      </w:pPr>
    </w:p>
    <w:p>
      <w:pPr>
        <w:jc w:val="both"/>
        <w:ind w:firstLine="332"/>
        <w:spacing w:after="0" w:line="311" w:lineRule="auto"/>
        <w:tabs>
          <w:tab w:leader="none" w:pos="87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Actions After Termination</w:t>
      </w:r>
      <w:r>
        <w:rPr>
          <w:rFonts w:ascii="Arial" w:cs="Arial" w:eastAsia="Arial" w:hAnsi="Arial"/>
          <w:sz w:val="18"/>
          <w:szCs w:val="18"/>
          <w:color w:val="auto"/>
        </w:rPr>
        <w:t>. Executive agrees that for one year following Executive’s termination from Employer, regardless of the reason for the termination, Executive will continue to make himself available for reasonable consultation with Employer and Employer’s agents and employees regarding Executive’s prior work for Employer. In no event shall such services</w:t>
      </w:r>
    </w:p>
    <w:p>
      <w:pPr>
        <w:sectPr>
          <w:pgSz w:w="11900" w:h="16838" w:orient="portrait"/>
          <w:cols w:equalWidth="0" w:num="1">
            <w:col w:w="11420"/>
          </w:cols>
          <w:pgMar w:left="240" w:top="935" w:right="239" w:bottom="1440" w:gutter="0" w:footer="0" w:header="0"/>
        </w:sectPr>
      </w:pPr>
    </w:p>
    <w:bookmarkStart w:id="84" w:name="page85"/>
    <w:bookmarkEnd w:id="84"/>
    <w:p>
      <w:pPr>
        <w:jc w:val="both"/>
        <w:spacing w:after="0" w:line="344" w:lineRule="auto"/>
        <w:rPr>
          <w:sz w:val="20"/>
          <w:szCs w:val="20"/>
          <w:color w:val="auto"/>
        </w:rPr>
      </w:pPr>
      <w:r>
        <w:rPr>
          <w:rFonts w:ascii="Arial" w:cs="Arial" w:eastAsia="Arial" w:hAnsi="Arial"/>
          <w:sz w:val="16"/>
          <w:szCs w:val="16"/>
          <w:color w:val="auto"/>
        </w:rPr>
        <w:t>in a given month exceed 20% of the average monthly level of services performed by Executive over the 36-month period immediately preceding the date on which Executive’s employment terminated. In addition, Executive shall make himself reasonably available for interviews by Employer’s counsel, depositions, and/or appearances before courts or administrative agencies upon Employer’s reasonable request. Executive agrees that if Executive is contacted by any government agency with reference to Employer’s business, or by any person contemplating or maintaining any claim or legal action against Employer, or by any agent or attorney of such person, Executive will, to the extent permitted by law, promptly notify Employer of the substance of Executive’s communications with such person. Employer agrees to reimburse any reasonable expenses (and, after any Severance Period, reasonable compensation for lost income) incurred by Executive in connection with this Section 12, provided that such expenses shall have been preapproved in writing by Employer.</w:t>
      </w:r>
    </w:p>
    <w:p>
      <w:pPr>
        <w:spacing w:after="0" w:line="108" w:lineRule="exact"/>
        <w:rPr>
          <w:sz w:val="20"/>
          <w:szCs w:val="20"/>
          <w:color w:val="auto"/>
        </w:rPr>
      </w:pPr>
    </w:p>
    <w:p>
      <w:pPr>
        <w:jc w:val="both"/>
        <w:ind w:firstLine="332"/>
        <w:spacing w:after="0" w:line="319" w:lineRule="auto"/>
        <w:tabs>
          <w:tab w:leader="none" w:pos="87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Employer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paragraph shall be made by independent tax counsel reasonably acceptable to both Executive and Employer, and shall be paid for by Employer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8"/>
          <w:szCs w:val="18"/>
          <w:u w:val="single" w:color="auto"/>
          <w:color w:val="auto"/>
        </w:rPr>
        <w:t>Excess Payment</w:t>
      </w:r>
      <w:r>
        <w:rPr>
          <w:rFonts w:ascii="Arial" w:cs="Arial" w:eastAsia="Arial" w:hAnsi="Arial"/>
          <w:sz w:val="18"/>
          <w:szCs w:val="18"/>
          <w:color w:val="auto"/>
        </w:rPr>
        <w:t>” or “</w:t>
      </w:r>
      <w:r>
        <w:rPr>
          <w:rFonts w:ascii="Arial" w:cs="Arial" w:eastAsia="Arial" w:hAnsi="Arial"/>
          <w:sz w:val="18"/>
          <w:szCs w:val="18"/>
          <w:u w:val="single" w:color="auto"/>
          <w:color w:val="auto"/>
        </w:rPr>
        <w:t>Underpayment</w:t>
      </w:r>
      <w:r>
        <w:rPr>
          <w:rFonts w:ascii="Arial" w:cs="Arial" w:eastAsia="Arial" w:hAnsi="Arial"/>
          <w:sz w:val="18"/>
          <w:szCs w:val="18"/>
          <w:color w:val="auto"/>
        </w:rPr>
        <w:t>”, as applicable). If Tax Counsel determines that an Excess Payment has been made, then Executive shall promptly repay the Excess Payment to Employer, together with interest on the Excess Payment at the applicable federal rate (as defined in section 1274(d) of the Code) from the date of Executive’s receipt of such Excess Payment until the date of such repayment. If Tax Counsel determines that an Underpayment has occurred, Employer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165" w:lineRule="exact"/>
        <w:rPr>
          <w:sz w:val="20"/>
          <w:szCs w:val="20"/>
          <w:color w:val="auto"/>
        </w:rPr>
      </w:pPr>
    </w:p>
    <w:p>
      <w:pPr>
        <w:jc w:val="both"/>
        <w:ind w:firstLine="332"/>
        <w:spacing w:after="0" w:line="334" w:lineRule="auto"/>
        <w:tabs>
          <w:tab w:leader="none" w:pos="87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parties intend that any amounts payable hereunder shall comply with or be exempt from Section 409A of the Code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409A</w:t>
      </w:r>
      <w:r>
        <w:rPr>
          <w:rFonts w:ascii="Arial" w:cs="Arial" w:eastAsia="Arial" w:hAnsi="Arial"/>
          <w:sz w:val="16"/>
          <w:szCs w:val="16"/>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Employer agree to negotiate in good faith to make amendments to the Agreement, as the parties mutually agree are necessary or desirable to avoid the imposition of taxes, penalties or interest under Section 409A. Neither Executive nor Employer shall have the right to accelerate or defer the delivery of any such payments or benefits except</w:t>
      </w:r>
    </w:p>
    <w:p>
      <w:pPr>
        <w:spacing w:after="0" w:line="3" w:lineRule="exact"/>
        <w:rPr>
          <w:rFonts w:ascii="Arial" w:cs="Arial" w:eastAsia="Arial" w:hAnsi="Arial"/>
          <w:sz w:val="16"/>
          <w:szCs w:val="16"/>
          <w:color w:val="auto"/>
        </w:rPr>
      </w:pPr>
    </w:p>
    <w:p>
      <w:pPr>
        <w:jc w:val="both"/>
        <w:ind w:firstLine="8"/>
        <w:spacing w:after="0" w:line="339"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where payment may be made within a certain period of time, the timing of payment within such period will be in the sole discretion of Employer,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his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 incurred and (iii)</w:t>
      </w:r>
    </w:p>
    <w:p>
      <w:pPr>
        <w:sectPr>
          <w:pgSz w:w="11900" w:h="16838" w:orient="portrait"/>
          <w:cols w:equalWidth="0" w:num="1">
            <w:col w:w="11420"/>
          </w:cols>
          <w:pgMar w:left="240" w:top="935" w:right="239" w:bottom="1440" w:gutter="0" w:footer="0" w:header="0"/>
        </w:sectPr>
      </w:pPr>
    </w:p>
    <w:bookmarkStart w:id="85" w:name="page86"/>
    <w:bookmarkEnd w:id="85"/>
    <w:p>
      <w:pPr>
        <w:jc w:val="both"/>
        <w:spacing w:after="0" w:line="302" w:lineRule="auto"/>
        <w:rPr>
          <w:sz w:val="20"/>
          <w:szCs w:val="20"/>
          <w:color w:val="auto"/>
        </w:rPr>
      </w:pPr>
      <w:r>
        <w:rPr>
          <w:rFonts w:ascii="Arial" w:cs="Arial" w:eastAsia="Arial" w:hAnsi="Arial"/>
          <w:sz w:val="18"/>
          <w:szCs w:val="18"/>
          <w:color w:val="auto"/>
        </w:rPr>
        <w:t>the right to expense reimbursement hereunder shall not be subject to liquidation or exchange for another benefit. While it is intended that all payments and benefits provided to Executive under this Agreement will be exempt from or comply with Section 409A, Employer makes no representation or covenant to ensure that such payments and benefits are exempt from or compliant with Section 409A. Employer will have no liability to Executive or any other party if a payment or benefit under this Agreement or otherwise is challenged by any taxing authority or is ultimately determined not to be exempt or compliant. Executive further understands and agrees that Executive will be entirely responsible for any and all taxes imposed on Executive as a result of this Agreement.</w:t>
      </w:r>
    </w:p>
    <w:p>
      <w:pPr>
        <w:spacing w:after="0" w:line="139" w:lineRule="exact"/>
        <w:rPr>
          <w:sz w:val="20"/>
          <w:szCs w:val="20"/>
          <w:color w:val="auto"/>
        </w:rPr>
      </w:pPr>
    </w:p>
    <w:p>
      <w:pPr>
        <w:jc w:val="both"/>
        <w:ind w:firstLine="332"/>
        <w:spacing w:after="0" w:line="304" w:lineRule="auto"/>
        <w:tabs>
          <w:tab w:leader="none" w:pos="87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Employer may assign this Agreement to any other entity acquiring all or substantially all of the assets or stock of Employer or to any other entity into which or with which Employer may be merged or consolidated. Upon such assignment, merger, or consolidation, the rights of Employer under this Agreement, as well as the obligations and liabilities of Employer hereunder, shall inure to the benefit of and be binding upon the assignee, successor-in-interest, or transferee of Employer and Employer shall have no further obligations or liabilities hereunder. This Agreement is not assignable in any respect by Executive.</w:t>
      </w:r>
    </w:p>
    <w:p>
      <w:pPr>
        <w:spacing w:after="0" w:line="134" w:lineRule="exact"/>
        <w:rPr>
          <w:rFonts w:ascii="Arial" w:cs="Arial" w:eastAsia="Arial" w:hAnsi="Arial"/>
          <w:sz w:val="18"/>
          <w:szCs w:val="18"/>
          <w:color w:val="auto"/>
        </w:rPr>
      </w:pPr>
    </w:p>
    <w:p>
      <w:pPr>
        <w:jc w:val="both"/>
        <w:ind w:firstLine="332"/>
        <w:spacing w:after="0" w:line="364" w:lineRule="auto"/>
        <w:tabs>
          <w:tab w:leader="none" w:pos="87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given by first-class mail, certified or registered with return receipt requested or by hand delivery, or by overnight delivery by a national recognized carrier, in each case to the applicable address set forth below, and any such notice is deemed effectively given which received by recipient (or if receipt is refused by recipient, when so refused):</w:t>
      </w:r>
    </w:p>
    <w:p>
      <w:pPr>
        <w:spacing w:after="0" w:line="12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If to Employer:</w:t>
      </w:r>
      <w:r>
        <w:rPr>
          <w:sz w:val="20"/>
          <w:szCs w:val="20"/>
          <w:color w:val="auto"/>
        </w:rPr>
        <w:tab/>
      </w:r>
      <w:r>
        <w:rPr>
          <w:rFonts w:ascii="Arial" w:cs="Arial" w:eastAsia="Arial" w:hAnsi="Arial"/>
          <w:sz w:val="16"/>
          <w:szCs w:val="16"/>
          <w:color w:val="auto"/>
        </w:rPr>
        <w:t>LendingTree,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11115 Rushmore Dr.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If to Executive:</w:t>
      </w:r>
      <w:r>
        <w:rPr>
          <w:sz w:val="20"/>
          <w:szCs w:val="20"/>
          <w:color w:val="auto"/>
        </w:rPr>
        <w:tab/>
      </w:r>
      <w:r>
        <w:rPr>
          <w:rFonts w:ascii="Arial" w:cs="Arial" w:eastAsia="Arial" w:hAnsi="Arial"/>
          <w:sz w:val="16"/>
          <w:szCs w:val="16"/>
          <w:color w:val="auto"/>
        </w:rPr>
        <w:t>At the most recent address for Executive on file with Employer.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198" w:lineRule="exact"/>
        <w:rPr>
          <w:sz w:val="20"/>
          <w:szCs w:val="20"/>
          <w:color w:val="auto"/>
        </w:rPr>
      </w:pPr>
    </w:p>
    <w:p>
      <w:pPr>
        <w:jc w:val="both"/>
        <w:ind w:firstLine="332"/>
        <w:spacing w:after="0" w:line="302"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Invalid Provisions.</w:t>
      </w:r>
      <w:r>
        <w:rPr>
          <w:rFonts w:ascii="Arial" w:cs="Arial" w:eastAsia="Arial" w:hAnsi="Arial"/>
          <w:sz w:val="18"/>
          <w:szCs w:val="18"/>
          <w:color w:val="auto"/>
        </w:rPr>
        <w:t xml:space="preserve"> It is not the intention of either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 reasonable and judicially-enforceable limitation in its place, and that as so modified the covenant shall be as fully enforceable as if set forth herein by the Parties themselves in the modified form.</w:t>
      </w:r>
    </w:p>
    <w:p>
      <w:pPr>
        <w:spacing w:after="0" w:line="138" w:lineRule="exact"/>
        <w:rPr>
          <w:rFonts w:ascii="Arial" w:cs="Arial" w:eastAsia="Arial" w:hAnsi="Arial"/>
          <w:sz w:val="18"/>
          <w:szCs w:val="18"/>
          <w:color w:val="auto"/>
        </w:rPr>
      </w:pPr>
    </w:p>
    <w:p>
      <w:pPr>
        <w:jc w:val="both"/>
        <w:ind w:firstLine="332"/>
        <w:spacing w:after="0" w:line="323" w:lineRule="auto"/>
        <w:tabs>
          <w:tab w:leader="none" w:pos="87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xml:space="preserve"> This Agreement contains the entire agreement of the Parties with respect to the subject matter hereof and supersedes all prior agreements and understandings, relating to the subject matter hereof, including, but not limited to (i) that certain Letter Agreement dated as of September 9, 2012 by and between Employer and Executive; (ii) that certain Letter Agreement dated April 11, 2011 by and between Executive and Employer; and (iii) the Prior Employment Agreement. For the avoidance of doubt, entry into this Agreement superseding the Prior Employment Agreement does not constitute a “Qualifying Termination” under the Prior Agreement. This Agreement may be amended in whole or in part only by an instrument in writing setting forth the particulars of such amendment and duly executed by both Parties.</w:t>
      </w:r>
    </w:p>
    <w:p>
      <w:pPr>
        <w:spacing w:after="0" w:line="123" w:lineRule="exact"/>
        <w:rPr>
          <w:rFonts w:ascii="Arial" w:cs="Arial" w:eastAsia="Arial" w:hAnsi="Arial"/>
          <w:sz w:val="17"/>
          <w:szCs w:val="17"/>
          <w:color w:val="auto"/>
        </w:rPr>
      </w:pPr>
    </w:p>
    <w:p>
      <w:pPr>
        <w:ind w:firstLine="332"/>
        <w:spacing w:after="0" w:line="324"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two or more counterparts, each of which will be deemed an original, but all of which together shall constitute one and the same instrument.</w:t>
      </w:r>
    </w:p>
    <w:p>
      <w:pPr>
        <w:spacing w:after="0" w:line="116" w:lineRule="exact"/>
        <w:rPr>
          <w:rFonts w:ascii="Arial" w:cs="Arial" w:eastAsia="Arial" w:hAnsi="Arial"/>
          <w:sz w:val="18"/>
          <w:szCs w:val="18"/>
          <w:color w:val="auto"/>
        </w:rPr>
      </w:pPr>
    </w:p>
    <w:p>
      <w:pPr>
        <w:jc w:val="both"/>
        <w:ind w:firstLine="332"/>
        <w:spacing w:after="0" w:line="302"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The validity, construction, interpretation and enforceability of this Agreement and the capacity of the parties shall be determined and governed by the laws of the State of North Carolina, without regard to the conflict of law rules contained therein. Any litigation under this Agreement shall be brought by either Party exclusively in Mecklenburg County, North Carolina. As such, the Parties irrevocably consent to the jurisdiction of the courts in Mecklenburg County, North Carolina (whether federal or state) for all disputes related to this Agreement and irrevocably consent to service via nationally recognized overnight carrier, without limiting other service methods allowed by applicable law. In addition, the Parties irrevocably waive any right to a trial by jury in any action related to this Agreement.</w:t>
      </w:r>
    </w:p>
    <w:p>
      <w:pPr>
        <w:spacing w:after="0" w:line="138" w:lineRule="exact"/>
        <w:rPr>
          <w:rFonts w:ascii="Arial" w:cs="Arial" w:eastAsia="Arial" w:hAnsi="Arial"/>
          <w:sz w:val="18"/>
          <w:szCs w:val="18"/>
          <w:color w:val="auto"/>
        </w:rPr>
      </w:pPr>
    </w:p>
    <w:p>
      <w:pPr>
        <w:ind w:right="20" w:firstLine="332"/>
        <w:spacing w:after="0" w:line="324"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payments made under this Agreement shall be subject to Employer’s withholding of all required foreign, federal, state and local income and employment/payroll taxes, and all payments shall be net of such tax withholding.</w:t>
      </w:r>
    </w:p>
    <w:p>
      <w:pPr>
        <w:spacing w:after="0" w:line="116" w:lineRule="exact"/>
        <w:rPr>
          <w:rFonts w:ascii="Arial" w:cs="Arial" w:eastAsia="Arial" w:hAnsi="Arial"/>
          <w:sz w:val="18"/>
          <w:szCs w:val="18"/>
          <w:color w:val="auto"/>
        </w:rPr>
      </w:pPr>
    </w:p>
    <w:p>
      <w:pPr>
        <w:ind w:right="20" w:firstLine="332"/>
        <w:spacing w:after="0" w:line="324"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to the contrary in this Agreement, any payments made or granted pursuant to this Agreement shall be subject to any recoupment or clawback policy that may be adopted by the Company from time to time</w:t>
      </w:r>
    </w:p>
    <w:p>
      <w:pPr>
        <w:sectPr>
          <w:pgSz w:w="11900" w:h="16838" w:orient="portrait"/>
          <w:cols w:equalWidth="0" w:num="1">
            <w:col w:w="11420"/>
          </w:cols>
          <w:pgMar w:left="240" w:top="93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and to any requirement of applicable law, regulation or listing standard that requires the company to recoup or clawback compensation paid.</w:t>
      </w:r>
    </w:p>
    <w:p>
      <w:pPr>
        <w:spacing w:after="0" w:line="212" w:lineRule="exact"/>
        <w:rPr>
          <w:sz w:val="20"/>
          <w:szCs w:val="20"/>
          <w:color w:val="auto"/>
        </w:rPr>
      </w:pPr>
    </w:p>
    <w:p>
      <w:pPr>
        <w:jc w:val="both"/>
        <w:ind w:firstLine="332"/>
        <w:spacing w:after="0" w:line="304" w:lineRule="auto"/>
        <w:tabs>
          <w:tab w:leader="none" w:pos="87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From and after a Qualifying Termination, Executive agrees not to disparage Employer or any officers, directors, employees, shareholders, parent companies, affiliates or agents of Employer (each an “Employer Party”). For purposes of this Section, “disparage” means to make a negative statement in any manner likely to be harmful to an Employer Party, its business or business reputation or personal reputation; provided that Executive may respond accurately and fully to any question, inquiry or request for information when required by legal process. This Agreement shall cover all forms of disparagement, direct or indirect, through any medium or in any venue.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936" w:right="239" w:bottom="1440" w:gutter="0" w:footer="0" w:header="0"/>
        </w:sectPr>
      </w:pPr>
    </w:p>
    <w:bookmarkStart w:id="87" w:name="page88"/>
    <w:bookmarkEnd w:id="87"/>
    <w:p>
      <w:pPr>
        <w:ind w:left="2700" w:right="679" w:hanging="3240"/>
        <w:spacing w:after="0" w:line="277" w:lineRule="auto"/>
        <w:rPr>
          <w:sz w:val="20"/>
          <w:szCs w:val="20"/>
          <w:color w:val="auto"/>
        </w:rPr>
      </w:pPr>
      <w:r>
        <w:rPr>
          <w:rFonts w:ascii="Arial" w:cs="Arial" w:eastAsia="Arial" w:hAnsi="Arial"/>
          <w:sz w:val="18"/>
          <w:szCs w:val="18"/>
          <w:color w:val="auto"/>
        </w:rPr>
        <w:t xml:space="preserve">IN WITNESS WHEREOF, the parties hereto have executed and delivered this Agreement as of the date first written above. </w:t>
      </w:r>
      <w:r>
        <w:rPr>
          <w:rFonts w:ascii="Arial" w:cs="Arial" w:eastAsia="Arial" w:hAnsi="Arial"/>
          <w:sz w:val="18"/>
          <w:szCs w:val="18"/>
          <w:u w:val="single" w:color="auto"/>
          <w:color w:val="auto"/>
        </w:rPr>
        <w:t>Employer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 Claudette Parham</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 Claudette Parham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Senior Vice President, Human Resources &amp; Administration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LendingTree, Inc.</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/s/ Gabriel Dalporto</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Gabriel Dalporto</w:t>
      </w:r>
    </w:p>
    <w:p>
      <w:pPr>
        <w:sectPr>
          <w:pgSz w:w="11900" w:h="16838" w:orient="portrait"/>
          <w:cols w:equalWidth="0" w:num="1">
            <w:col w:w="9019"/>
          </w:cols>
          <w:pgMar w:left="1440" w:top="90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tcPr>
          <w:p>
            <w:pPr>
              <w:ind w:left="664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75"/>
        </w:trPr>
        <w:tc>
          <w:tcPr>
            <w:tcW w:w="3840" w:type="dxa"/>
            <w:vAlign w:val="bottom"/>
          </w:tcPr>
          <w:p>
            <w:pPr>
              <w:spacing w:after="0"/>
              <w:rPr>
                <w:sz w:val="24"/>
                <w:szCs w:val="24"/>
                <w:color w:val="auto"/>
              </w:rPr>
            </w:pPr>
          </w:p>
        </w:tc>
        <w:tc>
          <w:tcPr>
            <w:tcW w:w="7580" w:type="dxa"/>
            <w:vAlign w:val="bottom"/>
          </w:tcPr>
          <w:p>
            <w:pPr>
              <w:ind w:left="18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585"/>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7580" w:type="dxa"/>
            <w:vAlign w:val="bottom"/>
          </w:tcPr>
          <w:p>
            <w:pPr>
              <w:jc w:val="center"/>
              <w:ind w:left="6013"/>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7580" w:type="dxa"/>
            <w:vAlign w:val="bottom"/>
            <w:tcBorders>
              <w:bottom w:val="single" w:sz="8" w:color="auto"/>
            </w:tcBorders>
          </w:tcPr>
          <w:p>
            <w:pPr>
              <w:jc w:val="center"/>
              <w:ind w:left="6033"/>
              <w:spacing w:after="0"/>
              <w:rPr>
                <w:sz w:val="20"/>
                <w:szCs w:val="20"/>
                <w:color w:val="auto"/>
              </w:rPr>
            </w:pPr>
            <w:r>
              <w:rPr>
                <w:rFonts w:ascii="Arial" w:cs="Arial" w:eastAsia="Arial" w:hAnsi="Arial"/>
                <w:sz w:val="14"/>
                <w:szCs w:val="14"/>
                <w:b w:val="1"/>
                <w:bCs w:val="1"/>
                <w:color w:val="auto"/>
                <w:w w:val="96"/>
              </w:rPr>
              <w:t>Formation</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LLC</w:t>
            </w:r>
          </w:p>
        </w:tc>
        <w:tc>
          <w:tcPr>
            <w:tcW w:w="7580" w:type="dxa"/>
            <w:vAlign w:val="bottom"/>
            <w:tcBorders>
              <w:bottom w:val="single" w:sz="8" w:color="CCEEFF"/>
            </w:tcBorders>
            <w:shd w:val="clear" w:color="auto" w:fill="CCEEFF"/>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Tree BU Holding Company, Inc.</w:t>
            </w:r>
          </w:p>
        </w:tc>
        <w:tc>
          <w:tcPr>
            <w:tcW w:w="7580" w:type="dxa"/>
            <w:vAlign w:val="bottom"/>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DegreeTree, Inc. f/k/a Tree Insurance Agency, Inc.</w:t>
            </w:r>
          </w:p>
        </w:tc>
        <w:tc>
          <w:tcPr>
            <w:tcW w:w="7580" w:type="dxa"/>
            <w:vAlign w:val="bottom"/>
            <w:tcBorders>
              <w:bottom w:val="single" w:sz="8" w:color="CCEEFF"/>
            </w:tcBorders>
            <w:shd w:val="clear" w:color="auto" w:fill="CCEEFF"/>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Tree Home Services, Inc.</w:t>
            </w:r>
          </w:p>
        </w:tc>
        <w:tc>
          <w:tcPr>
            <w:tcW w:w="7580" w:type="dxa"/>
            <w:vAlign w:val="bottom"/>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Loan Center, Inc.</w:t>
            </w:r>
          </w:p>
        </w:tc>
        <w:tc>
          <w:tcPr>
            <w:tcW w:w="7580" w:type="dxa"/>
            <w:vAlign w:val="bottom"/>
            <w:tcBorders>
              <w:bottom w:val="single" w:sz="8" w:color="CCEEFF"/>
            </w:tcBorders>
            <w:shd w:val="clear" w:color="auto" w:fill="CCEEFF"/>
          </w:tcPr>
          <w:p>
            <w:pPr>
              <w:jc w:val="center"/>
              <w:ind w:left="6013"/>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HLC Escrow, Inc.</w:t>
            </w:r>
          </w:p>
        </w:tc>
        <w:tc>
          <w:tcPr>
            <w:tcW w:w="7580" w:type="dxa"/>
            <w:vAlign w:val="bottom"/>
          </w:tcPr>
          <w:p>
            <w:pPr>
              <w:jc w:val="center"/>
              <w:ind w:left="6013"/>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Realestate.com, Inc.</w:t>
            </w:r>
          </w:p>
        </w:tc>
        <w:tc>
          <w:tcPr>
            <w:tcW w:w="7580" w:type="dxa"/>
            <w:vAlign w:val="bottom"/>
            <w:tcBorders>
              <w:bottom w:val="single" w:sz="8" w:color="CCEEFF"/>
            </w:tcBorders>
            <w:shd w:val="clear" w:color="auto" w:fill="CCEEFF"/>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LT Real Estate, Inc.</w:t>
            </w:r>
          </w:p>
        </w:tc>
        <w:tc>
          <w:tcPr>
            <w:tcW w:w="7580" w:type="dxa"/>
            <w:vAlign w:val="bottom"/>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Robin Acquisition Corp.</w:t>
            </w:r>
          </w:p>
        </w:tc>
        <w:tc>
          <w:tcPr>
            <w:tcW w:w="7580" w:type="dxa"/>
            <w:vAlign w:val="bottom"/>
            <w:shd w:val="clear" w:color="auto" w:fill="CCEEFF"/>
          </w:tcPr>
          <w:p>
            <w:pPr>
              <w:jc w:val="center"/>
              <w:ind w:left="601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333-182670 and 333-197952) and on Form S-3 (No. 333-152700) of LendingTree, Inc. (formerly known as Tree.com, Inc.) of our report dated March 16, 2015 relating to the financial statements and the effectiveness of internal control over financial reporting, which appears in the Annual Report on Form 10-K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ectPr>
          <w:pgSz w:w="11900" w:h="16838" w:orient="portrait"/>
          <w:cols w:equalWidth="0" w:num="1">
            <w:col w:w="11420"/>
          </w:cols>
          <w:pgMar w:left="240" w:top="256" w:right="239" w:bottom="1440" w:gutter="0" w:footer="0" w:header="0"/>
        </w:sectPr>
      </w:pPr>
    </w:p>
    <w:bookmarkStart w:id="90" w:name="page91"/>
    <w:bookmarkEnd w:id="90"/>
    <w:p>
      <w:pPr>
        <w:ind w:left="1048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2014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2015</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7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2014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2015</w:t>
      </w:r>
    </w:p>
    <w:p>
      <w:pPr>
        <w:spacing w:after="0" w:line="302"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Alexander Mandel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25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2014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520" w:val="left"/>
        </w:tabs>
        <w:rPr>
          <w:sz w:val="20"/>
          <w:szCs w:val="20"/>
          <w:color w:val="auto"/>
        </w:rPr>
      </w:pPr>
      <w:r>
        <w:rPr>
          <w:rFonts w:ascii="Arial" w:cs="Arial" w:eastAsia="Arial" w:hAnsi="Arial"/>
          <w:sz w:val="18"/>
          <w:szCs w:val="18"/>
          <w:color w:val="auto"/>
        </w:rPr>
        <w:t>Dated:</w:t>
        <w:tab/>
        <w:t>March 16, 2015</w:t>
      </w:r>
      <w:r>
        <w:rPr>
          <w:sz w:val="20"/>
          <w:szCs w:val="20"/>
          <w:color w:val="auto"/>
        </w:rPr>
        <w:tab/>
      </w:r>
      <w:r>
        <w:rPr>
          <w:rFonts w:ascii="Arial" w:cs="Arial" w:eastAsia="Arial" w:hAnsi="Arial"/>
          <w:sz w:val="17"/>
          <w:szCs w:val="17"/>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2014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420" w:val="left"/>
        </w:tabs>
        <w:rPr>
          <w:sz w:val="20"/>
          <w:szCs w:val="20"/>
          <w:color w:val="auto"/>
        </w:rPr>
      </w:pPr>
      <w:r>
        <w:rPr>
          <w:rFonts w:ascii="Arial" w:cs="Arial" w:eastAsia="Arial" w:hAnsi="Arial"/>
          <w:sz w:val="18"/>
          <w:szCs w:val="18"/>
          <w:color w:val="auto"/>
        </w:rPr>
        <w:t>Dated:</w:t>
        <w:tab/>
        <w:t>March 16, 2015</w:t>
      </w:r>
      <w:r>
        <w:rPr>
          <w:sz w:val="20"/>
          <w:szCs w:val="20"/>
          <w:color w:val="auto"/>
        </w:rPr>
        <w:tab/>
      </w:r>
      <w:r>
        <w:rPr>
          <w:rFonts w:ascii="Arial" w:cs="Arial" w:eastAsia="Arial" w:hAnsi="Arial"/>
          <w:sz w:val="17"/>
          <w:szCs w:val="17"/>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Alexander Mandel</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lvl w:ilvl="1">
      <w:lvlJc w:val="left"/>
      <w:lvlText w:val="(%2)"/>
      <w:numFmt w:val="lowerLetter"/>
      <w:start w:val="1"/>
    </w:lvl>
  </w:abstractNum>
  <w:abstractNum w:abstractNumId="25">
    <w:nsid w:val="614FD4A1"/>
    <w:multiLevelType w:val="hybridMultilevel"/>
    <w:lvl w:ilvl="0">
      <w:lvlJc w:val="left"/>
      <w:lvlText w:val="%1"/>
      <w:numFmt w:val="decimal"/>
      <w:start w:val="1"/>
    </w:lvl>
    <w:lvl w:ilvl="1">
      <w:lvlJc w:val="left"/>
      <w:lvlText w:val="(%2)"/>
      <w:numFmt w:val="lowerLetter"/>
      <w:start w:val="3"/>
    </w:lvl>
  </w:abstractNum>
  <w:abstractNum w:abstractNumId="26">
    <w:nsid w:val="419AC241"/>
    <w:multiLevelType w:val="hybridMultilevel"/>
    <w:lvl w:ilvl="0">
      <w:lvlJc w:val="left"/>
      <w:lvlText w:val="%1."/>
      <w:numFmt w:val="decimal"/>
      <w:start w:val="4"/>
    </w:lvl>
    <w:lvl w:ilvl="1">
      <w:lvlJc w:val="left"/>
      <w:lvlText w:val="(%2)"/>
      <w:numFmt w:val="lowerLetter"/>
      <w:start w:val="1"/>
    </w:lvl>
  </w:abstractNum>
  <w:abstractNum w:abstractNumId="27">
    <w:nsid w:val="5577F8E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8">
    <w:nsid w:val="440BADF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9">
    <w:nsid w:val="5072367"/>
    <w:multiLevelType w:val="hybridMultilevel"/>
    <w:lvl w:ilvl="0">
      <w:lvlJc w:val="left"/>
      <w:lvlText w:val="%1."/>
      <w:numFmt w:val="decimal"/>
      <w:start w:val="6"/>
    </w:lvl>
    <w:lvl w:ilvl="1">
      <w:lvlJc w:val="left"/>
      <w:lvlText w:val="(%2)"/>
      <w:numFmt w:val="lowerLetter"/>
      <w:start w:val="1"/>
    </w:lvl>
  </w:abstractNum>
  <w:abstractNum w:abstractNumId="30">
    <w:nsid w:val="3804823E"/>
    <w:multiLevelType w:val="hybridMultilevel"/>
    <w:lvl w:ilvl="0">
      <w:lvlJc w:val="left"/>
      <w:lvlText w:val="%1"/>
      <w:numFmt w:val="decimal"/>
      <w:start w:val="1"/>
    </w:lvl>
    <w:lvl w:ilvl="1">
      <w:lvlJc w:val="left"/>
      <w:lvlText w:val="(%2)"/>
      <w:numFmt w:val="lowerLetter"/>
      <w:start w:val="2"/>
    </w:lvl>
  </w:abstractNum>
  <w:abstractNum w:abstractNumId="31">
    <w:nsid w:val="77465F01"/>
    <w:multiLevelType w:val="hybridMultilevel"/>
    <w:lvl w:ilvl="0">
      <w:lvlJc w:val="left"/>
      <w:lvlText w:val="%1."/>
      <w:numFmt w:val="decimal"/>
      <w:start w:val="10"/>
    </w:lvl>
    <w:lvl w:ilvl="1">
      <w:lvlJc w:val="left"/>
      <w:lvlText w:val="%2"/>
      <w:numFmt w:val="lowerLetter"/>
      <w:start w:val="1"/>
    </w:lvl>
  </w:abstractNum>
  <w:abstractNum w:abstractNumId="32">
    <w:nsid w:val="7724C67E"/>
    <w:multiLevelType w:val="hybridMultilevel"/>
    <w:lvl w:ilvl="0">
      <w:lvlJc w:val="left"/>
      <w:lvlText w:val="%1."/>
      <w:numFmt w:val="decimal"/>
      <w:start w:val="13"/>
    </w:lvl>
  </w:abstractNum>
  <w:abstractNum w:abstractNumId="33">
    <w:nsid w:val="5C482A97"/>
    <w:multiLevelType w:val="hybridMultilevel"/>
    <w:lvl w:ilvl="0">
      <w:lvlJc w:val="left"/>
      <w:lvlText w:val="%1"/>
      <w:numFmt w:val="lowerRoman"/>
      <w:start w:val="1"/>
    </w:lvl>
    <w:lvl w:ilvl="1">
      <w:lvlJc w:val="left"/>
      <w:lvlText w:val="%2."/>
      <w:numFmt w:val="decimal"/>
      <w:start w:val="14"/>
    </w:lvl>
  </w:abstractNum>
  <w:abstractNum w:abstractNumId="34">
    <w:nsid w:val="2463B9EA"/>
    <w:multiLevelType w:val="hybridMultilevel"/>
    <w:lvl w:ilvl="0">
      <w:lvlJc w:val="left"/>
      <w:lvlText w:val="(%1)"/>
      <w:numFmt w:val="lowerRoman"/>
      <w:start w:val="1"/>
    </w:lvl>
    <w:lvl w:ilvl="1">
      <w:lvlJc w:val="left"/>
      <w:lvlText w:val="%2"/>
      <w:numFmt w:val="decimal"/>
      <w:start w:val="1"/>
    </w:lvl>
  </w:abstractNum>
  <w:abstractNum w:abstractNumId="35">
    <w:nsid w:val="5E884ADC"/>
    <w:multiLevelType w:val="hybridMultilevel"/>
    <w:lvl w:ilvl="0">
      <w:lvlJc w:val="left"/>
      <w:lvlText w:val="%1."/>
      <w:numFmt w:val="decimal"/>
      <w:start w:val="15"/>
    </w:lvl>
  </w:abstractNum>
  <w:abstractNum w:abstractNumId="36">
    <w:nsid w:val="51EAD36B"/>
    <w:multiLevelType w:val="hybridMultilevel"/>
    <w:lvl w:ilvl="0">
      <w:lvlJc w:val="left"/>
      <w:lvlText w:val="%1."/>
      <w:numFmt w:val="decimal"/>
      <w:start w:val="17"/>
    </w:lvl>
  </w:abstractNum>
  <w:abstractNum w:abstractNumId="37">
    <w:nsid w:val="2D517796"/>
    <w:multiLevelType w:val="hybridMultilevel"/>
    <w:lvl w:ilvl="0">
      <w:lvlJc w:val="left"/>
      <w:lvlText w:val="%1."/>
      <w:numFmt w:val="decimal"/>
      <w:start w:val="23"/>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2019-12-29T17:14:06Z</dcterms:created>
  <dcterms:modified xsi:type="dcterms:W3CDTF">2019-12-29T17:14:06Z</dcterms:modified>
</cp:coreProperties>
</file>