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80645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5"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2023</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28"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43815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Arial" w:cs="Arial" w:eastAsia="Arial" w:hAnsi="Arial"/>
                <w:sz w:val="16"/>
                <w:szCs w:val="16"/>
                <w:b w:val="1"/>
                <w:bCs w:val="1"/>
                <w:color w:val="auto"/>
                <w:w w:val="91"/>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Arial" w:cs="Arial" w:eastAsia="Arial" w:hAnsi="Arial"/>
                <w:sz w:val="16"/>
                <w:szCs w:val="16"/>
                <w:b w:val="1"/>
                <w:bCs w:val="1"/>
                <w:color w:val="auto"/>
              </w:rPr>
              <w:t>26-2414818</w:t>
            </w:r>
          </w:p>
        </w:tc>
      </w:tr>
      <w:tr>
        <w:trPr>
          <w:trHeight w:val="229"/>
        </w:trPr>
        <w:tc>
          <w:tcPr>
            <w:tcW w:w="7440" w:type="dxa"/>
            <w:vAlign w:val="bottom"/>
            <w:gridSpan w:val="7"/>
          </w:tcPr>
          <w:p>
            <w:pPr>
              <w:jc w:val="center"/>
              <w:ind w:right="18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407"/>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1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90"/>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7"/>
                <w:szCs w:val="17"/>
                <w:color w:val="auto"/>
                <w:w w:val="90"/>
              </w:rPr>
              <w:t>(Registrant's telephone number, including area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33"/>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34"/>
        </w:trPr>
        <w:tc>
          <w:tcPr>
            <w:tcW w:w="7440" w:type="dxa"/>
            <w:vAlign w:val="bottom"/>
            <w:gridSpan w:val="7"/>
          </w:tcPr>
          <w:p>
            <w:pPr>
              <w:jc w:val="center"/>
              <w:ind w:right="350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1"/>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Arial" w:cs="Arial" w:eastAsia="Arial" w:hAnsi="Arial"/>
                <w:sz w:val="17"/>
                <w:szCs w:val="17"/>
                <w:color w:val="auto"/>
                <w:w w:val="91"/>
              </w:rPr>
              <w:t>Title of each class</w:t>
            </w:r>
          </w:p>
        </w:tc>
        <w:tc>
          <w:tcPr>
            <w:tcW w:w="3820" w:type="dxa"/>
            <w:vAlign w:val="bottom"/>
            <w:gridSpan w:val="3"/>
          </w:tcPr>
          <w:p>
            <w:pPr>
              <w:jc w:val="center"/>
              <w:ind w:right="220"/>
              <w:spacing w:after="0"/>
              <w:rPr>
                <w:sz w:val="20"/>
                <w:szCs w:val="20"/>
                <w:color w:val="auto"/>
              </w:rPr>
            </w:pPr>
            <w:r>
              <w:rPr>
                <w:rFonts w:ascii="Arial" w:cs="Arial" w:eastAsia="Arial" w:hAnsi="Arial"/>
                <w:sz w:val="17"/>
                <w:szCs w:val="17"/>
                <w:color w:val="auto"/>
                <w:w w:val="92"/>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46"/>
        </w:trPr>
        <w:tc>
          <w:tcPr>
            <w:tcW w:w="3620" w:type="dxa"/>
            <w:vAlign w:val="bottom"/>
            <w:gridSpan w:val="4"/>
          </w:tcPr>
          <w:p>
            <w:pPr>
              <w:jc w:val="center"/>
              <w:ind w:left="216"/>
              <w:spacing w:after="0"/>
              <w:rPr>
                <w:sz w:val="20"/>
                <w:szCs w:val="20"/>
                <w:color w:val="auto"/>
              </w:rPr>
            </w:pPr>
            <w:r>
              <w:rPr>
                <w:rFonts w:ascii="Arial" w:cs="Arial" w:eastAsia="Arial" w:hAnsi="Arial"/>
                <w:sz w:val="17"/>
                <w:szCs w:val="17"/>
                <w:color w:val="auto"/>
                <w:w w:val="90"/>
              </w:rPr>
              <w:t>Common Stock, $0.01 par value per share</w:t>
            </w:r>
          </w:p>
        </w:tc>
        <w:tc>
          <w:tcPr>
            <w:tcW w:w="1160" w:type="dxa"/>
            <w:vAlign w:val="bottom"/>
          </w:tcPr>
          <w:p>
            <w:pPr>
              <w:spacing w:after="0"/>
              <w:rPr>
                <w:sz w:val="21"/>
                <w:szCs w:val="21"/>
                <w:color w:val="auto"/>
              </w:rPr>
            </w:pPr>
          </w:p>
        </w:tc>
        <w:tc>
          <w:tcPr>
            <w:tcW w:w="2660" w:type="dxa"/>
            <w:vAlign w:val="bottom"/>
            <w:gridSpan w:val="2"/>
          </w:tcPr>
          <w:p>
            <w:pPr>
              <w:jc w:val="center"/>
              <w:ind w:right="1380"/>
              <w:spacing w:after="0"/>
              <w:rPr>
                <w:sz w:val="20"/>
                <w:szCs w:val="20"/>
                <w:color w:val="auto"/>
              </w:rPr>
            </w:pPr>
            <w:r>
              <w:rPr>
                <w:rFonts w:ascii="Arial" w:cs="Arial" w:eastAsia="Arial" w:hAnsi="Arial"/>
                <w:sz w:val="17"/>
                <w:szCs w:val="17"/>
                <w:color w:val="auto"/>
                <w:w w:val="96"/>
              </w:rPr>
              <w:t>TREE</w:t>
            </w:r>
          </w:p>
        </w:tc>
        <w:tc>
          <w:tcPr>
            <w:tcW w:w="120" w:type="dxa"/>
            <w:vAlign w:val="bottom"/>
          </w:tcPr>
          <w:p>
            <w:pPr>
              <w:spacing w:after="0"/>
              <w:rPr>
                <w:sz w:val="21"/>
                <w:szCs w:val="21"/>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75"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162"/>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20" w:type="dxa"/>
        <w:tblCellMar>
          <w:top w:w="0" w:type="dxa"/>
          <w:left w:w="0" w:type="dxa"/>
          <w:bottom w:w="0" w:type="dxa"/>
          <w:right w:w="0" w:type="dxa"/>
        </w:tblCellMar>
      </w:tblPr>
      <w:tr>
        <w:trPr>
          <w:trHeight w:val="243"/>
        </w:trPr>
        <w:tc>
          <w:tcPr>
            <w:tcW w:w="2040" w:type="dxa"/>
            <w:vAlign w:val="bottom"/>
          </w:tcPr>
          <w:p>
            <w:pPr>
              <w:jc w:val="center"/>
              <w:ind w:right="415"/>
              <w:spacing w:after="0"/>
              <w:rPr>
                <w:sz w:val="20"/>
                <w:szCs w:val="20"/>
                <w:color w:val="auto"/>
              </w:rPr>
            </w:pPr>
            <w:r>
              <w:rPr>
                <w:rFonts w:ascii="Arial" w:cs="Arial" w:eastAsia="Arial" w:hAnsi="Arial"/>
                <w:sz w:val="17"/>
                <w:szCs w:val="17"/>
                <w:color w:val="auto"/>
                <w:w w:val="91"/>
              </w:rPr>
              <w:t>Large 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Arial" w:cs="Arial" w:eastAsia="Arial" w:hAnsi="Arial"/>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40" w:type="dxa"/>
            <w:vAlign w:val="bottom"/>
          </w:tcPr>
          <w:p>
            <w:pPr>
              <w:jc w:val="center"/>
              <w:ind w:right="415"/>
              <w:spacing w:after="0"/>
              <w:rPr>
                <w:sz w:val="20"/>
                <w:szCs w:val="20"/>
                <w:color w:val="auto"/>
              </w:rPr>
            </w:pPr>
            <w:r>
              <w:rPr>
                <w:rFonts w:ascii="Arial" w:cs="Arial" w:eastAsia="Arial" w:hAnsi="Arial"/>
                <w:sz w:val="17"/>
                <w:szCs w:val="17"/>
                <w:color w:val="auto"/>
                <w:w w:val="93"/>
              </w:rPr>
              <w:t>Non-accelerated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Arial" w:cs="Arial" w:eastAsia="Arial" w:hAnsi="Arial"/>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100" w:type="dxa"/>
            <w:vAlign w:val="bottom"/>
          </w:tcPr>
          <w:p>
            <w:pPr>
              <w:ind w:left="660"/>
              <w:spacing w:after="0"/>
              <w:rPr>
                <w:sz w:val="20"/>
                <w:szCs w:val="20"/>
                <w:color w:val="auto"/>
              </w:rPr>
            </w:pPr>
            <w:r>
              <w:rPr>
                <w:rFonts w:ascii="Arial" w:cs="Arial" w:eastAsia="Arial" w:hAnsi="Arial"/>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2"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26, 2023, there were 12,910,742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5"/>
        </w:trPr>
        <w:tc>
          <w:tcPr>
            <w:tcW w:w="680" w:type="dxa"/>
            <w:vAlign w:val="bottom"/>
            <w:gridSpan w:val="2"/>
            <w:vMerge w:val="restart"/>
          </w:tcPr>
          <w:p>
            <w:pPr>
              <w:spacing w:after="0"/>
              <w:rPr>
                <w:sz w:val="20"/>
                <w:szCs w:val="20"/>
                <w:color w:val="auto"/>
              </w:rPr>
            </w:pPr>
            <w:r>
              <w:rPr>
                <w:rFonts w:ascii="Arial" w:cs="Arial" w:eastAsia="Arial" w:hAnsi="Arial"/>
                <w:sz w:val="18"/>
                <w:szCs w:val="18"/>
                <w:b w:val="1"/>
                <w:bCs w:val="1"/>
                <w:color w:val="0000FF"/>
              </w:rPr>
              <w:t>Item 1.</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40" w:type="dxa"/>
            <w:vAlign w:val="bottom"/>
            <w:gridSpan w:val="6"/>
          </w:tcPr>
          <w:p>
            <w:pPr>
              <w:jc w:val="center"/>
              <w:ind w:right="3000"/>
              <w:spacing w:after="0" w:line="176" w:lineRule="exact"/>
              <w:rPr>
                <w:sz w:val="20"/>
                <w:szCs w:val="20"/>
                <w:color w:val="auto"/>
              </w:rPr>
            </w:pPr>
            <w:r>
              <w:rPr>
                <w:rFonts w:ascii="Arial" w:cs="Arial" w:eastAsia="Arial" w:hAnsi="Arial"/>
                <w:sz w:val="18"/>
                <w:szCs w:val="18"/>
                <w:b w:val="1"/>
                <w:bCs w:val="1"/>
                <w:color w:val="0000FF"/>
              </w:rPr>
              <w:t>PART I—FINANCIAL INFORMATION</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3340" w:type="dxa"/>
            <w:vAlign w:val="bottom"/>
            <w:gridSpan w:val="7"/>
          </w:tcPr>
          <w:p>
            <w:pPr>
              <w:ind w:left="720"/>
              <w:spacing w:after="0"/>
              <w:rPr>
                <w:sz w:val="20"/>
                <w:szCs w:val="20"/>
                <w:color w:val="auto"/>
              </w:rPr>
            </w:pPr>
            <w:r>
              <w:rPr>
                <w:rFonts w:ascii="Arial" w:cs="Arial" w:eastAsia="Arial" w:hAnsi="Arial"/>
                <w:sz w:val="18"/>
                <w:szCs w:val="18"/>
                <w:b w:val="1"/>
                <w:bCs w:val="1"/>
                <w:i w:val="1"/>
                <w:iCs w:val="1"/>
                <w:color w:val="0000FF"/>
              </w:rPr>
              <w:t>Financial Statements</w:t>
            </w:r>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2.</w:t>
            </w:r>
          </w:p>
        </w:tc>
        <w:tc>
          <w:tcPr>
            <w:tcW w:w="9480" w:type="dxa"/>
            <w:vAlign w:val="bottom"/>
            <w:gridSpan w:val="13"/>
          </w:tcPr>
          <w:p>
            <w:pPr>
              <w:ind w:left="720"/>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3.</w:t>
            </w:r>
          </w:p>
        </w:tc>
        <w:tc>
          <w:tcPr>
            <w:tcW w:w="9480" w:type="dxa"/>
            <w:vAlign w:val="bottom"/>
            <w:gridSpan w:val="13"/>
          </w:tcPr>
          <w:p>
            <w:pPr>
              <w:ind w:left="720"/>
              <w:spacing w:after="0"/>
              <w:rPr>
                <w:sz w:val="20"/>
                <w:szCs w:val="20"/>
                <w:color w:val="auto"/>
              </w:rPr>
            </w:pPr>
            <w:r>
              <w:rPr>
                <w:rFonts w:ascii="Arial" w:cs="Arial" w:eastAsia="Arial" w:hAnsi="Arial"/>
                <w:sz w:val="18"/>
                <w:szCs w:val="18"/>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920" w:type="dxa"/>
            <w:vAlign w:val="bottom"/>
            <w:tcBorders>
              <w:bottom w:val="single" w:sz="8" w:color="0000FF"/>
            </w:tcBorders>
            <w:gridSpan w:val="2"/>
            <w:shd w:val="clear" w:color="auto" w:fill="0000FF"/>
          </w:tcPr>
          <w:p>
            <w:pPr>
              <w:spacing w:after="0" w:line="20" w:lineRule="exact"/>
              <w:rPr>
                <w:sz w:val="1"/>
                <w:szCs w:val="1"/>
                <w:color w:val="auto"/>
              </w:rPr>
            </w:pPr>
          </w:p>
        </w:tc>
        <w:tc>
          <w:tcPr>
            <w:tcW w:w="1700" w:type="dxa"/>
            <w:vAlign w:val="bottom"/>
            <w:tcBorders>
              <w:bottom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sz w:val="20"/>
                <w:szCs w:val="20"/>
                <w:color w:val="auto"/>
              </w:rPr>
            </w:pPr>
            <w:r>
              <w:rPr>
                <w:rFonts w:ascii="Arial" w:cs="Arial" w:eastAsia="Arial" w:hAnsi="Arial"/>
                <w:sz w:val="18"/>
                <w:szCs w:val="18"/>
                <w:b w:val="1"/>
                <w:bCs w:val="1"/>
                <w:color w:val="0000FF"/>
              </w:rPr>
              <w:t>Item 4.</w:t>
            </w:r>
          </w:p>
        </w:tc>
        <w:tc>
          <w:tcPr>
            <w:tcW w:w="9480" w:type="dxa"/>
            <w:vAlign w:val="bottom"/>
            <w:gridSpan w:val="13"/>
          </w:tcPr>
          <w:p>
            <w:pPr>
              <w:ind w:left="720"/>
              <w:spacing w:after="0" w:line="189" w:lineRule="exact"/>
              <w:rPr>
                <w:sz w:val="20"/>
                <w:szCs w:val="20"/>
                <w:color w:val="auto"/>
              </w:rPr>
            </w:pPr>
            <w:r>
              <w:rPr>
                <w:rFonts w:ascii="Arial" w:cs="Arial" w:eastAsia="Arial" w:hAnsi="Arial"/>
                <w:sz w:val="18"/>
                <w:szCs w:val="18"/>
                <w:b w:val="1"/>
                <w:bCs w:val="1"/>
                <w:i w:val="1"/>
                <w:iCs w:val="1"/>
                <w:color w:val="0000FF"/>
              </w:rPr>
              <w:t>Controls and Procedures</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sz w:val="20"/>
                <w:szCs w:val="20"/>
                <w:color w:val="auto"/>
              </w:rPr>
            </w:pPr>
            <w:r>
              <w:rPr>
                <w:rFonts w:ascii="Arial" w:cs="Arial" w:eastAsia="Arial" w:hAnsi="Arial"/>
                <w:sz w:val="18"/>
                <w:szCs w:val="18"/>
                <w:b w:val="1"/>
                <w:bCs w:val="1"/>
                <w:color w:val="0000FF"/>
              </w:rPr>
              <w:t>PART II—OTHER INFORMATION</w:t>
            </w:r>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1.</w:t>
            </w:r>
          </w:p>
        </w:tc>
        <w:tc>
          <w:tcPr>
            <w:tcW w:w="9480" w:type="dxa"/>
            <w:vAlign w:val="bottom"/>
            <w:gridSpan w:val="13"/>
          </w:tcPr>
          <w:p>
            <w:pPr>
              <w:ind w:left="720"/>
              <w:spacing w:after="0"/>
              <w:rPr>
                <w:sz w:val="20"/>
                <w:szCs w:val="20"/>
                <w:color w:val="auto"/>
              </w:rPr>
            </w:pPr>
            <w:r>
              <w:rPr>
                <w:rFonts w:ascii="Arial" w:cs="Arial" w:eastAsia="Arial" w:hAnsi="Arial"/>
                <w:sz w:val="18"/>
                <w:szCs w:val="18"/>
                <w:b w:val="1"/>
                <w:bCs w:val="1"/>
                <w:i w:val="1"/>
                <w:iCs w:val="1"/>
                <w:color w:val="0000FF"/>
              </w:rPr>
              <w:t>Legal Proceedings</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w w:val="94"/>
              </w:rPr>
              <w:t>Item 1A.</w:t>
            </w:r>
          </w:p>
        </w:tc>
        <w:tc>
          <w:tcPr>
            <w:tcW w:w="9480" w:type="dxa"/>
            <w:vAlign w:val="bottom"/>
            <w:gridSpan w:val="13"/>
          </w:tcPr>
          <w:p>
            <w:pPr>
              <w:ind w:left="720"/>
              <w:spacing w:after="0"/>
              <w:rPr>
                <w:sz w:val="20"/>
                <w:szCs w:val="20"/>
                <w:color w:val="auto"/>
              </w:rPr>
            </w:pPr>
            <w:r>
              <w:rPr>
                <w:rFonts w:ascii="Arial" w:cs="Arial" w:eastAsia="Arial" w:hAnsi="Arial"/>
                <w:sz w:val="18"/>
                <w:szCs w:val="18"/>
                <w:b w:val="1"/>
                <w:bCs w:val="1"/>
                <w:i w:val="1"/>
                <w:iCs w:val="1"/>
                <w:color w:val="0000FF"/>
              </w:rPr>
              <w:t>Risk Factors</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2.</w:t>
            </w:r>
          </w:p>
        </w:tc>
        <w:tc>
          <w:tcPr>
            <w:tcW w:w="9480" w:type="dxa"/>
            <w:vAlign w:val="bottom"/>
            <w:gridSpan w:val="13"/>
          </w:tcPr>
          <w:p>
            <w:pPr>
              <w:ind w:left="720"/>
              <w:spacing w:after="0"/>
              <w:rPr>
                <w:sz w:val="20"/>
                <w:szCs w:val="20"/>
                <w:color w:val="auto"/>
              </w:rPr>
            </w:pPr>
            <w:r>
              <w:rPr>
                <w:rFonts w:ascii="Arial" w:cs="Arial" w:eastAsia="Arial" w:hAnsi="Arial"/>
                <w:sz w:val="18"/>
                <w:szCs w:val="18"/>
                <w:b w:val="1"/>
                <w:bCs w:val="1"/>
                <w:i w:val="1"/>
                <w:iCs w:val="1"/>
                <w:color w:val="0000FF"/>
              </w:rPr>
              <w:t>Unregistered Sales of Equity Securities and Use of Proceeds</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gridSpan w:val="2"/>
            <w:shd w:val="clear" w:color="auto" w:fill="0000FF"/>
          </w:tcPr>
          <w:p>
            <w:pPr>
              <w:spacing w:after="0" w:line="20" w:lineRule="exact"/>
              <w:rPr>
                <w:sz w:val="1"/>
                <w:szCs w:val="1"/>
                <w:color w:val="auto"/>
              </w:rPr>
            </w:pPr>
          </w:p>
        </w:tc>
        <w:tc>
          <w:tcPr>
            <w:tcW w:w="3080" w:type="dxa"/>
            <w:vAlign w:val="bottom"/>
            <w:tcBorders>
              <w:bottom w:val="single" w:sz="8" w:color="0000FF"/>
            </w:tcBorders>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sz w:val="20"/>
                <w:szCs w:val="20"/>
                <w:color w:val="auto"/>
              </w:rPr>
            </w:pPr>
            <w:r>
              <w:rPr>
                <w:rFonts w:ascii="Arial" w:cs="Arial" w:eastAsia="Arial" w:hAnsi="Arial"/>
                <w:sz w:val="18"/>
                <w:szCs w:val="18"/>
                <w:b w:val="1"/>
                <w:bCs w:val="1"/>
                <w:color w:val="0000FF"/>
              </w:rPr>
              <w:t>Item 5.</w:t>
            </w:r>
          </w:p>
        </w:tc>
        <w:tc>
          <w:tcPr>
            <w:tcW w:w="9480" w:type="dxa"/>
            <w:vAlign w:val="bottom"/>
            <w:gridSpan w:val="13"/>
          </w:tcPr>
          <w:p>
            <w:pPr>
              <w:ind w:left="720"/>
              <w:spacing w:after="0" w:line="189" w:lineRule="exact"/>
              <w:rPr>
                <w:sz w:val="20"/>
                <w:szCs w:val="20"/>
                <w:color w:val="auto"/>
              </w:rPr>
            </w:pPr>
            <w:r>
              <w:rPr>
                <w:rFonts w:ascii="Arial" w:cs="Arial" w:eastAsia="Arial" w:hAnsi="Arial"/>
                <w:sz w:val="18"/>
                <w:szCs w:val="18"/>
                <w:b w:val="1"/>
                <w:bCs w:val="1"/>
                <w:i w:val="1"/>
                <w:iCs w:val="1"/>
                <w:color w:val="0000FF"/>
              </w:rPr>
              <w:t>Other Information</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b w:val="1"/>
                <w:bCs w:val="1"/>
                <w:color w:val="0000FF"/>
              </w:rPr>
              <w:t>Item 6.</w:t>
            </w:r>
          </w:p>
        </w:tc>
        <w:tc>
          <w:tcPr>
            <w:tcW w:w="9480" w:type="dxa"/>
            <w:vAlign w:val="bottom"/>
            <w:gridSpan w:val="13"/>
          </w:tcPr>
          <w:p>
            <w:pPr>
              <w:ind w:left="720"/>
              <w:spacing w:after="0"/>
              <w:rPr>
                <w:sz w:val="20"/>
                <w:szCs w:val="20"/>
                <w:color w:val="auto"/>
              </w:rPr>
            </w:pPr>
            <w:r>
              <w:rPr>
                <w:rFonts w:ascii="Arial" w:cs="Arial" w:eastAsia="Arial" w:hAnsi="Arial"/>
                <w:sz w:val="18"/>
                <w:szCs w:val="18"/>
                <w:b w:val="1"/>
                <w:bCs w:val="1"/>
                <w:i w:val="1"/>
                <w:iCs w:val="1"/>
                <w:color w:val="0000FF"/>
              </w:rPr>
              <w:t>Exhibits</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82"/>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3"/>
          </w:tcPr>
          <w:p>
            <w:pPr>
              <w:jc w:val="right"/>
              <w:ind w:right="151"/>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r>
      <w:tr>
        <w:trPr>
          <w:trHeight w:val="20"/>
        </w:trPr>
        <w:tc>
          <w:tcPr>
            <w:tcW w:w="8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200,508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283,178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13,760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137,111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204,157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36,683</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14,655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14,052</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4,795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2,049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4,454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r>
      <w:tr>
        <w:trPr>
          <w:trHeight w:val="229"/>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213,519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286,116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(13,011)</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(2,938)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240" w:type="dxa"/>
            <w:vAlign w:val="bottom"/>
          </w:tcPr>
          <w:p>
            <w:pPr>
              <w:ind w:left="12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25,029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(7,505)</w:t>
            </w:r>
          </w:p>
        </w:tc>
      </w:tr>
      <w:tr>
        <w:trPr>
          <w:trHeight w:val="229"/>
        </w:trPr>
        <w:tc>
          <w:tcPr>
            <w:tcW w:w="8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1,834</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b w:val="1"/>
                <w:bCs w:val="1"/>
                <w:color w:val="auto"/>
              </w:rPr>
              <w:t>13,852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(10,444)</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(loss) and comprehensive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13,457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(10,826)</w:t>
            </w:r>
          </w:p>
        </w:tc>
      </w:tr>
      <w:tr>
        <w:trPr>
          <w:trHeight w:val="257"/>
        </w:trPr>
        <w:tc>
          <w:tcPr>
            <w:tcW w:w="8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12,846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12,935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29"/>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r>
      <w:tr>
        <w:trPr>
          <w:trHeight w:val="143"/>
        </w:trPr>
        <w:tc>
          <w:tcPr>
            <w:tcW w:w="8720" w:type="dxa"/>
            <w:vAlign w:val="bottom"/>
          </w:tcPr>
          <w:p>
            <w:pPr>
              <w:spacing w:after="0"/>
              <w:rPr>
                <w:sz w:val="12"/>
                <w:szCs w:val="12"/>
                <w:color w:val="auto"/>
              </w:rPr>
            </w:pPr>
          </w:p>
        </w:tc>
        <w:tc>
          <w:tcPr>
            <w:tcW w:w="2520" w:type="dxa"/>
            <w:vAlign w:val="bottom"/>
            <w:gridSpan w:val="4"/>
          </w:tcPr>
          <w:p>
            <w:pPr>
              <w:ind w:left="20"/>
              <w:spacing w:after="0" w:line="143"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r>
      <w:tr>
        <w:trPr>
          <w:trHeight w:val="188"/>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ind w:right="891"/>
              <w:spacing w:after="0"/>
              <w:rPr>
                <w:sz w:val="20"/>
                <w:szCs w:val="20"/>
                <w:color w:val="auto"/>
              </w:rPr>
            </w:pPr>
            <w:r>
              <w:rPr>
                <w:rFonts w:ascii="Arial" w:cs="Arial" w:eastAsia="Arial" w:hAnsi="Arial"/>
                <w:sz w:val="14"/>
                <w:szCs w:val="14"/>
                <w:b w:val="1"/>
                <w:bCs w:val="1"/>
                <w:i w:val="1"/>
                <w:iCs w:val="1"/>
                <w:color w:val="auto"/>
              </w:rPr>
              <w:t>amounts)</w:t>
            </w:r>
          </w:p>
        </w:tc>
      </w:tr>
      <w:tr>
        <w:trPr>
          <w:trHeight w:val="23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150,074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298,845</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$2,688 and $2,317, respectively)</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83,662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83,060</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r>
      <w:tr>
        <w:trPr>
          <w:trHeight w:val="22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Assets held for sale (Note 7)</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262,001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413,968</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$34,925 and $33,851, respectively)</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57,411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59,160</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65,578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67,050</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420,139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420,139</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56,266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58,315</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174,580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174,580</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6,319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1,042,294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1,199,313</w:t>
            </w:r>
          </w:p>
        </w:tc>
      </w:tr>
      <w:tr>
        <w:trPr>
          <w:trHeight w:val="243"/>
        </w:trPr>
        <w:tc>
          <w:tcPr>
            <w:tcW w:w="8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Accounts payable, trade</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4,473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84,829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75,095</w:t>
            </w: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 held for sale (Note 7)</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91,802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82,534</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625,356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813,516</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86,685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7,143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6,783</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811,315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991,373</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720" w:type="dxa"/>
            <w:vAlign w:val="bottom"/>
          </w:tcPr>
          <w:p>
            <w:pPr>
              <w:ind w:left="140"/>
              <w:spacing w:after="0" w:line="189" w:lineRule="exact"/>
              <w:rPr>
                <w:sz w:val="20"/>
                <w:szCs w:val="20"/>
                <w:color w:val="auto"/>
              </w:rPr>
            </w:pPr>
            <w:r>
              <w:rPr>
                <w:rFonts w:ascii="Arial" w:cs="Arial" w:eastAsia="Arial" w:hAnsi="Arial"/>
                <w:sz w:val="18"/>
                <w:szCs w:val="18"/>
                <w:color w:val="auto"/>
                <w:w w:val="90"/>
              </w:rPr>
              <w:t>Common stock $.01 par value; 50,000,000 shares authorized; 16,265,177 and 16,167,184 shares issued, respectively,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and 12,909,711 and 12,811,718 shares outstanding, respectively</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1,198,836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1,189,255</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(701,842)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(715,299)</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Treasury stock; 3,355,466 and 3,355,466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(266,178)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230,979</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207,940</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1,042,294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1,199,313</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207,940</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16,167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1,189,255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(715,299)</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13,457</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13,457</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11,274</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11,274</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200" w:type="dxa"/>
            <w:vAlign w:val="bottom"/>
          </w:tcPr>
          <w:p>
            <w:pPr>
              <w:ind w:left="140"/>
              <w:spacing w:after="0" w:line="162"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(1,693)</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98</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(1,694)</w:t>
            </w:r>
          </w:p>
        </w:tc>
        <w:tc>
          <w:tcPr>
            <w:tcW w:w="200" w:type="dxa"/>
            <w:vAlign w:val="bottom"/>
          </w:tcPr>
          <w:p>
            <w:pPr>
              <w:spacing w:after="0"/>
              <w:rPr>
                <w:sz w:val="12"/>
                <w:szCs w:val="12"/>
                <w:color w:val="auto"/>
              </w:rPr>
            </w:pP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2023</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230,979</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16,265</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1,198,836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(701,842)</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528"/>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5"/>
              <w:spacing w:after="0" w:line="14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5"/>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447,992</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16,071</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1,242,794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(571,794)</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2,976</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(223,169)</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loss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15,080</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15,080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Purchase of treasury stock</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(43,009)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379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(43,009)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(3,086)</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49</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(3,086)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5"/>
              </w:rPr>
              <w:t>Cumulative effect adjustment due to ASU 2020-</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06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(65,303)</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(109,750)</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44,447</w:t>
            </w: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340,848</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5"/>
                <w:szCs w:val="15"/>
                <w:b w:val="1"/>
                <w:bCs w:val="1"/>
                <w:color w:val="auto"/>
              </w:rPr>
              <w:t>16,120</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1,145,038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(538,173)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182"/>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7"/>
                <w:szCs w:val="17"/>
                <w:b w:val="1"/>
                <w:bCs w:val="1"/>
                <w:color w:val="auto"/>
              </w:rPr>
              <w:t>Net income (loss) and comprehensive income (loss)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auto"/>
              </w:rPr>
              <w:t>13,457</w:t>
            </w:r>
          </w:p>
        </w:tc>
        <w:tc>
          <w:tcPr>
            <w:tcW w:w="48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(10,826)</w:t>
            </w:r>
          </w:p>
        </w:tc>
      </w:tr>
      <w:tr>
        <w:trPr>
          <w:trHeight w:val="234"/>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Loss on impairments and disposal of assets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5,027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431</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2,049</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7,917</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4,795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4,854</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compensation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11,274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15,080</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360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326</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963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1,959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2,467</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Write-off of previously-capitalized debt issuance costs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2,373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discount</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879</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Reduction in carrying amount of ROU asset, offset by change in operating lease liabilities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Gain on settlement of convertible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(34,308)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current assets and liabilities: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(17,488)</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(3,666)</w:t>
            </w:r>
          </w:p>
        </w:tc>
      </w:tr>
      <w:tr>
        <w:trPr>
          <w:trHeight w:val="223"/>
        </w:trPr>
        <w:tc>
          <w:tcPr>
            <w:tcW w:w="8720" w:type="dxa"/>
            <w:vAlign w:val="bottom"/>
          </w:tcPr>
          <w:p>
            <w:pPr>
              <w:ind w:left="220"/>
              <w:spacing w:after="0"/>
              <w:rPr>
                <w:sz w:val="20"/>
                <w:szCs w:val="20"/>
                <w:color w:val="auto"/>
              </w:rPr>
            </w:pPr>
            <w:r>
              <w:rPr>
                <w:rFonts w:ascii="Arial" w:cs="Arial" w:eastAsia="Arial" w:hAnsi="Arial"/>
                <w:sz w:val="17"/>
                <w:szCs w:val="17"/>
                <w:color w:val="auto"/>
              </w:rPr>
              <w:t>Accounts payable, accrued expenses and other current liabilities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8,559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9,322</w:t>
            </w:r>
          </w:p>
        </w:tc>
      </w:tr>
      <w:tr>
        <w:trPr>
          <w:trHeight w:val="23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receivable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13,156</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9,999</w:t>
            </w:r>
          </w:p>
        </w:tc>
      </w:tr>
      <w:tr>
        <w:trPr>
          <w:trHeight w:val="216"/>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(2,452)</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w:t>
            </w:r>
          </w:p>
        </w:tc>
      </w:tr>
      <w:tr>
        <w:trPr>
          <w:trHeight w:val="223"/>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Equity investments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(18,465)</w:t>
            </w:r>
          </w:p>
        </w:tc>
      </w:tr>
      <w:tr>
        <w:trPr>
          <w:trHeight w:val="221"/>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term loan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720" w:type="dxa"/>
            <w:vAlign w:val="bottom"/>
          </w:tcPr>
          <w:p>
            <w:pPr>
              <w:ind w:left="140"/>
              <w:spacing w:after="0"/>
              <w:rPr>
                <w:sz w:val="20"/>
                <w:szCs w:val="20"/>
                <w:color w:val="auto"/>
              </w:rPr>
            </w:pPr>
            <w:r>
              <w:rPr>
                <w:rFonts w:ascii="Arial" w:cs="Arial" w:eastAsia="Arial" w:hAnsi="Arial"/>
                <w:sz w:val="17"/>
                <w:szCs w:val="17"/>
                <w:color w:val="auto"/>
                <w:w w:val="95"/>
              </w:rPr>
              <w:t>Payments related to net-share settlement of stock-based compensation, net of proceeds from exercise of stock options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(3,085)</w:t>
            </w:r>
          </w:p>
        </w:tc>
      </w:tr>
      <w:tr>
        <w:trPr>
          <w:trHeight w:val="23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treasury stock</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(43,009)</w:t>
            </w:r>
          </w:p>
        </w:tc>
      </w:tr>
      <w:tr>
        <w:trPr>
          <w:trHeight w:val="223"/>
        </w:trPr>
        <w:tc>
          <w:tcPr>
            <w:tcW w:w="8720" w:type="dxa"/>
            <w:vAlign w:val="bottom"/>
          </w:tcPr>
          <w:p>
            <w:pPr>
              <w:ind w:left="140"/>
              <w:spacing w:after="0"/>
              <w:rPr>
                <w:sz w:val="20"/>
                <w:szCs w:val="20"/>
                <w:color w:val="auto"/>
              </w:rPr>
            </w:pPr>
            <w:r>
              <w:rPr>
                <w:rFonts w:ascii="Arial" w:cs="Arial" w:eastAsia="Arial" w:hAnsi="Arial"/>
                <w:sz w:val="17"/>
                <w:szCs w:val="17"/>
                <w:color w:val="auto"/>
              </w:rPr>
              <w:t>Repurchase of 0.50% Convertible Senior Notes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(156,294)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(159,565)</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(46,098)</w:t>
            </w:r>
          </w:p>
        </w:tc>
      </w:tr>
      <w:tr>
        <w:trPr>
          <w:trHeight w:val="228"/>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cash equivalents, restricted cash and restricted cash equivalents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(148,861)</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(54,564)</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298,969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251,342</w:t>
            </w:r>
          </w:p>
        </w:tc>
      </w:tr>
      <w:tr>
        <w:trPr>
          <w:trHeight w:val="23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150,108</w:t>
            </w:r>
          </w:p>
        </w:tc>
        <w:tc>
          <w:tcPr>
            <w:tcW w:w="48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196,778</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Intercompany transactions and accounts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accompanying unaudited interim consolidated financial statements as of March 31, 2023 and for the three months ended March 31, 2023 and 2022,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2023 are not necessarily indicative of the results to be expected for the year ending December 31, 2023, or any other period. The accompanying consolidated balance sheet as of December 31, 2022 was derived from audited financial statements included in the Company's annual report on Form 10-K for the year ended December 31, 2022 (the “2022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2022 Annual Report. The Company reclassified certain amounts in the prior year consolidated statement of operations and comprehensive income and consolidated statement of cash flows to be consistent with the current year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3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fair value of assets acquired in a business combination; litigation accruals; contract assets; various other allowances, reserves and accruals; assumptions related to the determination of stock-based compensation; and the determination of right-of-use assets and lease liabilities.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considered the impact of the current economic conditions, including interest rates, inflation, and the COVID-19 pandemic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is obtained. If economic conditions worsen, such future changes may have an adverse impact on the Company's results of operations, financial position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2023,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August 2020, the FASB issued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adoption of ASU 2020-06 did not impact our cash flows or compliance with debt covenants.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considered the applicability of recently issued accounting pronouncements by the Financial Accounting Standards Board and have determined that they are either not applicable or are not expected to have a material impact on our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w:t>
      </w:r>
    </w:p>
    <w:p>
      <w:pPr>
        <w:jc w:val="center"/>
        <w:ind w:left="872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r>
      <w:tr>
        <w:trPr>
          <w:trHeight w:val="229"/>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43,675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101,944</w:t>
            </w:r>
          </w:p>
        </w:tc>
      </w:tr>
      <w:tr>
        <w:trPr>
          <w:trHeight w:val="229"/>
        </w:trPr>
        <w:tc>
          <w:tcPr>
            <w:tcW w:w="8720" w:type="dxa"/>
            <w:vAlign w:val="bottom"/>
          </w:tcPr>
          <w:p>
            <w:pPr>
              <w:ind w:left="120"/>
              <w:spacing w:after="0"/>
              <w:rPr>
                <w:sz w:val="20"/>
                <w:szCs w:val="20"/>
                <w:color w:val="auto"/>
              </w:rPr>
            </w:pPr>
            <w:r>
              <w:rPr>
                <w:rFonts w:ascii="Arial" w:cs="Arial" w:eastAsia="Arial" w:hAnsi="Arial"/>
                <w:sz w:val="18"/>
                <w:szCs w:val="18"/>
                <w:color w:val="auto"/>
              </w:rPr>
              <w:t>Credit cards</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18,288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29,822</w:t>
            </w:r>
          </w:p>
        </w:tc>
      </w:tr>
      <w:tr>
        <w:trPr>
          <w:trHeight w:val="230"/>
        </w:trPr>
        <w:tc>
          <w:tcPr>
            <w:tcW w:w="8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Personal loans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23,599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35,210</w:t>
            </w:r>
          </w:p>
        </w:tc>
      </w:tr>
      <w:tr>
        <w:trPr>
          <w:trHeight w:val="229"/>
        </w:trPr>
        <w:tc>
          <w:tcPr>
            <w:tcW w:w="8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Consumer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37,822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36,036</w:t>
            </w:r>
          </w:p>
        </w:tc>
      </w:tr>
      <w:tr>
        <w:trPr>
          <w:trHeight w:val="223"/>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Consumer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79,709</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101,068</w:t>
            </w:r>
          </w:p>
        </w:tc>
      </w:tr>
      <w:tr>
        <w:trPr>
          <w:trHeight w:val="229"/>
        </w:trPr>
        <w:tc>
          <w:tcPr>
            <w:tcW w:w="8720" w:type="dxa"/>
            <w:vAlign w:val="bottom"/>
          </w:tcPr>
          <w:p>
            <w:pPr>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77,082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80,038</w:t>
            </w:r>
          </w:p>
        </w:tc>
      </w:tr>
      <w:tr>
        <w:trPr>
          <w:trHeight w:val="230"/>
        </w:trPr>
        <w:tc>
          <w:tcPr>
            <w:tcW w:w="8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7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200,508</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283,178</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$13.4 million and $12.2 million at March 31, 2023 and December 31, 2022, respectively.</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sheets related to upfront fees paid by consumers was $1.0 million and $0.9 million at March 31, 2023 and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respectively. During the first three months of 2023, the Company recognized revenue of $0.8 million that was included in the contract liability balance at December 31, 2022. During the first three months of 2022, the Company recognized revenue of $0.7 million that was included in the contract liability balance at December 31, 2021.</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This increase was $0.2 million in the first quarter of 2023, and $0.2 million in the first quarter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298,845</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150,108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298,969</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Borders>
              <w:bottom w:val="single" w:sz="8" w:color="CCEEFF"/>
            </w:tcBorders>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4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2,317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1,456</w:t>
            </w: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963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4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Recoveries collected</w:t>
            </w:r>
          </w:p>
        </w:tc>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held for sale (Note 7)</w:t>
            </w:r>
          </w:p>
        </w:tc>
        <w:tc>
          <w:tcPr>
            <w:tcW w:w="4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45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2,688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w:t>
            </w:r>
          </w:p>
        </w:tc>
      </w:tr>
      <w:tr>
        <w:trPr>
          <w:trHeight w:val="905"/>
        </w:trPr>
        <w:tc>
          <w:tcPr>
            <w:tcW w:w="4480" w:type="dxa"/>
            <w:vAlign w:val="bottom"/>
          </w:tcPr>
          <w:p>
            <w:pPr>
              <w:spacing w:after="0"/>
              <w:rPr>
                <w:sz w:val="24"/>
                <w:szCs w:val="24"/>
                <w:color w:val="auto"/>
              </w:rPr>
            </w:pPr>
          </w:p>
        </w:tc>
        <w:tc>
          <w:tcPr>
            <w:tcW w:w="4240" w:type="dxa"/>
            <w:vAlign w:val="bottom"/>
          </w:tcPr>
          <w:p>
            <w:pPr>
              <w:jc w:val="right"/>
              <w:ind w:right="291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75"/>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903,227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r>
      <w:tr>
        <w:trPr>
          <w:trHeight w:val="22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420,139</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r>
      <w:tr>
        <w:trPr>
          <w:trHeight w:val="257"/>
        </w:trPr>
        <w:tc>
          <w:tcPr>
            <w:tcW w:w="8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10,142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46,124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48,173</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56,266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58,315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each of March 31, 2023 and December 31, 2022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June 30, 2022, the Company assessed the qualitative factors in its impairment testing of goodwill and determined that the effects of the challenging interest rate environment, consumer price inflation, and the decline in the Company's market capitalization required a quantitative impairment test be performed. The quantitative goodwill impairment test found that the fair value of each reporting unit exceeded its carrying amount, indicating no goodwill impairment. The Company will monitor the recovery of the Insurance reporting unit and the Mortgage reporting unit. The property and casualty auto industry is experiencing challenges caused by inflation, supply chain challenges, and rising severity and frequency of claims. Additionally, the significant increase in mortgage interest rates have had a negative impact on the Mortgage reporting unit. Changes in the timing of the recovery compared to current expectations could cause an impairment to the Insurance or Mortgage reporting unit.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27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77,300</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(32,303)</w:t>
            </w:r>
          </w:p>
        </w:tc>
        <w:tc>
          <w:tcPr>
            <w:tcW w:w="4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Trademarks and tradenames</w:t>
            </w:r>
          </w:p>
        </w:tc>
        <w:tc>
          <w:tcPr>
            <w:tcW w:w="2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3580" w:type="dxa"/>
            <w:vAlign w:val="bottom"/>
            <w:tcBorders>
              <w:bottom w:val="single" w:sz="8" w:color="auto"/>
            </w:tcBorders>
            <w:gridSpan w:val="2"/>
            <w:shd w:val="clear" w:color="auto" w:fill="CCEEFF"/>
          </w:tcPr>
          <w:p>
            <w:pPr>
              <w:jc w:val="right"/>
              <w:ind w:right="68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86,400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(40,276)</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lists</w:t>
            </w:r>
          </w:p>
        </w:tc>
        <w:tc>
          <w:tcPr>
            <w:tcW w:w="27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77,300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Trademarks and tradenames</w:t>
            </w:r>
          </w:p>
        </w:tc>
        <w:tc>
          <w:tcPr>
            <w:tcW w:w="2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10,100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3580" w:type="dxa"/>
            <w:vAlign w:val="bottom"/>
            <w:tcBorders>
              <w:bottom w:val="single" w:sz="8" w:color="auto"/>
            </w:tcBorders>
            <w:gridSpan w:val="2"/>
            <w:shd w:val="clear" w:color="auto" w:fill="CCEEFF"/>
          </w:tcPr>
          <w:p>
            <w:pPr>
              <w:jc w:val="right"/>
              <w:ind w:right="68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7"/>
              </w:rPr>
              <w:t>87,400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(39,227)</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3940" w:type="dxa"/>
            <w:vAlign w:val="bottom"/>
          </w:tcPr>
          <w:p>
            <w:pPr>
              <w:spacing w:after="0"/>
              <w:rPr>
                <w:sz w:val="24"/>
                <w:szCs w:val="24"/>
                <w:color w:val="auto"/>
              </w:rPr>
            </w:pPr>
          </w:p>
        </w:tc>
        <w:tc>
          <w:tcPr>
            <w:tcW w:w="2700" w:type="dxa"/>
            <w:vAlign w:val="bottom"/>
          </w:tcPr>
          <w:p>
            <w:pPr>
              <w:jc w:val="right"/>
              <w:ind w:right="830"/>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2023,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86"/>
        </w:trPr>
        <w:tc>
          <w:tcPr>
            <w:tcW w:w="9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Amortization Expense</w:t>
            </w:r>
          </w:p>
        </w:tc>
      </w:tr>
      <w:tr>
        <w:trPr>
          <w:trHeight w:val="26"/>
        </w:trPr>
        <w:tc>
          <w:tcPr>
            <w:tcW w:w="9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5,889</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2026</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5,504</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2027</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r>
      <w:tr>
        <w:trPr>
          <w:trHeight w:val="229"/>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18,057</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46,124</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7—Assets and Liabilities Held for Sale for intangible assets with definite lives classified as held for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7—ASSETS AND LIABILITIES HELD FOR SALE</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the fourth quarter of 2022, the Company approved a plan to sell its Ovation credit services business, an asset group associated with the Company's Consumer segment. The asset group was expected to be sold in 2023 to an unrelated third party and is classified, at its carrying value, as current assets held for sale and current liabilities held for sale in the consolidated balance sheet as of December 31, 2022.</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2023, the third party withdrew the letter of intent to purchase the asset group held for sale. The Company made the decision to close the Ovation credit services business. As a result, the Company recorded asset impairment charges of $4.2 million, of which $2.1 million related to intangible assets, $1.7 million related to property and equipment, and $0.4 million related to an operating lease right-of-use asset.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carrying value of the accounts receivable, prepaid and other assets, and other non-current assets previously held for sale, and the liabilities previously held for sale approximate their fair value and are no longer classified as assets and liabilities held for sale in the consolidated balance sheet as of March 31, 2023.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information related to the major classes of assets and liabilities that were classified as held for sale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2022</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of allowance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$1,102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of accumulated amortization of $3,857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r>
      <w:tr>
        <w:trPr>
          <w:trHeight w:val="230"/>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9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held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w:t>
            </w:r>
          </w:p>
        </w:tc>
      </w:tr>
      <w:tr>
        <w:trPr>
          <w:trHeight w:val="250"/>
        </w:trPr>
        <w:tc>
          <w:tcPr>
            <w:tcW w:w="9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trade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9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held for sale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2,909</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9,398</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11,444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7,253</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7,273</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2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8,901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8,513</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and severance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4,446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9,070</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7,965</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84,829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75,095</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7—Assets and Liabilities Held for Sale for accrued expenses and other current liabilities classified as held for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80" w:type="dxa"/>
            <w:vAlign w:val="bottom"/>
          </w:tcPr>
          <w:p>
            <w:pPr>
              <w:spacing w:after="0"/>
              <w:rPr>
                <w:sz w:val="18"/>
                <w:szCs w:val="18"/>
                <w:color w:val="auto"/>
              </w:rPr>
            </w:pPr>
          </w:p>
        </w:tc>
        <w:tc>
          <w:tcPr>
            <w:tcW w:w="1600" w:type="dxa"/>
            <w:vAlign w:val="bottom"/>
            <w:tcBorders>
              <w:top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600" w:type="dxa"/>
            <w:vAlign w:val="bottom"/>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12,846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12,901</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600" w:type="dxa"/>
            <w:vAlign w:val="bottom"/>
          </w:tcPr>
          <w:p>
            <w:pPr>
              <w:jc w:val="right"/>
              <w:ind w:right="254"/>
              <w:spacing w:after="0"/>
              <w:rPr>
                <w:sz w:val="20"/>
                <w:szCs w:val="20"/>
                <w:color w:val="auto"/>
              </w:rPr>
            </w:pPr>
            <w:r>
              <w:rPr>
                <w:rFonts w:ascii="Arial" w:cs="Arial" w:eastAsia="Arial" w:hAnsi="Arial"/>
                <w:sz w:val="18"/>
                <w:szCs w:val="18"/>
                <w:color w:val="auto"/>
              </w:rPr>
              <w:t>54</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35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12,935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12,901</w:t>
            </w:r>
          </w:p>
        </w:tc>
      </w:tr>
    </w:tbl>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first quarter of 2023, the weighted average shares that were anti-dilutive, and therefore excluded from the calculation of diluted income per share, included options to purchase 1.0 million shares of common stock and 0.4 million restricted stock units.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first quarter of 2022,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0.3 million shares related to potentially dilutive securities were excluded from the calculation of diluted loss per share for the first quarter of 2022 because their inclusion would have been anti-dilutive. For the first quarter of 2022, the weighted average shares that were anti-dilutive, and therefore excluded from the calculation of diluted income per share, included options to purchase 0.9 million shares of common stock and 0.2 million restricted stock units.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12—Debt for additional information. On January 1, 2022, the Company adopted ASU 2020-06 using the modified retrospective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Following the adoption, the if-converted method is used for diluted net income per share calculation of our convertible notes. Prior to the adoption of ASU 2020-06 the dilutive impact of the convertible notes was calculated using the treasury stock method.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Approximately 1.2 million shares related to the potentially dilutive shares of the Company's common stock associated with the 0.50% Convertible Senior Notes due July 15, 2025 were excluded from the calculation of diluted loss per share for the first quarter of 2023 because their inclusion would have been anti-dilutive. Approximately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first quarter of 2022 because their inclusion would have been anti-dilutive. Shares of the Company's stock associated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warrants issued by the Company in 2020 were excluded from the calculation of diluted loss per share for the first quarter of 2023, and shares of the Company's stock associated with the warrants issued by the Company in 2017 and 2020 were excluded from the calculation of diluted loss per share for the first quarter of 2022 as they were anti-dilutive since the strike price of the warrants was greater than the average market price of the Company's common stock during the relevant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each of February 2018 and February 2019, the board of directors authorized and the Company announced the repurchase of up to $100.0 million and $150.0 million, respectively, of LendingTree's common stock. During the first quarter of 2023, the Company did not purchase shares of its common stock. During the first quarter of 2022, the Company purchased 379,895 shares of its common stock pursuant to this stock repurchase program. At March 31, 2023, approximately $96.7 million of the previous authorizations to repurchase common stock remain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jc w:val="center"/>
        <w:ind w:left="812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Selling and marketing expense</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1,744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7,343</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Product development</w:t>
            </w: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1,902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severance</w:t>
            </w:r>
          </w:p>
        </w:tc>
        <w:tc>
          <w:tcPr>
            <w:tcW w:w="14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1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11,274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15,080</w:t>
            </w:r>
          </w:p>
        </w:tc>
        <w:tc>
          <w:tcPr>
            <w:tcW w:w="0" w:type="dxa"/>
            <w:vAlign w:val="bottom"/>
          </w:tcPr>
          <w:p>
            <w:pPr>
              <w:spacing w:after="0"/>
              <w:rPr>
                <w:sz w:val="1"/>
                <w:szCs w:val="1"/>
                <w:color w:val="auto"/>
              </w:rPr>
            </w:pPr>
          </w:p>
        </w:tc>
      </w:tr>
      <w:tr>
        <w:trPr>
          <w:trHeight w:val="51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ind w:left="340"/>
              <w:spacing w:after="0"/>
              <w:rPr>
                <w:sz w:val="20"/>
                <w:szCs w:val="20"/>
                <w:color w:val="auto"/>
              </w:rPr>
            </w:pPr>
            <w:r>
              <w:rPr>
                <w:rFonts w:ascii="Arial" w:cs="Arial" w:eastAsia="Arial" w:hAnsi="Arial"/>
                <w:sz w:val="18"/>
                <w:szCs w:val="18"/>
                <w:color w:val="auto"/>
                <w:w w:val="91"/>
              </w:rPr>
              <w:t>A summary of changes in outstanding stock options is as follows:</w:t>
            </w: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gridSpan w:val="2"/>
            <w:vMerge w:val="restart"/>
          </w:tcPr>
          <w:p>
            <w:pPr>
              <w:jc w:val="center"/>
              <w:ind w:right="51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300" w:type="dxa"/>
            <w:vAlign w:val="bottom"/>
          </w:tcPr>
          <w:p>
            <w:pPr>
              <w:jc w:val="center"/>
              <w:ind w:right="198"/>
              <w:spacing w:after="0" w:line="14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2"/>
          </w:tcPr>
          <w:p>
            <w:pPr>
              <w:jc w:val="center"/>
              <w:ind w:right="510"/>
              <w:spacing w:after="0" w:line="135"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Number of Options</w:t>
            </w:r>
          </w:p>
        </w:tc>
        <w:tc>
          <w:tcPr>
            <w:tcW w:w="320" w:type="dxa"/>
            <w:vAlign w:val="bottom"/>
          </w:tcPr>
          <w:p>
            <w:pPr>
              <w:spacing w:after="0"/>
              <w:rPr>
                <w:sz w:val="12"/>
                <w:szCs w:val="12"/>
                <w:color w:val="auto"/>
              </w:rPr>
            </w:pPr>
          </w:p>
        </w:tc>
        <w:tc>
          <w:tcPr>
            <w:tcW w:w="1580" w:type="dxa"/>
            <w:vAlign w:val="bottom"/>
            <w:gridSpan w:val="2"/>
          </w:tcPr>
          <w:p>
            <w:pPr>
              <w:jc w:val="center"/>
              <w:ind w:right="53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7"/>
        </w:trPr>
        <w:tc>
          <w:tcPr>
            <w:tcW w:w="4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53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9"/>
                <w:szCs w:val="9"/>
                <w:b w:val="1"/>
                <w:bCs w:val="1"/>
                <w:color w:val="auto"/>
                <w:w w:val="95"/>
              </w:rPr>
              <w:t>(a)</w:t>
            </w:r>
          </w:p>
        </w:tc>
        <w:tc>
          <w:tcPr>
            <w:tcW w:w="0" w:type="dxa"/>
            <w:vAlign w:val="bottom"/>
          </w:tcPr>
          <w:p>
            <w:pPr>
              <w:spacing w:after="0"/>
              <w:rPr>
                <w:sz w:val="1"/>
                <w:szCs w:val="1"/>
                <w:color w:val="auto"/>
              </w:rPr>
            </w:pPr>
          </w:p>
        </w:tc>
      </w:tr>
      <w:tr>
        <w:trPr>
          <w:trHeight w:val="182"/>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510"/>
              <w:spacing w:after="0"/>
              <w:rPr>
                <w:sz w:val="20"/>
                <w:szCs w:val="20"/>
                <w:color w:val="auto"/>
              </w:rPr>
            </w:pPr>
            <w:r>
              <w:rPr>
                <w:rFonts w:ascii="Arial" w:cs="Arial" w:eastAsia="Arial" w:hAnsi="Arial"/>
                <w:sz w:val="14"/>
                <w:szCs w:val="14"/>
                <w:b w:val="1"/>
                <w:bCs w:val="1"/>
                <w:i w:val="1"/>
                <w:iCs w:val="1"/>
                <w:color w:val="auto"/>
                <w:w w:val="89"/>
              </w:rPr>
              <w:t>(per option)</w:t>
            </w:r>
          </w:p>
        </w:tc>
        <w:tc>
          <w:tcPr>
            <w:tcW w:w="1300" w:type="dxa"/>
            <w:vAlign w:val="bottom"/>
          </w:tcPr>
          <w:p>
            <w:pPr>
              <w:jc w:val="center"/>
              <w:ind w:right="218"/>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5"/>
                <w:szCs w:val="15"/>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2023</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805,079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155.10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(34,313)</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239.93</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Options outstanding at March 31, 2023</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770,766</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151.32</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March 31, 2023</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553,965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134.08</w:t>
            </w: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$26.66 on the last trading day of the quarter ended March 31, 2023 and the exercise price, multiplied by the number of shares covered by in-the-money options) that would have been received by the option holder had the option holder exercised these options on March 31, 2023. The intrinsic value changes based on the market value of the Company's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vMerge w:val="restart"/>
          </w:tcPr>
          <w:p>
            <w:pPr>
              <w:jc w:val="center"/>
              <w:ind w:right="378"/>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12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with Market</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line="202"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378"/>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5"/>
                <w:szCs w:val="15"/>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2023</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734,685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230.79</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color w:val="auto"/>
              </w:rPr>
              <w:t>308.96</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March 31, 2023</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718,438</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229.02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March 31, 2023</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481,669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8"/>
                <w:szCs w:val="18"/>
                <w:b w:val="1"/>
                <w:bCs w:val="1"/>
                <w:color w:val="auto"/>
              </w:rPr>
              <w:t>195.10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59"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$26.66 on the last trading day of the quarter ended March 31, 2023 and the exercise price, multiplied by the number of shares covered by in-the-money options) that would have been received by the option holder had the option holder exercised these options on March 31, 2023. The intrinsic value changes based on the market value of the Company's common stock.</w:t>
      </w:r>
    </w:p>
    <w:p>
      <w:pPr>
        <w:spacing w:after="0" w:line="13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As of March 31, 2023, a maximum of 395,404 shares may be earned for achieving superior performance up to 167% of the remaining unvested target number of shares. As of March 31, 2023, no additional performance-based nonqualified stock options with a market condition had been earned.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2023</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485,053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127.46</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349,399</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(150,097)</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2023</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672,928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72.68</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nonvested RSUs with performance conditions is as follows: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60" w:type="dxa"/>
            <w:vAlign w:val="bottom"/>
          </w:tcPr>
          <w:p>
            <w:pPr>
              <w:spacing w:after="0"/>
              <w:rPr>
                <w:sz w:val="17"/>
                <w:szCs w:val="17"/>
                <w:color w:val="auto"/>
              </w:rPr>
            </w:pPr>
          </w:p>
        </w:tc>
        <w:tc>
          <w:tcPr>
            <w:tcW w:w="368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25"/>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2"/>
        </w:trPr>
        <w:tc>
          <w:tcPr>
            <w:tcW w:w="7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2023</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2023</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04"/>
        </w:trPr>
        <w:tc>
          <w:tcPr>
            <w:tcW w:w="7560" w:type="dxa"/>
            <w:vAlign w:val="bottom"/>
          </w:tcPr>
          <w:p>
            <w:pPr>
              <w:ind w:left="5540"/>
              <w:spacing w:after="0"/>
              <w:rPr>
                <w:sz w:val="20"/>
                <w:szCs w:val="20"/>
                <w:color w:val="auto"/>
              </w:rPr>
            </w:pPr>
            <w:r>
              <w:rPr>
                <w:rFonts w:ascii="Arial" w:cs="Arial" w:eastAsia="Arial" w:hAnsi="Arial"/>
                <w:sz w:val="18"/>
                <w:szCs w:val="18"/>
                <w:color w:val="auto"/>
              </w:rPr>
              <w:t>15</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2021, the Company implemented an employee stock purchase plan (“ESPP”), under which a total of 262,731 shares of the Company's common stock were reserved for issuance. As of March 31, 2023, 226,813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No shares were issued under the ESPP during the three months ended March 31, 2023.</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2023 and 2022, the Company granted employee stock purchase rights to certain employees with a grant date fair value per share of $8.19 and $35.43,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r>
      <w:tr>
        <w:trPr>
          <w:trHeight w:val="192"/>
        </w:trPr>
        <w:tc>
          <w:tcPr>
            <w:tcW w:w="74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r>
      <w:tr>
        <w:trPr>
          <w:trHeight w:val="229"/>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87"/>
              </w:rPr>
              <w:t>0.50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 years</w:t>
            </w:r>
          </w:p>
        </w:tc>
      </w:tr>
      <w:tr>
        <w:trPr>
          <w:trHeight w:val="229"/>
        </w:trPr>
        <w:tc>
          <w:tcPr>
            <w:tcW w:w="8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1520" w:type="dxa"/>
            <w:vAlign w:val="bottom"/>
          </w:tcPr>
          <w:p>
            <w:pPr>
              <w:jc w:val="right"/>
              <w:ind w:right="876"/>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152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rPr>
              <w:t>82 %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580" w:type="dxa"/>
            <w:vAlign w:val="bottom"/>
            <w:tcBorders>
              <w:bottom w:val="single" w:sz="8" w:color="999999"/>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1520" w:type="dxa"/>
            <w:vAlign w:val="bottom"/>
            <w:tcBorders>
              <w:bottom w:val="single" w:sz="8" w:color="999999"/>
            </w:tcBorders>
          </w:tcPr>
          <w:p>
            <w:pPr>
              <w:jc w:val="right"/>
              <w:ind w:right="676"/>
              <w:spacing w:after="0"/>
              <w:rPr>
                <w:sz w:val="20"/>
                <w:szCs w:val="20"/>
                <w:color w:val="auto"/>
              </w:rPr>
            </w:pPr>
            <w:r>
              <w:rPr>
                <w:rFonts w:ascii="Arial" w:cs="Arial" w:eastAsia="Arial" w:hAnsi="Arial"/>
                <w:sz w:val="18"/>
                <w:szCs w:val="18"/>
                <w:color w:val="auto"/>
              </w:rPr>
              <w:t>4.76 %</w:t>
            </w:r>
          </w:p>
        </w:tc>
        <w:tc>
          <w:tcPr>
            <w:tcW w:w="11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0.19%</w:t>
            </w:r>
          </w:p>
        </w:tc>
      </w:tr>
    </w:tbl>
    <w:p>
      <w:pPr>
        <w:spacing w:after="0" w:line="24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6"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182"/>
        </w:trPr>
        <w:tc>
          <w:tcPr>
            <w:tcW w:w="8180" w:type="dxa"/>
            <w:vAlign w:val="bottom"/>
          </w:tcPr>
          <w:p>
            <w:pPr>
              <w:spacing w:after="0"/>
              <w:rPr>
                <w:sz w:val="15"/>
                <w:szCs w:val="15"/>
                <w:color w:val="auto"/>
              </w:rPr>
            </w:pPr>
          </w:p>
        </w:tc>
        <w:tc>
          <w:tcPr>
            <w:tcW w:w="3060" w:type="dxa"/>
            <w:vAlign w:val="bottom"/>
            <w:gridSpan w:val="4"/>
          </w:tcPr>
          <w:p>
            <w:pPr>
              <w:jc w:val="right"/>
              <w:ind w:right="416"/>
              <w:spacing w:after="0"/>
              <w:rPr>
                <w:sz w:val="20"/>
                <w:szCs w:val="20"/>
                <w:color w:val="auto"/>
              </w:rPr>
            </w:pPr>
            <w:r>
              <w:rPr>
                <w:rFonts w:ascii="Arial" w:cs="Arial" w:eastAsia="Arial" w:hAnsi="Arial"/>
                <w:sz w:val="14"/>
                <w:szCs w:val="14"/>
                <w:b w:val="1"/>
                <w:bCs w:val="1"/>
                <w:i w:val="1"/>
                <w:iCs w:val="1"/>
                <w:color w:val="auto"/>
              </w:rPr>
              <w:t>(in thousands, except percentages)</w:t>
            </w:r>
          </w:p>
        </w:tc>
      </w:tr>
      <w:tr>
        <w:trPr>
          <w:trHeight w:val="20"/>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0"/>
              </w:rPr>
              <w:t>(395)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(382)</w:t>
            </w:r>
          </w:p>
        </w:tc>
      </w:tr>
      <w:tr>
        <w:trPr>
          <w:trHeight w:val="230"/>
        </w:trPr>
        <w:tc>
          <w:tcPr>
            <w:tcW w:w="818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Borders>
              <w:bottom w:val="single" w:sz="8" w:color="999999"/>
            </w:tcBorders>
          </w:tcPr>
          <w:p>
            <w:pPr>
              <w:spacing w:after="0"/>
              <w:rPr>
                <w:sz w:val="19"/>
                <w:szCs w:val="19"/>
                <w:color w:val="auto"/>
              </w:rPr>
            </w:pPr>
          </w:p>
        </w:tc>
        <w:tc>
          <w:tcPr>
            <w:tcW w:w="64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2.9 %</w:t>
            </w:r>
          </w:p>
        </w:tc>
        <w:tc>
          <w:tcPr>
            <w:tcW w:w="40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(3.7)%</w:t>
            </w:r>
          </w:p>
        </w:tc>
      </w:tr>
    </w:tbl>
    <w:p>
      <w:pPr>
        <w:spacing w:after="0" w:line="2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first quarter of 2023, the effective tax rate varied from the federal statutory rate of 21% primarily due to the change in the valuation allowance, net of the current period change in tax effected net indefinite-lived intangibles. For the first quarter of 2022, the effective tax rate varied from the federal statutory rate of 21% primarily due to excess tax expense of $2.5 million, resulting from vesting of restricted stock in accordance with ASU 2016-09 and the effect of state taxes.</w:t>
      </w:r>
    </w:p>
    <w:p>
      <w:pPr>
        <w:spacing w:after="0" w:line="19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82"/>
        </w:trPr>
        <w:tc>
          <w:tcPr>
            <w:tcW w:w="54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7"/>
              </w:rPr>
              <w:t>(in thousands)</w:t>
            </w:r>
          </w:p>
        </w:tc>
        <w:tc>
          <w:tcPr>
            <w:tcW w:w="88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Income tax benefit - excluding excess tax expense on stock compensation</w:t>
            </w:r>
          </w:p>
        </w:tc>
        <w:tc>
          <w:tcPr>
            <w:tcW w:w="39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tax expense on stock compensation</w:t>
            </w:r>
          </w:p>
        </w:tc>
        <w:tc>
          <w:tcPr>
            <w:tcW w:w="3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900" w:type="dxa"/>
            <w:vAlign w:val="bottom"/>
            <w:tcBorders>
              <w:bottom w:val="single" w:sz="8" w:color="auto"/>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(395)</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891"/>
        </w:trPr>
        <w:tc>
          <w:tcPr>
            <w:tcW w:w="5440" w:type="dxa"/>
            <w:vAlign w:val="bottom"/>
          </w:tcPr>
          <w:p>
            <w:pPr>
              <w:spacing w:after="0"/>
              <w:rPr>
                <w:sz w:val="24"/>
                <w:szCs w:val="24"/>
                <w:color w:val="auto"/>
              </w:rPr>
            </w:pPr>
          </w:p>
        </w:tc>
        <w:tc>
          <w:tcPr>
            <w:tcW w:w="3040" w:type="dxa"/>
            <w:vAlign w:val="bottom"/>
          </w:tcPr>
          <w:p>
            <w:pPr>
              <w:jc w:val="right"/>
              <w:ind w:right="267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24, 2020, the Company issued $575.0 million aggregate principal amount of its 0.50% Convertible Senior Notes due July 15, 2025 (the “2025 Notes”) in a private placement. The 2025 Notes bear interest at a rate of 0.50% per year, payable semi-annually on January 15 and July 15 of each year, beginning on January 15, 2021. The 2025 Notes will mature on July 15, 2025, unless earlier repurchased, redeemed or converted. The initial conversion rate of the 2025 Notes is 2.1683 shares of the Company's common stock per $1,000 principal amount of 2025 Notes (which is equivalent to an initial conversion price of approximately $461.19 per share).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8, 2023, the Company repurchased approximately $190.6 million in principal amount of its 2025 Notes, through individual privately-negotiated transactions with certain holders of the 2025 Notes, for $156.3 million in cash plus accrued and unpaid interest of approximately $0.1 million. In the first quarter of 2023, the Company recognized a gain on the extinguishment of debt of $34.3 million, a loss on the write-off of unamortized debt issuance costs of $2.4 million and incurred debt repayment costs of $1.0 million, all of which are included in interest income/expense, net in the consolidated statement of operations and comprehensive income.</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March 31, 2023 as the last reported sale price of the Company's common stock, for at least 20 trading days (whether or not consecutive) during the period of 30 consecutive trading days ending on December 31, 2022, was not greater than or equal to 130% of the conversion price of the 2025 Notes on each applicable trading day.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three months of 2023, the Company recorded interest expense on the 2025 Notes of $1.4 million which consisted of $0.7 million associated with the 0.50% coupon rate and $0.7 million associated with the amortization of the debt issuance costs. In the first three months of 2022, the Company recorded interest expense on the 2025 Notes of $1.5 million which consisted of $0.7 million associated with the 0.50% coupon rate and $0.8 million associated with the amortization of the debt issuance costs.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the fair value of the 2025 Notes is estimated to be approximately $286.7 million using the Level 1 observable input of the last quoted market price on March 31, 2023.</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 summary of the gross carrying amount, debt issuance costs, and net carrying value of the 2025 Notes, all of which is recorded as a non-current liability in the March 31, 2023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14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384,398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4,667</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379,731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567,266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first three months of 2022, the Company recorded interest expense on the 2022 Notes of $0.5 million which consisted of $0.3 million associated with the 0.625% coupon rate and $0.2 million associated with the amortization of the debt issuance costs. The 2022 Notes were fully settled in June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24, 2020, in connection with the issuance of the 2025 Notes, the Company entered into Convertible Note Hedge (the “2020 Hedge”) and warrant transactions with respect to the Company’s common stock.</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transactions cover 1.2 million shares of the Company’s common stock, the same number of shares initially underlying the 2025 Notes, and are exercisable upon any conversion of the 2025 Notes. The 2020 Hedge transactions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March 8, 2023 repurchases of the 2025 Notes noted above, the Company entered into agreements with the counterparties for the 2020 Hedge and 2020 Warrants transactions to terminate a portion of these call spread transactions effective March 8, 2023 in notional amounts corresponding to the principal amount of the 2025 Notes repurchased. Subsequent to such termination, the outstanding portion of the 2020 Hedge covers 0.8 million shares of the Company's common stock and 2020 Warrants to acquire 0.8 million shares of the Company's common stock remain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2023, the Company had $248.1 million of borrowings outstanding under the Term Loan Facility bearing interest at the LIBO option rate of 8.6% and had no borrowings under the Revolving Facility. As of December 31, 2022, the Company had $248.8 million of borrowings outstanding under the Credit Facility and no borrowings under the Revolving Facility. As of March 31, 2023, borrowings of $2.5 million under the Term Loan Facility are recorded as current portion of long-term debt on the consolidated balance sheet.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each of March 31, 2023 and December 31, 2022, the Company had outstanding one letter of credit issued in the amount of $0.2 million.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March 31, 2023.</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three months of 2023, the Company recorded interest expense related to its Revolving Facility of $0.4 million which consisted of $0.2 million in unused commitment fees, and $0.2 million associated with the amortization of the debt issuance costs. In the first three months of 2023, the Company recorded interest expense related to the Term Loan Facility of $5.2 million associated with borrowings bearing interest at the LIBO rate.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first three months of 2022, the Company recorded interest expense related to its revolving credit facilities of $0.4 million which consisted of $0.2 million in unused commitment fees, and $0.2 million associated with the amortization of the debt issuance costs. In the first three months of 2022, the Company recorded interest expense related to the Term Loan Facility of $5.1 million which consisted of $3.0 million in unused commitment fees, $1.2 million associated with the amortization of the debt issuance costs, and $0.9 million associated with the amortization of the original issue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otherwise indicated, the Company is unable to estimate the possible loss or range of losses that could potentially result from the application of such non-monetary remedies.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and December 31, 2022, the Company had litigation settlement accruals of $0.2 million and $0.1 million, respectively. The litigation settlement accruals relate to litigation matters that were either settled or a firm offer for settlement was extended, thereby establishing an accrual amount that is both probable and reasonably estimable.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MEASUREMENTS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Other than the convertible notes and warrants, as well as the equity interests, the carrying amounts of the Company's financial instruments are equal to fair value at March 31, 2023.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 on the convertible notes and warrants.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Home segment includes the following products: purchase mortgage, refinance mortgage, and home equity loans and lines of credit. The Company ceased offering reverse mortgage loans in the fourth quarter of 2022. The Consumer segment includes the following products: credit cards, personal loans, small business loans, student loans, auto loans, deposit accounts, and other credit products such as credit repair and debt settlement. The Insurance segment consists of insurance quote products and sales of insurance policies in the agency businesses.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23"/>
              <w:spacing w:after="0"/>
              <w:rPr>
                <w:sz w:val="20"/>
                <w:szCs w:val="20"/>
                <w:color w:val="auto"/>
              </w:rPr>
            </w:pPr>
            <w:r>
              <w:rPr>
                <w:rFonts w:ascii="Arial" w:cs="Arial" w:eastAsia="Arial" w:hAnsi="Arial"/>
                <w:sz w:val="14"/>
                <w:szCs w:val="14"/>
                <w:b w:val="1"/>
                <w:bCs w:val="1"/>
                <w:color w:val="auto"/>
                <w:w w:val="95"/>
              </w:rPr>
              <w:t>Three Months Ended March 31, 2023</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77,082</w:t>
            </w:r>
          </w:p>
        </w:tc>
        <w:tc>
          <w:tcPr>
            <w:tcW w:w="82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200,508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28,567</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46,930</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120,551</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15,108</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34,876</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30,152</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79,957</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13,760</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16,560</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36,683</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14,655</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4,795</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4,454</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(13,011)</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25,029</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13,852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Arial" w:cs="Arial" w:eastAsia="Arial" w:hAnsi="Arial"/>
                <w:sz w:val="14"/>
                <w:szCs w:val="14"/>
                <w:b w:val="1"/>
                <w:bCs w:val="1"/>
                <w:color w:val="auto"/>
                <w:w w:val="95"/>
              </w:rPr>
              <w:t>Three Months Ended March 31, 2022</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101,944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80,038</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283,178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66,035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58,935</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183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183,714</w:t>
            </w:r>
          </w:p>
        </w:tc>
      </w:t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35,909</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42,507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21,103</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98"/>
              </w:rPr>
              <w:t>(55)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99,464</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15,561</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20,443</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35,977</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14,052</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4,854</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w:t>
            </w: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3,625</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r>
      <w:tr>
        <w:trPr>
          <w:trHeight w:val="219"/>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(7,505)</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16—RESTRUCTURING ACTIVITIES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24, 2023, the Company committed to a workforce reduction plan (the “Reduction Plan”), that is intended to reduce operating costs. The Reduction Plan includes the elimination of approximately 158 employees, or 13%, of the Company’s current workforce. As a result of the Reduction Plan, the Company estimates that it will incur approximately $5.6 million in severance charges in connection with the workforce reduction, consisting of cash expenditures for employee separation costs of approximately $4.6 million and non-cash charges for the accelerated vesting of certain equity awards of approximately $1.0 million.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incurred restructuring expense of $4.3 million in the first quarter of 2023 and expects to incur an additional $1.3 million of restructuring expense in the second quarter of 2023 related to the Reduction Plan. The Reduction Plan, including cash payments, is expected to be completed by the end of the second quarter of 2024.</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2022, the Company completed workforce reductions in each of the first, second, and fourth quarters of approximately 75 employees, 25 employees, and 50 employees, respectively. In the first quarter of 2022, the Company incurred total expense of $3.6 million consisting of employee separation costs of $2.5 million and non-cash compensation expense of $1.1 million due to the accelerated vesting of certain equity awards. All employee separation costs for 2022 actions are expected to be paid by the third quarter of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116"/>
              <w:spacing w:after="0" w:line="149" w:lineRule="exact"/>
              <w:rPr>
                <w:sz w:val="20"/>
                <w:szCs w:val="20"/>
                <w:color w:val="auto"/>
              </w:rPr>
            </w:pPr>
            <w:r>
              <w:rPr>
                <w:rFonts w:ascii="Arial" w:cs="Arial" w:eastAsia="Arial" w:hAnsi="Arial"/>
                <w:sz w:val="14"/>
                <w:szCs w:val="14"/>
                <w:b w:val="1"/>
                <w:bCs w:val="1"/>
                <w:color w:val="auto"/>
                <w:w w:val="95"/>
              </w:rPr>
              <w:t>Accrued Balance at</w:t>
            </w:r>
          </w:p>
        </w:tc>
        <w:tc>
          <w:tcPr>
            <w:tcW w:w="6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Payments</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Non-Cash</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156"/>
              <w:spacing w:after="0" w:line="149" w:lineRule="exact"/>
              <w:rPr>
                <w:sz w:val="20"/>
                <w:szCs w:val="20"/>
                <w:color w:val="auto"/>
              </w:rPr>
            </w:pPr>
            <w:r>
              <w:rPr>
                <w:rFonts w:ascii="Arial" w:cs="Arial" w:eastAsia="Arial" w:hAnsi="Arial"/>
                <w:sz w:val="14"/>
                <w:szCs w:val="14"/>
                <w:b w:val="1"/>
                <w:bCs w:val="1"/>
                <w:color w:val="auto"/>
                <w:w w:val="93"/>
              </w:rPr>
              <w:t>Accrued Balance at</w:t>
            </w:r>
          </w:p>
        </w:tc>
        <w:tc>
          <w:tcPr>
            <w:tcW w:w="0" w:type="dxa"/>
            <w:vAlign w:val="bottom"/>
          </w:tcPr>
          <w:p>
            <w:pPr>
              <w:spacing w:after="0"/>
              <w:rPr>
                <w:sz w:val="1"/>
                <w:szCs w:val="1"/>
                <w:color w:val="auto"/>
              </w:rPr>
            </w:pPr>
          </w:p>
        </w:tc>
      </w:tr>
      <w:tr>
        <w:trPr>
          <w:trHeight w:val="196"/>
        </w:trPr>
        <w:tc>
          <w:tcPr>
            <w:tcW w:w="29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2022    Income Statement Impact</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 action</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Employee separation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43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4,260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4"/>
              <w:spacing w:after="0"/>
              <w:rPr>
                <w:sz w:val="20"/>
                <w:szCs w:val="20"/>
                <w:color w:val="auto"/>
              </w:rPr>
            </w:pPr>
            <w:r>
              <w:rPr>
                <w:rFonts w:ascii="Arial" w:cs="Arial" w:eastAsia="Arial" w:hAnsi="Arial"/>
                <w:sz w:val="18"/>
                <w:szCs w:val="18"/>
                <w:color w:val="auto"/>
                <w:w w:val="93"/>
              </w:rPr>
              <w:t>(71)</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b w:val="1"/>
                <w:bCs w:val="1"/>
                <w:color w:val="auto"/>
              </w:rPr>
              <w:t>2022 action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Employee separation payments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93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4,356</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center"/>
              <w:ind w:left="894"/>
              <w:spacing w:after="0"/>
              <w:rPr>
                <w:sz w:val="20"/>
                <w:szCs w:val="20"/>
                <w:color w:val="auto"/>
              </w:rPr>
            </w:pPr>
            <w:r>
              <w:rPr>
                <w:rFonts w:ascii="Arial" w:cs="Arial" w:eastAsia="Arial" w:hAnsi="Arial"/>
                <w:sz w:val="18"/>
                <w:szCs w:val="18"/>
                <w:b w:val="1"/>
                <w:bCs w:val="1"/>
                <w:color w:val="auto"/>
                <w:w w:val="93"/>
              </w:rPr>
              <w:t>(71)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2022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student loans, small business loans, insurance quotes, sales of insurance policies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monitor the impact of the COVID-19 pandemic, government actions and measures taken to prevent its spread, and the potential to affect our operations. We are also monitoring the current global economic environment, specifically including inflationary pressures and interest rates, and any resulting impacts on our financial position and results of operations. Refer to Part I, Item 1A. “Risk Factors” of our 2022 Annual Report for additional information.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our three reportable segments, the Consumer segment was impacted the most from the COVID-19 pandemic as unsecured credit and the flow of capital in certain areas of the market contracted. Most of our selling and marketing expenses are variable costs that we adjust dynamically in relation to revenue opportunities to profitably meet demand. Thus, as our revenue was negatively impacted during the COVID-19 pandemic and the macro-economic conditions that followed, our marketing expenses generally decreased in line with revenue.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2023, the challenging interest rate environment and inflationary pressures have continued to present challenges for many of our mortgage lending and insurance partners. In our Home segment, mortgage rates have remained relatively consistent in the first quarter of 2023 compared to the fourth quarter of 2022, but nearly doubled compared to the first quarter of 2022. The significant increases in mortgage rates caused a sharp decline in refinance volumes and are putting pressure on purchase activity. In our Insurance segment, demand from our carrier partners remains volatile as they continue to deal with persistent industry headwinds.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In January 2022, the Company acquired an equity interest in EarnUp for $15.0 million. EarnUp is a consumer-first mortgage payment platform that intelligently automates loan payment scheduling and helps consumers better manage their money and improve their financial well-being.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contractually commenced in the second quarter of 2021.</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We have received approximately $0.7 million related to the December 2016 grants. If we are unable to maintain the specified target levels, our ability to earn further reimbursements could be limited.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 We have currently not met the specified target levels set forth in the December 2018 grant and may not realize any reimbursements from this grant.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0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increased from a monthly average of 6.36% in December 2022 to a monthly average of 6.54% in March 2023. On a quarterly basis, 30-year mortgage interest rates in the first quarter of 2023 averaged 6.36%, compared to 3.79% in the first quarter of 2022 and 6.69% in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82550</wp:posOffset>
            </wp:positionV>
            <wp:extent cx="5863590" cy="3968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increased to 20% of total mortgage origination dollars in the first quarter of 2023 compared to 17% in the fourth quarter of 2022 but decreased from 45% in the first quarter of 2022. In the first quarter of 2023, total refinance origination dollars did not change from the fourth quarter of 2022 and decreased 79% from the first quarter of 2022. Industry-wide mortgage origination dollars in the first quarter of 2023 decreased 16% from the fourth quarter of 2022 and 52% from first quarter of 2022.</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2023, the MBA projected 30-year mortgage interest rates to an average 5.5% for the 2023 year, consistent with the average rates in 2022. According to MBA projections, the mix of mortgage origination dollars is expected to continue to be weighted towards purchase mortgages with the refinance share representing approximately 24% for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Fannie Mae data, existing home sales increased 3% in the first quarter of 2023 compared to the fourth quarter of 2022, and decreased 28% compared to the first quarter of 2022. Fannie Mae predicts an overall decrease in existing-home sales of approximately 16% in 2023 compared to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MyLendingTree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certain metrics related to MyLendingTree set forth below to help us evaluate our business and growth trends and assess operational efficiencies. The calculation of the metrics discussed below may differ from other similarly titled metrics used by other companies, securities analysts or investors.</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continued to grow our user base and added 1.0 million new users in the first quarter of 2023, bringing cumulative sign-ups to 25.8 million at March 31, 2023. We attribute $20 million of revenue in the first quarter of 2023 to registered MyLendingTree members across the LendingTree platform.</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focus on improving the MyLendingTree experience for consumers remains a top priority. Becoming an integrated digital advisor will greatly improve the consumer experience, which we expect to result in higher levels of engagement improved membership growth rates, and ultimately stronger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Reductions and Simplification of Business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March 24, 2023, we committed to a workforce reduction plan (the “Reduction Plan”), that is intended to reduce operating costs. The Reduction Plan includes the elimination of approximately 13% of the Company’s current workforce. As a result of the Reduction Plan, we expect to incur approximately $5.6 million in severance charges in connection with the workforce reduction, $4.3 million of which was incurred in the first quarter of 2023. Part of this Reduction Plan included the shut down of our LendingTree customer call center as well as our Medicare insurance agency operations within QuoteWizard. We anticipate the Reduction Plan will reduce annual compensation expense by approximately $14 million, comprised of $2 million in cost of revenue, $4 million in selling and marketing expense, $3 million in general and administrative expense, and $5 million in product development.</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Separately, we made the decision to close our Ovation credit services business, an asset group within our Consumer segment, by mid- 2023. As a result, the Company recorded an asset impairment charge of $4.2 million in the first quarter of 2023 related to the write-off of certain long-term assets. We acquired Ovation in 2018 to better serve those customers who come to LendingTree and receive suboptimal offers of credit. The business grew for a number of years before running into challenges in the wake of COVID-19, and more recently the industry has faced increased regulatory pressure. The business is capital-intensive, requires elevated overhead, and future prospects were becoming uncertain.</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Ovation business accounted for approximately 3% of total Revenue and 3% of Total Costs and Expenses, with an immaterial impact to Net Income on the Consolidated Statement of Operations and Comprehensive Income (Loss)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2023 and 2022</w:t>
      </w:r>
    </w:p>
    <w:p>
      <w:pPr>
        <w:spacing w:after="0" w:line="149"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20"/>
              <w:spacing w:after="0" w:line="13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200"/>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center"/>
              <w:ind w:right="180"/>
              <w:spacing w:after="0"/>
              <w:rPr>
                <w:sz w:val="20"/>
                <w:szCs w:val="20"/>
                <w:color w:val="auto"/>
              </w:rPr>
            </w:pPr>
            <w:r>
              <w:rPr>
                <w:rFonts w:ascii="Arial" w:cs="Arial" w:eastAsia="Arial" w:hAnsi="Arial"/>
                <w:sz w:val="13"/>
                <w:szCs w:val="13"/>
                <w:b w:val="1"/>
                <w:bCs w:val="1"/>
                <w:i w:val="1"/>
                <w:iCs w:val="1"/>
                <w:color w:val="auto"/>
                <w:w w:val="84"/>
              </w:rPr>
              <w:t>(Dollars in thousands)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101,944</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(58,269)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79,709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101,068</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(21,359)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77,082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(86)</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3"/>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200,508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283,178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(82,670)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 amortization shown separately below)</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Selling and marketing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137,111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204,157</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(67,046)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706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14,655</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14,052</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603</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2,049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7,917</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color w:val="auto"/>
              </w:rPr>
              <w:t>(5,868)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severance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213,519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286,116</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(72,597)</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09"/>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(13,011)</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b w:val="1"/>
                <w:bCs w:val="1"/>
                <w:color w:val="auto"/>
              </w:rPr>
              <w:t>(10,073)</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(343)%</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Interest income (expense),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25,029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(7,505)</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32,534</w:t>
            </w:r>
          </w:p>
        </w:tc>
        <w:tc>
          <w:tcPr>
            <w:tcW w:w="760" w:type="dxa"/>
            <w:vAlign w:val="bottom"/>
          </w:tcPr>
          <w:p>
            <w:pPr>
              <w:jc w:val="right"/>
              <w:spacing w:after="0"/>
              <w:rPr>
                <w:sz w:val="20"/>
                <w:szCs w:val="20"/>
                <w:color w:val="auto"/>
              </w:rPr>
            </w:pPr>
            <w:r>
              <w:rPr>
                <w:rFonts w:ascii="Arial" w:cs="Arial" w:eastAsia="Arial" w:hAnsi="Arial"/>
                <w:sz w:val="16"/>
                <w:szCs w:val="16"/>
                <w:color w:val="auto"/>
              </w:rPr>
              <w:t>433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1,835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13,852</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(10,444)</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24,296</w:t>
            </w: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233 %</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(loss) and comprehensive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13,457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(10,826)</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24,283</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224 %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decreased in the first quarter of 2023 compared to the first quarter of 2022 due to decreases in our Home, Consumer, and Insurance segments.</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decreased $21.4 million, or 21%, in the first quarter of 2023 from the first quarter of 2022 primarily due to decreases in our personal loans and credit cards.</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from our personal loans product decreased $11.6 million, or 33%, to $23.6 million in the first quarter of 2023 from $35.2 million in the first quarter of 2022 primarily due to a decrease in the number of consumers completing request forms and a decrease in revenue earned per consumer.</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credit cards product decreased $11.5 million, or 39%, to $18.3 million in the first quarter of 2023 from $29.8 million in the first quarter of 2022 primarily due to a decrease in the number of consumer clicks and in revenue earned per click.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periods presented, no other products in our Consumer segment represented more than 10% of revenue.</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Home segment includes the following products: purchase mortgage, refinance mortgage, and home equity loans and lines of credit. We ceased offering reverse mortgage loans in the fourth quarter of 2022. Revenue from our Home segment decreased $58.3 million, or 57%, in the first quarter of 2023 from the first quarter of 2022 primarily due to decreases in revenue from our refinance and purchase mortgage products.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mortgage products decreased $58.0 million, or 74%, to $20.0 million in the first quarter of 2023 from $78.0 million in the first quarter of 2022. Revenue from our refinance mortgage product decreased $48.2 million in the first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quarter of 2023 compared to the first quarter of 2022 due to a decrease in the number of consumers completing request forms and a decrease in revenue earned per consumer, as interest rates have risen. Revenue from our purchase mortgage product decreased $9.8 million in the first quarter of 2023 compared to the first quarter of 2022, primarily due to a decrease in the number of consumers completing request forms and a decrease in revenue earned per consumer. Revenue from our home equity loans product increased $0.5 million, or 2%, to $23.7 million in the first quarter of 2023 from $23.2 million in the first quarter of 2022.</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 from our Insurance segment decreased $3.0 million, or 4%, to $77.1 million in the first quarter of 2023 from $80.0 million in the first quarter of 2022 due to a decrease in revenue earned per consumer, partially offset by an increase in the number of consumers seeking insurance.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decreased in the first quarter of 2023 from the first quarter of 2022 by $1.8 million, primarily due to a $1.3 million decrease in website network hosting and server hosting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increased to 7% in the first quarter of 2023 compared to 5% in the first quarter of 2022.</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and marketing expense decreased in the first quarter of 2023 compared to the first quarter 2022 by $67.0 million primarily due to the changes in advertising and promotional expense discussed below. Additionally, compensation and benefits decreased $2.4 million in the first quarter of 2023 compared to the first quarter 2022.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3"/>
          </w:tcPr>
          <w:p>
            <w:pPr>
              <w:jc w:val="center"/>
              <w:ind w:right="76"/>
              <w:spacing w:after="0"/>
              <w:rPr>
                <w:sz w:val="20"/>
                <w:szCs w:val="20"/>
                <w:color w:val="auto"/>
              </w:rPr>
            </w:pPr>
            <w:r>
              <w:rPr>
                <w:rFonts w:ascii="Arial" w:cs="Arial" w:eastAsia="Arial" w:hAnsi="Arial"/>
                <w:sz w:val="14"/>
                <w:szCs w:val="14"/>
                <w:b w:val="1"/>
                <w:bCs w:val="1"/>
                <w:color w:val="auto"/>
                <w:w w:val="95"/>
              </w:rPr>
              <w:t>Three Months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1"/>
                <w:szCs w:val="11"/>
                <w:color w:val="auto"/>
              </w:rPr>
            </w:pPr>
          </w:p>
        </w:tc>
        <w:tc>
          <w:tcPr>
            <w:tcW w:w="9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1"/>
                <w:szCs w:val="11"/>
                <w:color w:val="auto"/>
              </w:rPr>
            </w:pPr>
          </w:p>
        </w:tc>
        <w:tc>
          <w:tcPr>
            <w:tcW w:w="1040" w:type="dxa"/>
            <w:vAlign w:val="bottom"/>
          </w:tcPr>
          <w:p>
            <w:pPr>
              <w:jc w:val="right"/>
              <w:ind w:right="596"/>
              <w:spacing w:after="0" w:line="129"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6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center"/>
              <w:ind w:right="76"/>
              <w:spacing w:after="0"/>
              <w:rPr>
                <w:sz w:val="20"/>
                <w:szCs w:val="20"/>
                <w:color w:val="auto"/>
              </w:rPr>
            </w:pPr>
            <w:r>
              <w:rPr>
                <w:rFonts w:ascii="Arial" w:cs="Arial" w:eastAsia="Arial" w:hAnsi="Arial"/>
                <w:sz w:val="13"/>
                <w:szCs w:val="13"/>
                <w:b w:val="1"/>
                <w:bCs w:val="1"/>
                <w:i w:val="1"/>
                <w:iCs w:val="1"/>
                <w:color w:val="auto"/>
                <w:w w:val="85"/>
              </w:rPr>
              <w:t>(Dollars in thousands)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182,473</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(61,753)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(534)</w:t>
            </w:r>
          </w:p>
        </w:tc>
        <w:tc>
          <w:tcPr>
            <w:tcW w:w="1020" w:type="dxa"/>
            <w:vAlign w:val="bottom"/>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(2,390)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189,076</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(64,677)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periods presented, advertising and promotional expenses are equivalent to the non-GAAP measure variable marketing expense. </w:t>
      </w:r>
      <w:r>
        <w:rPr>
          <w:rFonts w:ascii="Arial" w:cs="Arial" w:eastAsia="Arial" w:hAnsi="Arial"/>
          <w:sz w:val="18"/>
          <w:szCs w:val="18"/>
          <w:i w:val="1"/>
          <w:iCs w:val="1"/>
          <w:color w:val="auto"/>
        </w:rPr>
        <w:t>See</w:t>
      </w:r>
      <w:r>
        <w:rPr>
          <w:rFonts w:ascii="Arial" w:cs="Arial" w:eastAsia="Arial" w:hAnsi="Arial"/>
          <w:sz w:val="18"/>
          <w:szCs w:val="18"/>
          <w:color w:val="auto"/>
        </w:rPr>
        <w:t xml:space="preserve"> Variable Marketing Expense and Variable Marketing Margin below for additional information.</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adjusted our advertising expenditures in the first quarter of 2023 compared to the first quarter of 2022 in response to changes in Network Partner demand on our marketplace. We will continue to adjust selling and marketing expenditures dynamically in response to anticipated revenue opportunities.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 remained relatively consistent in the first quarter of 2023 compared to the first quarter of 2022. Compensation and benefits, other tax expense, and facilities expense decreased in the first quarter of 2023 compared to the first quarter of 2022 by $1.7 million, $1.5 million, and $0.8 million, respectively. We incurred a $4.2 million loss on the impairment of assets for our Ovation business in the first quarter of 2023.</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 expense as a percentage of revenue in the first quarter of 2023 was 18% compared to 13% for the first quarter of 2022.</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remained relatively consistent in the first quarter of 2023 compared to the first quarter of 2022 as we continued to invest in internal development of new and enhanced features, functionality and business opportunities that we believe will enable us to better and more fully serve consumers and Network Partners.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amortization of intangibles in the first quarter of 2023 compared to the first quarter of 2022 was primarily due to certain intangible assets associated with our recent business acquisitions becoming fully amortized.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severance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24, 2023, we committed to the Reduction Plan that is intended to reduce operating costs. The Reduction Plan includes the elimination of approximately 13% of the Company’s current workforce. As a result of the Reduction Plan, we estimate that we will incur approximately $5.6 million in severance charges in connection with the workforce reduction, consisting of cash expenditures for employee separation costs of approximately $4.6 million and non-cash charges for the accelerated vesting of certain equity awards of approximately $1.0 million.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incurred restructuring expense of $4.3 million in the first quarter of 2023 and expect to incur an additional $1.3 million of restructuring expense in the second quarter of 2023 related to the Reduction Plan. We anticipate that the execution of the Reduction Plan, including cash payments, will be completed by the end of the second quarter of 2024.</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quarter of 2022, we completed a workforce reduction of approximately 75 employees. We incurred total expense of $3.6 million consisting of employee separation costs of $2.5 million and non-cash compensation expense of $1.1 million due to the accelerated vesting of certain equity awards. All employee separation costs were paid by the first quarter of 2023.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income/expense</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the first quarter of 2023, we repurchased approximately $190.6 million in principal amount of our 2025 Notes for $156.3 million plus accrued and unpaid interest of approximately $0.1 million. As a result of the repurchase, we recognized a gain on the extinguishment of $34.3 million, a loss on the write-off of unamortized debt issuance costs of $2.4 million, and incurred debt repayment costs of $1.0 million, all of which are included in interest income/expense, net in the consolidated statement of operations and comprehensive income.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12—Debt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first quarter of 2023, other income primarily consists of dividend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first quarter of 2023, the effective tax rate varied from the federal statutory rate of 21% primarily due to the change in the valuation allowance, net of the current period change in tax effected net indefinite-lived intangibles.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first quarter of 2022, the effective tax rate varied from the federal statutory rate of 21% primarily due to excess tax expense of $2.5 million, resulting from vesting of restricted stock in accordance with ASU 2016-09 and the effect of state taxes.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jc w:val="center"/>
              <w:ind w:right="95"/>
              <w:spacing w:after="0"/>
              <w:rPr>
                <w:sz w:val="20"/>
                <w:szCs w:val="20"/>
                <w:color w:val="auto"/>
              </w:rPr>
            </w:pPr>
            <w:r>
              <w:rPr>
                <w:rFonts w:ascii="Arial" w:cs="Arial" w:eastAsia="Arial" w:hAnsi="Arial"/>
                <w:sz w:val="14"/>
                <w:szCs w:val="14"/>
                <w:b w:val="1"/>
                <w:bCs w:val="1"/>
                <w:color w:val="auto"/>
                <w:w w:val="95"/>
              </w:rPr>
              <w:t>Three Months Ended March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1"/>
                <w:szCs w:val="11"/>
                <w:color w:val="auto"/>
              </w:rPr>
            </w:pPr>
          </w:p>
        </w:tc>
        <w:tc>
          <w:tcPr>
            <w:tcW w:w="96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1060" w:type="dxa"/>
            <w:vAlign w:val="bottom"/>
          </w:tcPr>
          <w:p>
            <w:pPr>
              <w:jc w:val="right"/>
              <w:ind w:right="615"/>
              <w:spacing w:after="0" w:line="12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8"/>
        </w:trPr>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jc w:val="center"/>
              <w:ind w:right="95"/>
              <w:spacing w:after="0"/>
              <w:rPr>
                <w:sz w:val="20"/>
                <w:szCs w:val="20"/>
                <w:color w:val="auto"/>
              </w:rPr>
            </w:pPr>
            <w:r>
              <w:rPr>
                <w:rFonts w:ascii="Arial" w:cs="Arial" w:eastAsia="Arial" w:hAnsi="Arial"/>
                <w:sz w:val="13"/>
                <w:szCs w:val="13"/>
                <w:b w:val="1"/>
                <w:bCs w:val="1"/>
                <w:i w:val="1"/>
                <w:iCs w:val="1"/>
                <w:color w:val="auto"/>
                <w:w w:val="85"/>
              </w:rPr>
              <w:t>(Dollars in thousands)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2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(20,801)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34,876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42,507</w:t>
            </w:r>
          </w:p>
        </w:tc>
        <w:tc>
          <w:tcPr>
            <w:tcW w:w="220" w:type="dxa"/>
            <w:vAlign w:val="bottom"/>
          </w:tcPr>
          <w:p>
            <w:pPr>
              <w:spacing w:after="0"/>
              <w:rPr>
                <w:sz w:val="19"/>
                <w:szCs w:val="19"/>
                <w:color w:val="auto"/>
              </w:rPr>
            </w:pP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(7,631)</w:t>
            </w:r>
          </w:p>
        </w:tc>
        <w:tc>
          <w:tcPr>
            <w:tcW w:w="108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9,049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 %</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99,464</w:t>
            </w:r>
          </w:p>
        </w:tc>
        <w:tc>
          <w:tcPr>
            <w:tcW w:w="2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(19,507)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Segment Information in the notes to the consolidated financial statements for additional information on segments and a reconciliation of segment profit to pre-tax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Revenue in the Home segment decreased 57% to $43.7 million in the first quarter of 2023, with segment profit of $15.1 million in the first quarter of 2023, a decrease of 58% from the first quarter of 2022. Despite the sharp decrease in revenue in the first quarter of 2023, our variable marketing model generated a 35% segment margin, which was consistent with the first quarter of 2022. Our home equity business again produced the majority of the Home segment's revenue, growing 2% in the first quarter of 2023 from the first quarter of 2022. Consumer demand to borrow against a near record level of equity in their homes remains strong, with volume for the product increasing 20% in the first quarter of 2023 compared to the first quarter of 2022.</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team is focused on operating efficiently in this difficult period, helping our lending partners improve conversion rates for our customers that are in the market to purchase a home. The 30-year fixed mortgage rate fluctuated between a range of 6.09% and 6.73% during the quarter, according to the Freddie Mac Mortgage Market Survey. Interest rates for new home loans remain at the highest level recorded since 2006. Home affordability, as measured by the National Association of Realtors (“NAR”) Composite Index, remains at the lowest level since it began the benchmark dating back to 1986.</w:t>
      </w:r>
    </w:p>
    <w:p>
      <w:pPr>
        <w:spacing w:after="0" w:line="1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affordability concerns, current homeowners appear patient with regard to moving during the typically busy spring selling season. Existing for-sale home inventory remains exceptionally low at just under 1 million homes in the U.S., according to NAR, up only modestly from the all-time low of 0.85 million homes for sale recorded in January, 2022. Current mortgage rates that are much higher than the average homeowner has today are creating a "lock-in" effect, discouraging those who desire a change in their current living situation from moving. Many homeowners instead are exploring renovation projects to accommodate changes in lifestyle. This phenomenon has likely led to the increased demand we have seen for Home Equity loans, and we have been shifting more of our team and resources to focus on this opportunity.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Consumer segment experienced a continued slowdown in revenue due to stricter underwriting criteria at many of our partners and decreased new loan appetite across multiple product lines. Revenue of $79.7 million in the first quarter of 2023 decreased 21% from the first quarter of 2022, and profit of $34.9 million in the first quarter of 2023 decreased 18% from the first quarter of 2022. Consumer segment margin increased to 44% in the first quarter of 2023 from 42% in the first quarter of 2022 due to a mix-shift towards higher earning products, as well as continued operating discipline as we moved away from underperforming marketing partners, publishers and channels.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Personal loans revenue of $23.6 million decreased 33% in the first quarter of 2023 from the first quarter of 2022 as lending standards continued to tighten, a trend that began to emerge in the second-half of 2022. Close rates have declined at most issuers, leaving more of our customers who are looking for a loan without an offer. We are working to assist this growing pool of borrowers who are being turned down by pairing them with debt relief partners to help improve their credit profile.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Small business revenue also slowed, with revenue decreasing 11% in the first quarter of 2023 from the first quarter of 2022. The causes were similar to those experienced in personal loans. Tighter credit conditions are decreasing conversion rates at our lending partners. We are primarily focused on optimizing our marketing mix to increase the quality of our potential borrowers to drive higher conversion rates, and negotiating better terms from our lending partners as a result of those improvements.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credit card business generated revenue in the first quarter of 2023 of $18.3 million, a decrease of 39% from the first quarter of 2022. At the end of the quarter we had completed our transition to a new tech platform for our credit card business, LightSpeed. This new platform provides faster page load speeds and improved routing flexibility. Initially we expect to see improved throughput for our customers to partner application pages, which should result in improved margins and conversion. The LightSpeed implementation has also allowed us to begin transitioning all of our credit card traffic from the Compare Cards brand to our core LendingTree experience. Over time we expect improved marketing efficiencies and reduced costs from this shift will help stimulate improvement in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of $77.1 million in the first quarter of 2023 decreased 4% from the first quarter of 2022 as our carrier partners remain cautious in their desire for new auto and home policyholders. However, disciplined operating improvements the team implemented over the second-half of last year generated segment profit of $30.2 million in the first quarter of 2023, an increase of 43% from the first quarter of 2022. The realized 39% segment margin in the first quarter of 2023 is a testament to the quality of our Insurance business.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experienced an uptick in partner spend for new auto policies during the quarter, an encouraging sign after six straight quarters of reduced demand. However, loss ratios at major personal auto insurers remain elevated. As such, we do not expect this uptick in demand for new customers from our carrier partners to continue. We are now forecasting segment revenue to decline somewhat from the first quarter of 2023 for the remainder of the year given this development.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Variable Marketing Expense and Variable Marketing Margin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report variable marketing expense and variable marketing margin as supplemental measures to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(loss). Variable marketing margin is defined as revenue less variable marketing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the calculation of variable marketing margin:</w:t>
      </w:r>
    </w:p>
    <w:p>
      <w:pPr>
        <w:spacing w:after="0" w:line="20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13335</wp:posOffset>
            </wp:positionV>
            <wp:extent cx="1654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r>
      <w:tr>
        <w:trPr>
          <w:trHeight w:val="26"/>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6"/>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5"/>
                <w:szCs w:val="15"/>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200,508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283,178</w:t>
            </w:r>
          </w:p>
        </w:tc>
      </w:tr>
      <w:tr>
        <w:trPr>
          <w:trHeight w:val="230"/>
        </w:trPr>
        <w:tc>
          <w:tcPr>
            <w:tcW w:w="8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Variable marketing expense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124,399</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189,076</w:t>
            </w:r>
          </w:p>
        </w:tc>
      </w:tr>
      <w:tr>
        <w:trPr>
          <w:trHeight w:val="230"/>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76,109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94,102</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selling and marketing expense, the most directly comparable GAAP measure, to variable marketing expense:</w:t>
      </w:r>
    </w:p>
    <w:p>
      <w:pPr>
        <w:spacing w:after="0" w:line="19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22225</wp:posOffset>
            </wp:positionV>
            <wp:extent cx="1654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6"/>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6"/>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center"/>
              <w:ind w:left="415"/>
              <w:spacing w:after="0"/>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Pr>
          <w:p>
            <w:pPr>
              <w:spacing w:after="0"/>
              <w:rPr>
                <w:sz w:val="15"/>
                <w:szCs w:val="15"/>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137,111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204,157</w:t>
            </w:r>
          </w:p>
        </w:tc>
      </w:tr>
      <w:tr>
        <w:trPr>
          <w:trHeight w:val="230"/>
        </w:trPr>
        <w:tc>
          <w:tcPr>
            <w:tcW w:w="8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Non-variable selling and marketing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(12,712)</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(15,081)</w:t>
            </w:r>
          </w:p>
        </w:tc>
      </w:tr>
      <w:tr>
        <w:trPr>
          <w:trHeight w:val="230"/>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124,399</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189,076</w:t>
            </w:r>
          </w:p>
        </w:tc>
      </w:tr>
      <w:tr>
        <w:trPr>
          <w:trHeight w:val="459"/>
        </w:trPr>
        <w:tc>
          <w:tcPr>
            <w:tcW w:w="9940" w:type="dxa"/>
            <w:vAlign w:val="bottom"/>
            <w:gridSpan w:val="3"/>
          </w:tcPr>
          <w:p>
            <w:pPr>
              <w:jc w:val="right"/>
              <w:ind w:right="95"/>
              <w:spacing w:after="0"/>
              <w:rPr>
                <w:sz w:val="20"/>
                <w:szCs w:val="20"/>
                <w:color w:val="auto"/>
              </w:rPr>
            </w:pPr>
            <w:r>
              <w:rPr>
                <w:rFonts w:ascii="Arial" w:cs="Arial" w:eastAsia="Arial" w:hAnsi="Arial"/>
                <w:sz w:val="18"/>
                <w:szCs w:val="18"/>
                <w:color w:val="auto"/>
                <w:w w:val="95"/>
              </w:rPr>
              <w:t>The following is a reconciliation of net income (loss), the most directly comparable GAAP measure, to variable marketing margin: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8"/>
        </w:trPr>
        <w:tc>
          <w:tcPr>
            <w:tcW w:w="8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3"/>
          </w:tcPr>
          <w:p>
            <w:pPr>
              <w:jc w:val="center"/>
              <w:ind w:right="212"/>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35"/>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Borders>
              <w:bottom w:val="single" w:sz="8" w:color="auto"/>
            </w:tcBorders>
          </w:tcPr>
          <w:p>
            <w:pPr>
              <w:spacing w:after="0"/>
              <w:rPr>
                <w:sz w:val="16"/>
                <w:szCs w:val="16"/>
                <w:color w:val="auto"/>
              </w:rPr>
            </w:pPr>
          </w:p>
        </w:tc>
      </w:tr>
      <w:tr>
        <w:trPr>
          <w:trHeight w:val="190"/>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5"/>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6"/>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center"/>
              <w:ind w:left="415"/>
              <w:spacing w:after="0"/>
              <w:rPr>
                <w:sz w:val="20"/>
                <w:szCs w:val="20"/>
                <w:color w:val="auto"/>
              </w:rPr>
            </w:pPr>
            <w:r>
              <w:rPr>
                <w:rFonts w:ascii="Arial" w:cs="Arial" w:eastAsia="Arial" w:hAnsi="Arial"/>
                <w:sz w:val="14"/>
                <w:szCs w:val="14"/>
                <w:b w:val="1"/>
                <w:bCs w:val="1"/>
                <w:i w:val="1"/>
                <w:iCs w:val="1"/>
                <w:color w:val="auto"/>
                <w:w w:val="89"/>
              </w:rPr>
              <w:t>(in thousands)</w:t>
            </w:r>
          </w:p>
        </w:tc>
        <w:tc>
          <w:tcPr>
            <w:tcW w:w="820" w:type="dxa"/>
            <w:vAlign w:val="bottom"/>
          </w:tcPr>
          <w:p>
            <w:pPr>
              <w:spacing w:after="0"/>
              <w:rPr>
                <w:sz w:val="15"/>
                <w:szCs w:val="15"/>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13,457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(10,826)</w:t>
            </w:r>
          </w:p>
        </w:tc>
      </w:tr>
      <w:tr>
        <w:trPr>
          <w:trHeight w:val="257"/>
        </w:trPr>
        <w:tc>
          <w:tcPr>
            <w:tcW w:w="8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13,760</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15,561</w:t>
            </w:r>
          </w:p>
        </w:tc>
      </w:tr>
      <w:tr>
        <w:trPr>
          <w:trHeight w:val="230"/>
        </w:trPr>
        <w:tc>
          <w:tcPr>
            <w:tcW w:w="86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12,712</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15,081</w:t>
            </w:r>
          </w:p>
        </w:tc>
      </w:tr>
      <w:tr>
        <w:trPr>
          <w:trHeight w:val="230"/>
        </w:trPr>
        <w:tc>
          <w:tcPr>
            <w:tcW w:w="864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36,683</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35,977</w:t>
            </w: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14,655</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14,052</w:t>
            </w: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4,795</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4,854</w:t>
            </w: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2,049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r>
      <w:tr>
        <w:trPr>
          <w:trHeight w:val="230"/>
        </w:trPr>
        <w:tc>
          <w:tcPr>
            <w:tcW w:w="8640" w:type="dxa"/>
            <w:vAlign w:val="bottom"/>
          </w:tcPr>
          <w:p>
            <w:pPr>
              <w:ind w:left="22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4,454</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3,625</w:t>
            </w: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r>
      <w:tr>
        <w:trPr>
          <w:trHeight w:val="229"/>
        </w:trPr>
        <w:tc>
          <w:tcPr>
            <w:tcW w:w="864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(25,029)</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7,505</w:t>
            </w:r>
          </w:p>
        </w:tc>
      </w:tr>
      <w:tr>
        <w:trPr>
          <w:trHeight w:val="230"/>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(1,834)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30"/>
        </w:trPr>
        <w:tc>
          <w:tcPr>
            <w:tcW w:w="8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395</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382</w:t>
            </w:r>
          </w:p>
        </w:tc>
      </w:tr>
      <w:tr>
        <w:trPr>
          <w:trHeight w:val="223"/>
        </w:trPr>
        <w:tc>
          <w:tcPr>
            <w:tcW w:w="8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76,109</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94,102</w:t>
            </w:r>
          </w:p>
        </w:tc>
      </w:tr>
    </w:tbl>
    <w:p>
      <w:pPr>
        <w:spacing w:after="0" w:line="269" w:lineRule="exact"/>
        <w:rPr>
          <w:sz w:val="20"/>
          <w:szCs w:val="20"/>
          <w:color w:val="auto"/>
        </w:rPr>
      </w:pPr>
    </w:p>
    <w:p>
      <w:pPr>
        <w:ind w:left="400" w:right="100" w:hanging="251"/>
        <w:spacing w:after="0" w:line="235"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report Adjusted EBITDA as net income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one-time items consisted of the franchise tax caused by the equity investment gain in Stash Financial, Inc. in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reconciliation of net income (loss), the most directly comparable GAAP measure, to Adjusted EBITDA.</w:t>
      </w:r>
    </w:p>
    <w:p>
      <w:pPr>
        <w:spacing w:after="0" w:line="149"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r>
      <w:tr>
        <w:trPr>
          <w:trHeight w:val="182"/>
        </w:trPr>
        <w:tc>
          <w:tcPr>
            <w:tcW w:w="8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20" w:type="dxa"/>
            <w:vAlign w:val="bottom"/>
          </w:tcPr>
          <w:p>
            <w:pPr>
              <w:spacing w:after="0"/>
              <w:rPr>
                <w:sz w:val="15"/>
                <w:szCs w:val="15"/>
                <w:color w:val="auto"/>
              </w:rPr>
            </w:pPr>
          </w:p>
        </w:tc>
      </w:tr>
      <w:tr>
        <w:trPr>
          <w:trHeight w:val="20"/>
        </w:trPr>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13,457</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(10,826)</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2,049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w:t>
            </w: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4,795</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4,854</w:t>
            </w: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4,454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r>
      <w:tr>
        <w:trPr>
          <w:trHeight w:val="230"/>
        </w:trPr>
        <w:tc>
          <w:tcPr>
            <w:tcW w:w="864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5,027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11,203</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w:t>
            </w: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Franchise tax caused by equity investment gain</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29"/>
        </w:trPr>
        <w:tc>
          <w:tcPr>
            <w:tcW w:w="8640" w:type="dxa"/>
            <w:vAlign w:val="bottom"/>
          </w:tcPr>
          <w:p>
            <w:pPr>
              <w:ind w:left="140"/>
              <w:spacing w:after="0"/>
              <w:rPr>
                <w:sz w:val="20"/>
                <w:szCs w:val="20"/>
                <w:color w:val="auto"/>
              </w:rPr>
            </w:pPr>
            <w:r>
              <w:rPr>
                <w:rFonts w:ascii="Arial" w:cs="Arial" w:eastAsia="Arial" w:hAnsi="Arial"/>
                <w:sz w:val="18"/>
                <w:szCs w:val="18"/>
                <w:color w:val="auto"/>
              </w:rPr>
              <w:t>Dividend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14,520</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we had $150.1 million of cash and cash equivalents, compared to $298.8 million of cash and cash equivalents as of December 31, 2022.</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March 8, 2023, we repurchased approximately $190.6 million in principal amount of our 2025 Notes, through separate transactions with certain holders of the 2025 Notes, for $156.3 million plus accrued and unpaid interest of approximately $0.1 million. In the first quarter of 2023, we recognized a gain on the extinguishment of $34.3 million, a loss on the write-off of unamortized debt issuance costs of $2.4 million and incurred debt repayment costs of $1.0 million, all of which are included in interest income/expense, net in the consolidated statement of operations and comprehensive income.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 —Debt for additional information.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current economic conditions, including interest rates, inflation, and ongoing COVID-19 pandemic on our liquidity and capital resources.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the Company’s 2022 Notes, including interest. The remaining proceeds of $79.8 million may be used for general corporate purposes and any other purposes not prohibited by the Credit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May 2, 2023, we have outstanding $248.1 million under the Term Loan Facility, a $0.2 million letter of credit under the Revolving Facility and the remaining borrowing capacity under the Revolving Facility is $199.8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are as follows:</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r>
      <w:tr>
        <w:trPr>
          <w:trHeight w:val="182"/>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13,156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(2,452)</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(18,465)</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(159,565)</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(46,098)</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provided by operating activities increased in the first three months of 2023 from the first three months of 2022 primarily due to favorable changes in accounts receivable.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in the first three months of 2023 of $2.5 million consisted of capital expenditures of $2.5 million primarily related to internally developed software.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in the first three months of 2022 of $18.5 million consisted of capital expenditures of $3.5 million primarily related to internally developed software, as well as the purchase of a $15 million equity interest in EarnUp.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Net cash used in financing activities in the first three months of 2023 of $159.6 million consisted primarily of the repurchase of our Convertible Senior Notes for $156.3 million and $1.7 million in withholding taxes paid upon surrender of shares to satisfy obligations on equity awards, net of proceeds from the exercise of stock options.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in the first three months of 2022 of $46.1 million consisted primarily of $43.0 million for the repurchase of our stock and $3.1 million in withholding taxes paid upon surrender of shares to satisfy obligations on equity awards, net of proceeds from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equivalents securities, or our earnings on such cash equivalents, but would have a $2.5 million annual effect on the interest paid on borrowings under the Credit Facility. As of May 2, 2023, the Company had $248.1 million outstanding on its Term Loan Facility, and there were no outstanding borrowings under its Revolving Facility.</w:t>
      </w:r>
    </w:p>
    <w:p>
      <w:pPr>
        <w:spacing w:after="0" w:line="2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2023,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2023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2022 Annual Report and updated that information in Note 13— 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2022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2023, no shares of common stock were repurchased under the stock repurchase program. As of </w:t>
      </w:r>
      <w:r>
        <w:rPr>
          <w:rFonts w:ascii="Arial" w:cs="Arial" w:eastAsia="Arial" w:hAnsi="Arial"/>
          <w:sz w:val="15"/>
          <w:szCs w:val="15"/>
          <w:color w:val="auto"/>
        </w:rPr>
        <w:t>April 26, 2023</w:t>
      </w:r>
      <w:r>
        <w:rPr>
          <w:rFonts w:ascii="Arial" w:cs="Arial" w:eastAsia="Arial" w:hAnsi="Arial"/>
          <w:sz w:val="16"/>
          <w:szCs w:val="16"/>
          <w:color w:val="auto"/>
        </w:rPr>
        <w:t>, approximately $96.7 million remains authorized for share repurchase.</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the LendingTree Seventh Amended and Restated 2008 Stock Plan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2023, 52,098 shares were purchased related to these obligations under the LendingTree Seventh Amended and Restated 2008 Stock Plan. The withholding of those shares does not affect the dollar amount or number of shares that may be purchased under the stock repurchase program described above.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9"/>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540" w:type="dxa"/>
            <w:vAlign w:val="bottom"/>
          </w:tcPr>
          <w:p>
            <w:pPr>
              <w:jc w:val="center"/>
              <w:ind w:left="188"/>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4"/>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03"/>
        </w:trPr>
        <w:tc>
          <w:tcPr>
            <w:tcW w:w="3860" w:type="dxa"/>
            <w:vAlign w:val="bottom"/>
            <w:gridSpan w:val="2"/>
            <w:vMerge w:val="continue"/>
          </w:tcPr>
          <w:p>
            <w:pPr>
              <w:spacing w:after="0"/>
              <w:rPr>
                <w:sz w:val="17"/>
                <w:szCs w:val="17"/>
                <w:color w:val="auto"/>
              </w:rPr>
            </w:pPr>
          </w:p>
        </w:tc>
        <w:tc>
          <w:tcPr>
            <w:tcW w:w="1800" w:type="dxa"/>
            <w:vAlign w:val="bottom"/>
            <w:gridSpan w:val="2"/>
          </w:tcPr>
          <w:p>
            <w:pPr>
              <w:jc w:val="center"/>
              <w:ind w:right="80"/>
              <w:spacing w:after="0" w:line="202"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54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6"/>
        </w:trPr>
        <w:tc>
          <w:tcPr>
            <w:tcW w:w="3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1/1/2023 - 1/31/2023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2/1/2023 - 2/28/2023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3/1/2023 - 3/31/2023</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52,098</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96,655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63" w:lineRule="auto"/>
        <w:tabs>
          <w:tab w:leader="none" w:pos="654"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January 2023, February 2023 and March 2023, 1,739 shares, 6,198 shares and 44,161 shares, respectively (totaling 52,098 shares), were purchased to satisfy federal and state withholding obligations of our employees upon the settlement of restricted stock units, all in accordance with our Seventh Amended and Restated 2008 Stock Plan, as described above.</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jc w:val="right"/>
              <w:ind w:right="331"/>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6"/>
                <w:szCs w:val="16"/>
                <w:color w:val="auto"/>
              </w:rPr>
            </w:pPr>
          </w:p>
        </w:tc>
        <w:tc>
          <w:tcPr>
            <w:tcW w:w="6540" w:type="dxa"/>
            <w:vAlign w:val="bottom"/>
            <w:gridSpan w:val="8"/>
          </w:tcPr>
          <w:p>
            <w:pPr>
              <w:ind w:left="258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Pr>
          <w:p>
            <w:pPr>
              <w:ind w:left="1220"/>
              <w:spacing w:after="0"/>
              <w:rPr>
                <w:sz w:val="20"/>
                <w:szCs w:val="20"/>
                <w:color w:val="auto"/>
              </w:rPr>
            </w:pPr>
            <w:r>
              <w:rPr>
                <w:rFonts w:ascii="Arial" w:cs="Arial" w:eastAsia="Arial" w:hAnsi="Arial"/>
                <w:sz w:val="14"/>
                <w:szCs w:val="14"/>
                <w:b w:val="1"/>
                <w:bCs w:val="1"/>
                <w:color w:val="auto"/>
              </w:rPr>
              <w:t>Location</w:t>
            </w:r>
          </w:p>
        </w:tc>
      </w:tr>
      <w:tr>
        <w:trPr>
          <w:trHeight w:val="26"/>
        </w:trPr>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4"/>
        </w:trPr>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w:t>
            </w:r>
          </w:p>
        </w:tc>
        <w:tc>
          <w:tcPr>
            <w:tcW w:w="7140" w:type="dxa"/>
            <w:vAlign w:val="bottom"/>
            <w:gridSpan w:val="9"/>
            <w:shd w:val="clear" w:color="auto" w:fill="CCEEFF"/>
          </w:tcPr>
          <w:p>
            <w:pPr>
              <w:spacing w:after="0" w:line="189" w:lineRule="exact"/>
              <w:rPr>
                <w:rFonts w:ascii="Arial" w:cs="Arial" w:eastAsia="Arial" w:hAnsi="Arial"/>
                <w:sz w:val="18"/>
                <w:szCs w:val="18"/>
                <w:color w:val="0000FF"/>
              </w:rPr>
            </w:pPr>
            <w:hyperlink r:id="rId59">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37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August 25,</w:t>
            </w:r>
          </w:p>
        </w:tc>
      </w:tr>
      <w:tr>
        <w:trPr>
          <w:trHeight w:val="243"/>
        </w:trPr>
        <w:tc>
          <w:tcPr>
            <w:tcW w:w="1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w:t>
            </w:r>
          </w:p>
        </w:tc>
        <w:tc>
          <w:tcPr>
            <w:tcW w:w="7140" w:type="dxa"/>
            <w:vAlign w:val="bottom"/>
            <w:gridSpan w:val="9"/>
          </w:tcPr>
          <w:p>
            <w:pPr>
              <w:spacing w:after="0" w:line="189" w:lineRule="exact"/>
              <w:rPr>
                <w:rFonts w:ascii="Arial" w:cs="Arial" w:eastAsia="Arial" w:hAnsi="Arial"/>
                <w:sz w:val="18"/>
                <w:szCs w:val="18"/>
                <w:color w:val="0000FF"/>
              </w:rPr>
            </w:pPr>
            <w:hyperlink r:id="rId60">
              <w:r>
                <w:rPr>
                  <w:rFonts w:ascii="Arial" w:cs="Arial" w:eastAsia="Arial" w:hAnsi="Arial"/>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3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Arial" w:cs="Arial" w:eastAsia="Arial" w:hAnsi="Arial"/>
                <w:sz w:val="16"/>
                <w:szCs w:val="16"/>
                <w:color w:val="auto"/>
              </w:rPr>
              <w:t>Report on Form 8-K filed November</w:t>
            </w:r>
          </w:p>
        </w:tc>
      </w:tr>
      <w:tr>
        <w:trPr>
          <w:trHeight w:val="237"/>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15, 2017</w:t>
            </w:r>
          </w:p>
        </w:tc>
      </w:tr>
      <w:tr>
        <w:trPr>
          <w:trHeight w:val="195"/>
        </w:trPr>
        <w:tc>
          <w:tcPr>
            <w:tcW w:w="1160" w:type="dxa"/>
            <w:vAlign w:val="bottom"/>
            <w:shd w:val="clear" w:color="auto" w:fill="CCEEFF"/>
          </w:tcPr>
          <w:p>
            <w:pPr>
              <w:jc w:val="right"/>
              <w:ind w:right="111"/>
              <w:spacing w:after="0" w:line="195" w:lineRule="exact"/>
              <w:rPr>
                <w:sz w:val="20"/>
                <w:szCs w:val="20"/>
                <w:color w:val="auto"/>
              </w:rPr>
            </w:pPr>
            <w:r>
              <w:rPr>
                <w:rFonts w:ascii="Arial" w:cs="Arial" w:eastAsia="Arial" w:hAnsi="Arial"/>
                <w:sz w:val="18"/>
                <w:szCs w:val="18"/>
                <w:color w:val="auto"/>
              </w:rPr>
              <w:t>31.1</w:t>
            </w:r>
          </w:p>
        </w:tc>
        <w:tc>
          <w:tcPr>
            <w:tcW w:w="7140" w:type="dxa"/>
            <w:vAlign w:val="bottom"/>
            <w:gridSpan w:val="9"/>
            <w:shd w:val="clear" w:color="auto" w:fill="CCEEFF"/>
          </w:tcPr>
          <w:p>
            <w:pPr>
              <w:spacing w:after="0" w:line="195" w:lineRule="exact"/>
              <w:rPr>
                <w:sz w:val="20"/>
                <w:szCs w:val="20"/>
                <w:color w:val="auto"/>
              </w:rPr>
            </w:pPr>
            <w:r>
              <w:rPr>
                <w:rFonts w:ascii="Arial" w:cs="Arial" w:eastAsia="Arial" w:hAnsi="Arial"/>
                <w:sz w:val="18"/>
                <w:szCs w:val="18"/>
                <w:color w:val="0000FF"/>
                <w:w w:val="95"/>
              </w:rPr>
              <w:t>Certification of the Chief Executive Officer pursuant to Rule 13a-14(a) or Rule 15d-14(a) of the</w:t>
            </w:r>
          </w:p>
        </w:tc>
        <w:tc>
          <w:tcPr>
            <w:tcW w:w="294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tcBorders>
              <w:top w:val="single" w:sz="8" w:color="CCEEFF"/>
              <w:bottom w:val="single" w:sz="8" w:color="CCEEFF"/>
            </w:tcBorders>
            <w:shd w:val="clear" w:color="auto" w:fill="CCEEFF"/>
          </w:tcPr>
          <w:p>
            <w:pPr>
              <w:spacing w:after="0"/>
              <w:rPr>
                <w:sz w:val="13"/>
                <w:szCs w:val="13"/>
                <w:color w:val="auto"/>
              </w:rPr>
            </w:pPr>
          </w:p>
        </w:tc>
        <w:tc>
          <w:tcPr>
            <w:tcW w:w="7100" w:type="dxa"/>
            <w:vAlign w:val="bottom"/>
            <w:tcBorders>
              <w:top w:val="single" w:sz="8" w:color="0000FF"/>
              <w:bottom w:val="single" w:sz="8" w:color="0000FF"/>
            </w:tcBorders>
            <w:gridSpan w:val="7"/>
            <w:shd w:val="clear" w:color="auto" w:fill="CCEEFF"/>
          </w:tcPr>
          <w:p>
            <w:pPr>
              <w:spacing w:after="0" w:line="156" w:lineRule="exact"/>
              <w:rPr>
                <w:sz w:val="20"/>
                <w:szCs w:val="20"/>
                <w:color w:val="auto"/>
              </w:rPr>
            </w:pPr>
            <w:r>
              <w:rPr>
                <w:rFonts w:ascii="Arial" w:cs="Arial" w:eastAsia="Arial" w:hAnsi="Arial"/>
                <w:sz w:val="18"/>
                <w:szCs w:val="18"/>
                <w:color w:val="0000FF"/>
                <w:w w:val="92"/>
              </w:rPr>
              <w:t>Securities Exchange Act of 1934 as adopted pursuant to Section 302 of the Sarbanes-Oxley Act</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0000FF"/>
            </w:tcBorders>
            <w:shd w:val="clear" w:color="auto" w:fill="CCEEFF"/>
          </w:tcPr>
          <w:p>
            <w:pPr>
              <w:spacing w:after="0" w:line="156" w:lineRule="exact"/>
              <w:rPr>
                <w:sz w:val="20"/>
                <w:szCs w:val="20"/>
                <w:color w:val="auto"/>
              </w:rPr>
            </w:pPr>
            <w:r>
              <w:rPr>
                <w:rFonts w:ascii="Arial" w:cs="Arial" w:eastAsia="Arial" w:hAnsi="Arial"/>
                <w:sz w:val="18"/>
                <w:szCs w:val="18"/>
                <w:color w:val="0000FF"/>
                <w:w w:val="89"/>
              </w:rPr>
              <w:t>of 2002.</w:t>
            </w:r>
          </w:p>
        </w:tc>
        <w:tc>
          <w:tcPr>
            <w:tcW w:w="6520" w:type="dxa"/>
            <w:vAlign w:val="bottom"/>
            <w:tcBorders>
              <w:bottom w:val="single" w:sz="8" w:color="CCEEFF"/>
            </w:tcBorders>
            <w:gridSpan w:val="7"/>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16"/>
                <w:szCs w:val="16"/>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95"/>
              </w:rPr>
              <w:t>Certification of the Chief Financial Officer pursuant to Rule 13a-14(a) or Rule 15d-14(a) of the</w:t>
            </w:r>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140" w:type="dxa"/>
            <w:vAlign w:val="bottom"/>
            <w:gridSpan w:val="9"/>
          </w:tcPr>
          <w:p>
            <w:pPr>
              <w:spacing w:after="0" w:line="156" w:lineRule="exact"/>
              <w:rPr>
                <w:sz w:val="20"/>
                <w:szCs w:val="20"/>
                <w:color w:val="auto"/>
              </w:rPr>
            </w:pPr>
            <w:r>
              <w:rPr>
                <w:rFonts w:ascii="Arial" w:cs="Arial" w:eastAsia="Arial" w:hAnsi="Arial"/>
                <w:sz w:val="18"/>
                <w:szCs w:val="18"/>
                <w:color w:val="0000FF"/>
                <w:w w:val="93"/>
              </w:rPr>
              <w:t>Securities Exchange Act of 1934 as adopted pursuant to Section 302 of the Sarbanes-Oxley Act</w:t>
            </w: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32.1</w:t>
            </w:r>
          </w:p>
        </w:tc>
        <w:tc>
          <w:tcPr>
            <w:tcW w:w="714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the Chief Executive Officer pursuant to 18 U.S.C. Section 1350 as adopted</w:t>
            </w:r>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7060" w:type="dxa"/>
            <w:vAlign w:val="bottom"/>
            <w:tcBorders>
              <w:top w:val="single" w:sz="8" w:color="0000FF"/>
            </w:tcBorders>
            <w:gridSpan w:val="5"/>
            <w:shd w:val="clear" w:color="auto" w:fill="CCEEFF"/>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4"/>
        </w:trPr>
        <w:tc>
          <w:tcPr>
            <w:tcW w:w="1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7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32.2</w:t>
            </w:r>
          </w:p>
        </w:tc>
        <w:tc>
          <w:tcPr>
            <w:tcW w:w="7140" w:type="dxa"/>
            <w:vAlign w:val="bottom"/>
            <w:gridSpan w:val="9"/>
          </w:tcPr>
          <w:p>
            <w:pPr>
              <w:spacing w:after="0" w:line="189" w:lineRule="exact"/>
              <w:rPr>
                <w:sz w:val="20"/>
                <w:szCs w:val="20"/>
                <w:color w:val="auto"/>
              </w:rPr>
            </w:pPr>
            <w:r>
              <w:rPr>
                <w:rFonts w:ascii="Arial" w:cs="Arial" w:eastAsia="Arial" w:hAnsi="Arial"/>
                <w:sz w:val="18"/>
                <w:szCs w:val="18"/>
                <w:color w:val="0000FF"/>
              </w:rPr>
              <w:t>Certification of the Chief Financial Officer pursuant to 18 U.S.C. Section 1350 as adopted</w:t>
            </w:r>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0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pursuant to Section 906 of the Sarbanes-Oxley Act of 2002.</w:t>
            </w: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7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5"/>
        </w:trPr>
        <w:tc>
          <w:tcPr>
            <w:tcW w:w="1160" w:type="dxa"/>
            <w:vAlign w:val="bottom"/>
            <w:shd w:val="clear" w:color="auto" w:fill="CCEEFF"/>
          </w:tcPr>
          <w:p>
            <w:pPr>
              <w:jc w:val="right"/>
              <w:ind w:right="51"/>
              <w:spacing w:after="0" w:line="176" w:lineRule="exact"/>
              <w:rPr>
                <w:sz w:val="20"/>
                <w:szCs w:val="20"/>
                <w:color w:val="auto"/>
              </w:rPr>
            </w:pPr>
            <w:r>
              <w:rPr>
                <w:rFonts w:ascii="Arial" w:cs="Arial" w:eastAsia="Arial" w:hAnsi="Arial"/>
                <w:sz w:val="18"/>
                <w:szCs w:val="18"/>
                <w:color w:val="auto"/>
              </w:rPr>
              <w:t>101.INS</w:t>
            </w:r>
          </w:p>
        </w:tc>
        <w:tc>
          <w:tcPr>
            <w:tcW w:w="714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w:t>
            </w:r>
          </w:p>
        </w:tc>
      </w:tr>
      <w:tr>
        <w:trPr>
          <w:trHeight w:val="243"/>
        </w:trPr>
        <w:tc>
          <w:tcPr>
            <w:tcW w:w="1160" w:type="dxa"/>
            <w:vAlign w:val="bottom"/>
            <w:shd w:val="clear" w:color="auto" w:fill="CCEEFF"/>
          </w:tcPr>
          <w:p>
            <w:pPr>
              <w:spacing w:after="0"/>
              <w:rPr>
                <w:sz w:val="21"/>
                <w:szCs w:val="21"/>
                <w:color w:val="auto"/>
              </w:rPr>
            </w:pP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shd w:val="clear" w:color="auto" w:fill="CCEEFF"/>
          </w:tcPr>
          <w:p>
            <w:pPr>
              <w:spacing w:after="0"/>
              <w:rPr>
                <w:sz w:val="21"/>
                <w:szCs w:val="21"/>
                <w:color w:val="auto"/>
              </w:rPr>
            </w:pPr>
          </w:p>
        </w:tc>
      </w:tr>
      <w:tr>
        <w:trPr>
          <w:trHeight w:val="229"/>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101.SCH</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101.CAL</w:t>
            </w: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101.DEF</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101.LAB</w:t>
            </w:r>
          </w:p>
        </w:tc>
        <w:tc>
          <w:tcPr>
            <w:tcW w:w="71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101.PRE</w:t>
            </w:r>
          </w:p>
        </w:tc>
        <w:tc>
          <w:tcPr>
            <w:tcW w:w="714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60" w:hanging="414"/>
        <w:spacing w:after="0" w:line="220"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6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8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3" w:lineRule="auto"/>
        <w:tabs>
          <w:tab w:leader="none" w:pos="234"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16" w:lineRule="exact"/>
        <w:rPr>
          <w:sz w:val="20"/>
          <w:szCs w:val="20"/>
          <w:color w:val="auto"/>
        </w:rPr>
      </w:pPr>
    </w:p>
    <w:p>
      <w:pPr>
        <w:jc w:val="both"/>
        <w:ind w:firstLine="8"/>
        <w:spacing w:after="0" w:line="286"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3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2023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14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0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2023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2023</w:t>
      </w:r>
    </w:p>
    <w:p>
      <w:pPr>
        <w:spacing w:after="0" w:line="14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8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49" w:lineRule="exact"/>
        <w:rPr>
          <w:sz w:val="20"/>
          <w:szCs w:val="20"/>
          <w:color w:val="auto"/>
        </w:rPr>
      </w:pPr>
    </w:p>
    <w:p>
      <w:pPr>
        <w:ind w:left="340" w:right="80" w:hanging="332"/>
        <w:spacing w:after="0" w:line="342" w:lineRule="auto"/>
        <w:tabs>
          <w:tab w:leader="none" w:pos="3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2023 of LendingTree, Inc. (the “Report”) which this statement accompanies fully complies with the requirements of Section 13(a) or 15(d) of the Securities Exchange Act of 1934 (15 U.S.C. 78m or 78o(d)); and</w:t>
      </w:r>
    </w:p>
    <w:p>
      <w:pPr>
        <w:spacing w:after="0" w:line="2" w:lineRule="exact"/>
        <w:rPr>
          <w:rFonts w:ascii="Arial" w:cs="Arial" w:eastAsia="Arial" w:hAnsi="Arial"/>
          <w:sz w:val="16"/>
          <w:szCs w:val="16"/>
          <w:color w:val="auto"/>
        </w:rPr>
      </w:pPr>
    </w:p>
    <w:p>
      <w:pPr>
        <w:ind w:right="240" w:firstLine="8"/>
        <w:spacing w:after="0" w:line="371"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2, 2023</w:t>
      </w:r>
    </w:p>
    <w:p>
      <w:pPr>
        <w:spacing w:after="0" w:line="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36"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 Trent Ziegler, certify, pursuant to 18 U.S.C. Section 1350, as adopted pursuant to Section 906 of the Sarbanes-Oxley Act of 2002, that to my knowledge:</w:t>
      </w:r>
    </w:p>
    <w:p>
      <w:pPr>
        <w:spacing w:after="0" w:line="127" w:lineRule="exact"/>
        <w:rPr>
          <w:sz w:val="20"/>
          <w:szCs w:val="20"/>
          <w:color w:val="auto"/>
        </w:rPr>
      </w:pPr>
    </w:p>
    <w:p>
      <w:pPr>
        <w:ind w:left="340" w:right="80" w:hanging="332"/>
        <w:spacing w:after="0" w:line="342"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2023 of LendingTree, Inc. (the “Report”) which this statement accompanies fully complies with the requirements of Section 13(a) or 15(d) of the Securities Exchange Act of 1934 (15 U.S.C. 78m or 78o(d)); and</w:t>
      </w:r>
    </w:p>
    <w:p>
      <w:pPr>
        <w:spacing w:after="0" w:line="2" w:lineRule="exact"/>
        <w:rPr>
          <w:rFonts w:ascii="Arial" w:cs="Arial" w:eastAsia="Arial" w:hAnsi="Arial"/>
          <w:sz w:val="16"/>
          <w:szCs w:val="16"/>
          <w:color w:val="auto"/>
        </w:rPr>
      </w:pPr>
    </w:p>
    <w:p>
      <w:pPr>
        <w:ind w:right="240" w:firstLine="8"/>
        <w:spacing w:after="0" w:line="371"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2, 2023</w:t>
      </w:r>
    </w:p>
    <w:p>
      <w:pPr>
        <w:spacing w:after="0" w:line="8"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0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9" Type="http://schemas.openxmlformats.org/officeDocument/2006/relationships/hyperlink" Target="http://www.sec.gov/Archives/edgar/data/1434621/000110465908054882/a08-22125_1ex3d1.htm" TargetMode="External"/><Relationship Id="rId60"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2023-05-03T05:25:12Z</dcterms:created>
  <dcterms:modified xsi:type="dcterms:W3CDTF">2023-05-03T05:25:12Z</dcterms:modified>
</cp:coreProperties>
</file>