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-180975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187325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920" w:right="1360" w:hanging="3547"/>
        <w:spacing w:after="0" w:line="318" w:lineRule="auto"/>
        <w:tabs>
          <w:tab w:leader="none" w:pos="9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2017</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920" w:hanging="511"/>
        <w:spacing w:after="0"/>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4" w:lineRule="exact"/>
        <w:rPr>
          <w:sz w:val="24"/>
          <w:szCs w:val="24"/>
          <w:color w:val="auto"/>
        </w:rPr>
      </w:pPr>
    </w:p>
    <w:p>
      <w:pPr>
        <w:ind w:left="3700"/>
        <w:spacing w:after="0"/>
        <w:tabs>
          <w:tab w:leader="none" w:pos="68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106680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338455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157"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6"/>
          <w:szCs w:val="16"/>
          <w:b w:val="1"/>
          <w:bCs w:val="1"/>
          <w:color w:val="auto"/>
        </w:rPr>
        <w:t>26-2414818</w:t>
      </w:r>
    </w:p>
    <w:p>
      <w:pPr>
        <w:spacing w:after="0" w:line="28"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7" w:lineRule="exact"/>
        <w:rPr>
          <w:sz w:val="24"/>
          <w:szCs w:val="24"/>
          <w:color w:val="auto"/>
        </w:rPr>
      </w:pPr>
    </w:p>
    <w:p>
      <w:pPr>
        <w:sectPr>
          <w:pgSz w:w="11900" w:h="16838" w:orient="portrait"/>
          <w:cols w:equalWidth="0" w:num="2">
            <w:col w:w="7040" w:space="720"/>
            <w:col w:w="3660"/>
          </w:cols>
          <w:pgMar w:left="240" w:top="229" w:right="2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11115 Rushmore Drive, Charlotte, North Carolina 28277</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541-5351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92710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3" w:lineRule="exact"/>
        <w:rPr>
          <w:sz w:val="24"/>
          <w:szCs w:val="24"/>
          <w:color w:val="auto"/>
        </w:rPr>
      </w:pPr>
    </w:p>
    <w:p>
      <w:pPr>
        <w:jc w:val="both"/>
        <w:ind w:firstLine="205"/>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71" w:lineRule="exact"/>
        <w:rPr>
          <w:sz w:val="24"/>
          <w:szCs w:val="24"/>
          <w:color w:val="auto"/>
        </w:rPr>
      </w:pPr>
    </w:p>
    <w:p>
      <w:pPr>
        <w:jc w:val="both"/>
        <w:ind w:firstLine="162"/>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o</w:t>
      </w:r>
    </w:p>
    <w:p>
      <w:pPr>
        <w:spacing w:after="0" w:line="71" w:lineRule="exact"/>
        <w:rPr>
          <w:sz w:val="24"/>
          <w:szCs w:val="24"/>
          <w:color w:val="auto"/>
        </w:rPr>
      </w:pPr>
    </w:p>
    <w:p>
      <w:pPr>
        <w:jc w:val="both"/>
        <w:ind w:firstLine="162"/>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12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color w:val="auto"/>
        </w:rPr>
        <w:t>Large accelerated filer 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 x</w:t>
      </w:r>
    </w:p>
    <w:p>
      <w:pPr>
        <w:spacing w:after="0" w:line="61" w:lineRule="exact"/>
        <w:rPr>
          <w:sz w:val="24"/>
          <w:szCs w:val="24"/>
          <w:color w:val="auto"/>
        </w:rPr>
      </w:pPr>
    </w:p>
    <w:p>
      <w:pPr>
        <w:sectPr>
          <w:pgSz w:w="11900" w:h="16838" w:orient="portrait"/>
          <w:cols w:equalWidth="0" w:num="2">
            <w:col w:w="7020" w:space="720"/>
            <w:col w:w="3680"/>
          </w:cols>
          <w:pgMar w:left="240" w:top="229" w:right="2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60" w:lineRule="exact"/>
        <w:rPr>
          <w:sz w:val="24"/>
          <w:szCs w:val="24"/>
          <w:color w:val="auto"/>
        </w:rPr>
      </w:pPr>
    </w:p>
    <w:p>
      <w:pPr>
        <w:sectPr>
          <w:pgSz w:w="11900" w:h="16838" w:orient="portrait"/>
          <w:cols w:equalWidth="0" w:num="2">
            <w:col w:w="6640" w:space="720"/>
            <w:col w:w="4060"/>
          </w:cols>
          <w:pgMar w:left="240" w:top="229" w:right="2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56" w:lineRule="exact"/>
        <w:rPr>
          <w:sz w:val="24"/>
          <w:szCs w:val="24"/>
          <w:color w:val="auto"/>
        </w:rPr>
      </w:pPr>
    </w:p>
    <w:p>
      <w:pPr>
        <w:ind w:left="7360"/>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358" w:lineRule="exact"/>
        <w:rPr>
          <w:sz w:val="24"/>
          <w:szCs w:val="24"/>
          <w:color w:val="auto"/>
        </w:rPr>
      </w:pPr>
    </w:p>
    <w:p>
      <w:pPr>
        <w:ind w:firstLine="162"/>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7"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4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As of July 24, 2017, there were 11,998,534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9"/>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Times New Roman" w:cs="Times New Roman" w:eastAsia="Times New Roman" w:hAnsi="Times New Roman"/>
                <w:sz w:val="18"/>
                <w:szCs w:val="18"/>
                <w:b w:val="1"/>
                <w:bCs w:val="1"/>
                <w:color w:val="0000FF"/>
                <w:w w:val="99"/>
              </w:rPr>
            </w:pPr>
            <w:hyperlink w:anchor="page3">
              <w:r>
                <w:rPr>
                  <w:rFonts w:ascii="Times New Roman" w:cs="Times New Roman" w:eastAsia="Times New Roman" w:hAnsi="Times New Roman"/>
                  <w:sz w:val="18"/>
                  <w:szCs w:val="18"/>
                  <w:b w:val="1"/>
                  <w:bCs w:val="1"/>
                  <w:color w:val="0000FF"/>
                  <w:w w:val="99"/>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FF"/>
                <w:w w:val="96"/>
              </w:rPr>
            </w:pPr>
            <w:hyperlink w:anchor="page3">
              <w:r>
                <w:rPr>
                  <w:rFonts w:ascii="Times New Roman" w:cs="Times New Roman" w:eastAsia="Times New Roman" w:hAnsi="Times New Roman"/>
                  <w:sz w:val="18"/>
                  <w:szCs w:val="18"/>
                  <w:b w:val="1"/>
                  <w:bCs w:val="1"/>
                  <w:color w:val="0000FF"/>
                  <w:w w:val="96"/>
                </w:rPr>
                <w:t>Item 1.</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Times New Roman" w:cs="Times New Roman" w:eastAsia="Times New Roman" w:hAnsi="Times New Roman"/>
                <w:sz w:val="18"/>
                <w:szCs w:val="18"/>
                <w:b w:val="1"/>
                <w:bCs w:val="1"/>
                <w:i w:val="1"/>
                <w:iCs w:val="1"/>
                <w:color w:val="0000FF"/>
              </w:rPr>
            </w:pPr>
            <w:hyperlink w:anchor="page3">
              <w:r>
                <w:rPr>
                  <w:rFonts w:ascii="Times New Roman" w:cs="Times New Roman" w:eastAsia="Times New Roman" w:hAnsi="Times New Roman"/>
                  <w:sz w:val="18"/>
                  <w:szCs w:val="18"/>
                  <w:b w:val="1"/>
                  <w:bCs w:val="1"/>
                  <w:i w:val="1"/>
                  <w:iCs w:val="1"/>
                  <w:color w:val="0000FF"/>
                </w:rPr>
                <w:t>Financial Statements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FF"/>
                <w:w w:val="96"/>
              </w:rPr>
            </w:pPr>
            <w:hyperlink w:anchor="page28">
              <w:r>
                <w:rPr>
                  <w:rFonts w:ascii="Times New Roman" w:cs="Times New Roman" w:eastAsia="Times New Roman" w:hAnsi="Times New Roman"/>
                  <w:sz w:val="18"/>
                  <w:szCs w:val="18"/>
                  <w:b w:val="1"/>
                  <w:bCs w:val="1"/>
                  <w:color w:val="0000FF"/>
                  <w:w w:val="96"/>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50"/>
        </w:trPr>
        <w:tc>
          <w:tcPr>
            <w:tcW w:w="54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b w:val="1"/>
                <w:bCs w:val="1"/>
                <w:color w:val="0000FF"/>
                <w:w w:val="96"/>
              </w:rPr>
            </w:pPr>
            <w:hyperlink w:anchor="page37">
              <w:r>
                <w:rPr>
                  <w:rFonts w:ascii="Times New Roman" w:cs="Times New Roman" w:eastAsia="Times New Roman" w:hAnsi="Times New Roman"/>
                  <w:sz w:val="18"/>
                  <w:szCs w:val="18"/>
                  <w:b w:val="1"/>
                  <w:bCs w:val="1"/>
                  <w:color w:val="0000FF"/>
                  <w:w w:val="96"/>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b w:val="1"/>
                <w:bCs w:val="1"/>
                <w:i w:val="1"/>
                <w:iCs w:val="1"/>
                <w:color w:val="0000FF"/>
                <w:w w:val="99"/>
              </w:rPr>
            </w:pPr>
            <w:hyperlink w:anchor="page37">
              <w:r>
                <w:rPr>
                  <w:rFonts w:ascii="Times New Roman" w:cs="Times New Roman" w:eastAsia="Times New Roman" w:hAnsi="Times New Roman"/>
                  <w:sz w:val="18"/>
                  <w:szCs w:val="18"/>
                  <w:b w:val="1"/>
                  <w:bCs w:val="1"/>
                  <w:i w:val="1"/>
                  <w:iCs w:val="1"/>
                  <w:color w:val="0000FF"/>
                  <w:w w:val="99"/>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37</w:t>
              </w:r>
            </w:hyperlink>
          </w:p>
        </w:tc>
      </w:tr>
      <w:tr>
        <w:trPr>
          <w:trHeight w:val="250"/>
        </w:trPr>
        <w:tc>
          <w:tcPr>
            <w:tcW w:w="660" w:type="dxa"/>
            <w:vAlign w:val="bottom"/>
            <w:gridSpan w:val="2"/>
          </w:tcPr>
          <w:p>
            <w:pPr>
              <w:spacing w:after="0"/>
              <w:rPr>
                <w:rFonts w:ascii="Times New Roman" w:cs="Times New Roman" w:eastAsia="Times New Roman" w:hAnsi="Times New Roman"/>
                <w:sz w:val="18"/>
                <w:szCs w:val="18"/>
                <w:b w:val="1"/>
                <w:bCs w:val="1"/>
                <w:color w:val="0000FF"/>
              </w:rPr>
            </w:pPr>
            <w:hyperlink w:anchor="page37">
              <w:r>
                <w:rPr>
                  <w:rFonts w:ascii="Times New Roman" w:cs="Times New Roman" w:eastAsia="Times New Roman" w:hAnsi="Times New Roman"/>
                  <w:sz w:val="18"/>
                  <w:szCs w:val="18"/>
                  <w:b w:val="1"/>
                  <w:bCs w:val="1"/>
                  <w:color w:val="0000FF"/>
                </w:rPr>
                <w:t>Item 4.</w:t>
              </w:r>
            </w:hyperlink>
          </w:p>
        </w:tc>
        <w:tc>
          <w:tcPr>
            <w:tcW w:w="9680" w:type="dxa"/>
            <w:vAlign w:val="bottom"/>
            <w:gridSpan w:val="14"/>
          </w:tcPr>
          <w:p>
            <w:pPr>
              <w:ind w:left="820"/>
              <w:spacing w:after="0"/>
              <w:rPr>
                <w:rFonts w:ascii="Times New Roman" w:cs="Times New Roman" w:eastAsia="Times New Roman" w:hAnsi="Times New Roman"/>
                <w:sz w:val="18"/>
                <w:szCs w:val="18"/>
                <w:b w:val="1"/>
                <w:bCs w:val="1"/>
                <w:i w:val="1"/>
                <w:iCs w:val="1"/>
                <w:color w:val="0000FF"/>
              </w:rPr>
            </w:pPr>
            <w:hyperlink w:anchor="page37">
              <w:r>
                <w:rPr>
                  <w:rFonts w:ascii="Times New Roman" w:cs="Times New Roman" w:eastAsia="Times New Roman" w:hAnsi="Times New Roman"/>
                  <w:sz w:val="18"/>
                  <w:szCs w:val="18"/>
                  <w:b w:val="1"/>
                  <w:bCs w:val="1"/>
                  <w:i w:val="1"/>
                  <w:iCs w:val="1"/>
                  <w:color w:val="0000FF"/>
                </w:rPr>
                <w:t>Controls and Procedures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37</w:t>
              </w:r>
            </w:hyperlink>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Times New Roman" w:cs="Times New Roman" w:eastAsia="Times New Roman" w:hAnsi="Times New Roman"/>
                <w:sz w:val="18"/>
                <w:szCs w:val="18"/>
                <w:b w:val="1"/>
                <w:bCs w:val="1"/>
                <w:color w:val="0000FF"/>
                <w:w w:val="98"/>
              </w:rPr>
            </w:pPr>
            <w:hyperlink w:anchor="page38">
              <w:r>
                <w:rPr>
                  <w:rFonts w:ascii="Times New Roman" w:cs="Times New Roman" w:eastAsia="Times New Roman" w:hAnsi="Times New Roman"/>
                  <w:sz w:val="18"/>
                  <w:szCs w:val="18"/>
                  <w:b w:val="1"/>
                  <w:bCs w:val="1"/>
                  <w:color w:val="0000FF"/>
                  <w:w w:val="98"/>
                </w:rPr>
                <w:t>PART II—OTHER INFORMATION</w:t>
              </w:r>
            </w:hyperlink>
          </w:p>
        </w:tc>
        <w:tc>
          <w:tcPr>
            <w:tcW w:w="1020" w:type="dxa"/>
            <w:vAlign w:val="bottom"/>
          </w:tcPr>
          <w:p>
            <w:pPr>
              <w:spacing w:after="0"/>
              <w:rPr>
                <w:sz w:val="24"/>
                <w:szCs w:val="24"/>
                <w:color w:val="auto"/>
              </w:rPr>
            </w:pPr>
          </w:p>
        </w:tc>
      </w:tr>
      <w:tr>
        <w:trPr>
          <w:trHeight w:val="520"/>
        </w:trPr>
        <w:tc>
          <w:tcPr>
            <w:tcW w:w="540" w:type="dxa"/>
            <w:vAlign w:val="bottom"/>
            <w:tcBorders>
              <w:bottom w:val="single" w:sz="8" w:color="0000FF"/>
            </w:tcBorders>
          </w:tcPr>
          <w:p>
            <w:pPr>
              <w:spacing w:after="0"/>
              <w:rPr>
                <w:rFonts w:ascii="Times New Roman" w:cs="Times New Roman" w:eastAsia="Times New Roman" w:hAnsi="Times New Roman"/>
                <w:sz w:val="18"/>
                <w:szCs w:val="18"/>
                <w:b w:val="1"/>
                <w:bCs w:val="1"/>
                <w:color w:val="0000FF"/>
                <w:w w:val="96"/>
              </w:rPr>
            </w:pPr>
            <w:hyperlink w:anchor="page38">
              <w:r>
                <w:rPr>
                  <w:rFonts w:ascii="Times New Roman" w:cs="Times New Roman" w:eastAsia="Times New Roman" w:hAnsi="Times New Roman"/>
                  <w:sz w:val="18"/>
                  <w:szCs w:val="18"/>
                  <w:b w:val="1"/>
                  <w:bCs w:val="1"/>
                  <w:color w:val="0000FF"/>
                  <w:w w:val="96"/>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Times New Roman" w:cs="Times New Roman" w:eastAsia="Times New Roman" w:hAnsi="Times New Roman"/>
                <w:sz w:val="18"/>
                <w:szCs w:val="18"/>
                <w:b w:val="1"/>
                <w:bCs w:val="1"/>
                <w:i w:val="1"/>
                <w:iCs w:val="1"/>
                <w:color w:val="0000FF"/>
                <w:w w:val="98"/>
              </w:rPr>
            </w:pPr>
            <w:hyperlink w:anchor="page38">
              <w:r>
                <w:rPr>
                  <w:rFonts w:ascii="Times New Roman" w:cs="Times New Roman" w:eastAsia="Times New Roman" w:hAnsi="Times New Roman"/>
                  <w:sz w:val="18"/>
                  <w:szCs w:val="18"/>
                  <w:b w:val="1"/>
                  <w:bCs w:val="1"/>
                  <w:i w:val="1"/>
                  <w:iCs w:val="1"/>
                  <w:color w:val="0000FF"/>
                  <w:w w:val="98"/>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38</w:t>
              </w:r>
            </w:hyperlink>
          </w:p>
        </w:tc>
      </w:tr>
      <w:tr>
        <w:trPr>
          <w:trHeight w:val="250"/>
        </w:trPr>
        <w:tc>
          <w:tcPr>
            <w:tcW w:w="660" w:type="dxa"/>
            <w:vAlign w:val="bottom"/>
            <w:gridSpan w:val="2"/>
          </w:tcPr>
          <w:p>
            <w:pPr>
              <w:spacing w:after="0"/>
              <w:rPr>
                <w:rFonts w:ascii="Times New Roman" w:cs="Times New Roman" w:eastAsia="Times New Roman" w:hAnsi="Times New Roman"/>
                <w:sz w:val="18"/>
                <w:szCs w:val="18"/>
                <w:b w:val="1"/>
                <w:bCs w:val="1"/>
                <w:color w:val="0000FF"/>
                <w:w w:val="95"/>
              </w:rPr>
            </w:pPr>
            <w:hyperlink w:anchor="page38">
              <w:r>
                <w:rPr>
                  <w:rFonts w:ascii="Times New Roman" w:cs="Times New Roman" w:eastAsia="Times New Roman" w:hAnsi="Times New Roman"/>
                  <w:sz w:val="18"/>
                  <w:szCs w:val="18"/>
                  <w:b w:val="1"/>
                  <w:bCs w:val="1"/>
                  <w:color w:val="0000FF"/>
                  <w:w w:val="95"/>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Times New Roman" w:cs="Times New Roman" w:eastAsia="Times New Roman" w:hAnsi="Times New Roman"/>
                <w:sz w:val="18"/>
                <w:szCs w:val="18"/>
                <w:b w:val="1"/>
                <w:bCs w:val="1"/>
                <w:i w:val="1"/>
                <w:iCs w:val="1"/>
                <w:color w:val="0000FF"/>
              </w:rPr>
            </w:pPr>
            <w:hyperlink w:anchor="page38">
              <w:r>
                <w:rPr>
                  <w:rFonts w:ascii="Times New Roman" w:cs="Times New Roman" w:eastAsia="Times New Roman" w:hAnsi="Times New Roman"/>
                  <w:sz w:val="18"/>
                  <w:szCs w:val="18"/>
                  <w:b w:val="1"/>
                  <w:bCs w:val="1"/>
                  <w:i w:val="1"/>
                  <w:iCs w:val="1"/>
                  <w:color w:val="0000FF"/>
                </w:rPr>
                <w:t>Risk Factors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38">
              <w:r>
                <w:rPr>
                  <w:rFonts w:ascii="Times New Roman" w:cs="Times New Roman" w:eastAsia="Times New Roman" w:hAnsi="Times New Roman"/>
                  <w:sz w:val="18"/>
                  <w:szCs w:val="18"/>
                  <w:color w:val="auto"/>
                </w:rPr>
                <w:t>38</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Times New Roman" w:cs="Times New Roman" w:eastAsia="Times New Roman" w:hAnsi="Times New Roman"/>
                <w:sz w:val="18"/>
                <w:szCs w:val="18"/>
                <w:b w:val="1"/>
                <w:bCs w:val="1"/>
                <w:color w:val="0000FF"/>
                <w:w w:val="96"/>
              </w:rPr>
            </w:pPr>
            <w:hyperlink w:anchor="page39">
              <w:r>
                <w:rPr>
                  <w:rFonts w:ascii="Times New Roman" w:cs="Times New Roman" w:eastAsia="Times New Roman" w:hAnsi="Times New Roman"/>
                  <w:sz w:val="18"/>
                  <w:szCs w:val="18"/>
                  <w:b w:val="1"/>
                  <w:bCs w:val="1"/>
                  <w:color w:val="0000FF"/>
                  <w:w w:val="96"/>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Times New Roman" w:cs="Times New Roman" w:eastAsia="Times New Roman" w:hAnsi="Times New Roman"/>
                <w:sz w:val="18"/>
                <w:szCs w:val="18"/>
                <w:b w:val="1"/>
                <w:bCs w:val="1"/>
                <w:i w:val="1"/>
                <w:iCs w:val="1"/>
                <w:color w:val="0000FF"/>
              </w:rPr>
            </w:pPr>
            <w:hyperlink w:anchor="page39">
              <w:r>
                <w:rPr>
                  <w:rFonts w:ascii="Times New Roman" w:cs="Times New Roman" w:eastAsia="Times New Roman" w:hAnsi="Times New Roman"/>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39</w:t>
              </w:r>
            </w:hyperlink>
          </w:p>
        </w:tc>
      </w:tr>
      <w:tr>
        <w:trPr>
          <w:trHeight w:val="250"/>
        </w:trPr>
        <w:tc>
          <w:tcPr>
            <w:tcW w:w="540" w:type="dxa"/>
            <w:vAlign w:val="bottom"/>
            <w:tcBorders>
              <w:top w:val="single" w:sz="8" w:color="0000FF"/>
            </w:tcBorders>
          </w:tcPr>
          <w:p>
            <w:pPr>
              <w:spacing w:after="0"/>
              <w:rPr>
                <w:rFonts w:ascii="Times New Roman" w:cs="Times New Roman" w:eastAsia="Times New Roman" w:hAnsi="Times New Roman"/>
                <w:sz w:val="18"/>
                <w:szCs w:val="18"/>
                <w:b w:val="1"/>
                <w:bCs w:val="1"/>
                <w:color w:val="0000EE"/>
                <w:w w:val="96"/>
              </w:rPr>
            </w:pPr>
            <w:hyperlink w:anchor="page40">
              <w:r>
                <w:rPr>
                  <w:rFonts w:ascii="Times New Roman" w:cs="Times New Roman" w:eastAsia="Times New Roman" w:hAnsi="Times New Roman"/>
                  <w:sz w:val="18"/>
                  <w:szCs w:val="18"/>
                  <w:b w:val="1"/>
                  <w:bCs w:val="1"/>
                  <w:color w:val="0000EE"/>
                  <w:w w:val="96"/>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Times New Roman" w:cs="Times New Roman" w:eastAsia="Times New Roman" w:hAnsi="Times New Roman"/>
                <w:sz w:val="18"/>
                <w:szCs w:val="18"/>
                <w:b w:val="1"/>
                <w:bCs w:val="1"/>
                <w:i w:val="1"/>
                <w:iCs w:val="1"/>
                <w:color w:val="0000EE"/>
              </w:rPr>
            </w:pPr>
            <w:hyperlink w:anchor="page40">
              <w:r>
                <w:rPr>
                  <w:rFonts w:ascii="Times New Roman" w:cs="Times New Roman" w:eastAsia="Times New Roman" w:hAnsi="Times New Roman"/>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40</w:t>
              </w:r>
            </w:hyperlink>
          </w:p>
        </w:tc>
      </w:tr>
      <w:tr>
        <w:trPr>
          <w:trHeight w:val="250"/>
        </w:trPr>
        <w:tc>
          <w:tcPr>
            <w:tcW w:w="540" w:type="dxa"/>
            <w:vAlign w:val="bottom"/>
            <w:tcBorders>
              <w:top w:val="single" w:sz="8" w:color="0000EE"/>
            </w:tcBorders>
          </w:tcPr>
          <w:p>
            <w:pPr>
              <w:spacing w:after="0"/>
              <w:rPr>
                <w:rFonts w:ascii="Times New Roman" w:cs="Times New Roman" w:eastAsia="Times New Roman" w:hAnsi="Times New Roman"/>
                <w:sz w:val="18"/>
                <w:szCs w:val="18"/>
                <w:b w:val="1"/>
                <w:bCs w:val="1"/>
                <w:color w:val="0000FF"/>
                <w:w w:val="96"/>
              </w:rPr>
            </w:pPr>
            <w:hyperlink w:anchor="page43">
              <w:r>
                <w:rPr>
                  <w:rFonts w:ascii="Times New Roman" w:cs="Times New Roman" w:eastAsia="Times New Roman" w:hAnsi="Times New Roman"/>
                  <w:sz w:val="18"/>
                  <w:szCs w:val="18"/>
                  <w:b w:val="1"/>
                  <w:bCs w:val="1"/>
                  <w:color w:val="0000FF"/>
                  <w:w w:val="96"/>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Times New Roman" w:cs="Times New Roman" w:eastAsia="Times New Roman" w:hAnsi="Times New Roman"/>
                <w:sz w:val="18"/>
                <w:szCs w:val="18"/>
                <w:b w:val="1"/>
                <w:bCs w:val="1"/>
                <w:i w:val="1"/>
                <w:iCs w:val="1"/>
                <w:color w:val="0000FF"/>
              </w:rPr>
            </w:pPr>
            <w:hyperlink w:anchor="page43">
              <w:r>
                <w:rPr>
                  <w:rFonts w:ascii="Times New Roman" w:cs="Times New Roman" w:eastAsia="Times New Roman" w:hAnsi="Times New Roman"/>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43</w:t>
              </w:r>
            </w:hyperlink>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280" w:top="549"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080" w:type="dxa"/>
            <w:vAlign w:val="bottom"/>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40"/>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gridSpan w:val="4"/>
          </w:tcPr>
          <w:p>
            <w:pPr>
              <w:jc w:val="right"/>
              <w:ind w:right="332"/>
              <w:spacing w:after="0" w:line="141" w:lineRule="exact"/>
              <w:rPr>
                <w:sz w:val="20"/>
                <w:szCs w:val="20"/>
                <w:color w:val="auto"/>
              </w:rPr>
            </w:pPr>
            <w:r>
              <w:rPr>
                <w:rFonts w:ascii="Times New Roman" w:cs="Times New Roman" w:eastAsia="Times New Roman" w:hAnsi="Times New Roman"/>
                <w:sz w:val="13"/>
                <w:szCs w:val="13"/>
                <w:b w:val="1"/>
                <w:bCs w:val="1"/>
                <w:i w:val="1"/>
                <w:iCs w:val="1"/>
                <w:color w:val="auto"/>
              </w:rPr>
              <w:t>(in thousands, except per share</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4"/>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3"/>
                <w:szCs w:val="13"/>
                <w:b w:val="1"/>
                <w:bCs w:val="1"/>
                <w:i w:val="1"/>
                <w:iCs w:val="1"/>
                <w:color w:val="auto"/>
              </w:rPr>
              <w:t>amounts)</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152,773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94,290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285,288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189,003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4,164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7,755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6,937</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109,141</w:t>
            </w:r>
          </w:p>
        </w:tc>
        <w:tc>
          <w:tcPr>
            <w:tcW w:w="3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202,392</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129,597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12,094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23,641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17,812</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4,064</w:t>
            </w:r>
          </w:p>
        </w:tc>
        <w:tc>
          <w:tcPr>
            <w:tcW w:w="3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7,687</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7,666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1,808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3,511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2,608</w:t>
            </w:r>
          </w:p>
        </w:tc>
        <w:tc>
          <w:tcPr>
            <w:tcW w:w="3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5,217</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9,393</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18,139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689</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6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143,804</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81,575</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269,435</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164,443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8,969</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15,853</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24,560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7,903</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14,622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24,277</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1,183</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8,007</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15,805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15,907</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(1,621)</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7,318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7,852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14,184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13,554</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11,965</w:t>
            </w:r>
          </w:p>
        </w:tc>
        <w:tc>
          <w:tcPr>
            <w:tcW w:w="3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11,896</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11,863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13,604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13,552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12,800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0.67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0.61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40"/>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right"/>
              <w:ind w:right="131"/>
              <w:spacing w:after="0" w:line="141" w:lineRule="exact"/>
              <w:rPr>
                <w:sz w:val="20"/>
                <w:szCs w:val="20"/>
                <w:color w:val="auto"/>
              </w:rPr>
            </w:pPr>
            <w:r>
              <w:rPr>
                <w:rFonts w:ascii="Times New Roman" w:cs="Times New Roman" w:eastAsia="Times New Roman" w:hAnsi="Times New Roman"/>
                <w:sz w:val="13"/>
                <w:szCs w:val="13"/>
                <w:b w:val="1"/>
                <w:bCs w:val="1"/>
                <w:i w:val="1"/>
                <w:iCs w:val="1"/>
                <w:color w:val="auto"/>
                <w:w w:val="98"/>
              </w:rPr>
              <w:t>(in thousands, except par value and share</w:t>
            </w:r>
          </w:p>
        </w:tc>
      </w:tr>
      <w:tr>
        <w:trPr>
          <w:trHeight w:val="174"/>
        </w:trPr>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3"/>
          </w:tcPr>
          <w:p>
            <w:pPr>
              <w:jc w:val="right"/>
              <w:ind w:right="971"/>
              <w:spacing w:after="0"/>
              <w:rPr>
                <w:sz w:val="20"/>
                <w:szCs w:val="20"/>
                <w:color w:val="auto"/>
              </w:rPr>
            </w:pPr>
            <w:r>
              <w:rPr>
                <w:rFonts w:ascii="Times New Roman" w:cs="Times New Roman" w:eastAsia="Times New Roman" w:hAnsi="Times New Roman"/>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355,636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91,131</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4,089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4,089</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$1,010 and $1,059, respectively)</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52,217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41,382</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4,392</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4,021</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416,334</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140,623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$12,064 and $9,739,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35,487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35,462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99,694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56,457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85,393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71,684</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18,517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14,610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3,781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3,781</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660,055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323,427</w:t>
            </w:r>
          </w:p>
        </w:tc>
      </w:tr>
      <w:tr>
        <w:trPr>
          <w:trHeight w:val="270"/>
        </w:trPr>
        <w:tc>
          <w:tcPr>
            <w:tcW w:w="88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5,593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68,960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49,403</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23,942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 (Note 14)</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12,899</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11,711</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107,686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66,707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232,095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22,785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23,600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1,559</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1,685</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364,125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91,992</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$.01 par value; 50,000,000 shares authorized; 14,162,254 and 13,955,378 shares issued, respectively,</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11,998,509 and 11,791,633 shares outstanding, respectively</w:t>
            </w:r>
          </w:p>
        </w:tc>
        <w:tc>
          <w:tcPr>
            <w:tcW w:w="180" w:type="dxa"/>
            <w:vAlign w:val="bottom"/>
          </w:tcPr>
          <w:p>
            <w:pPr>
              <w:spacing w:after="0"/>
              <w:rPr>
                <w:sz w:val="20"/>
                <w:szCs w:val="20"/>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1,068,970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1,018,010</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(709,748)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(722,630)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2,163,745 and 2,163,745 shares,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(64,085)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(64,085)</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 (Note 5)</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295,930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231,435</w:t>
            </w:r>
          </w:p>
        </w:tc>
      </w:tr>
      <w:tr>
        <w:trPr>
          <w:trHeight w:val="237"/>
        </w:trPr>
        <w:tc>
          <w:tcPr>
            <w:tcW w:w="8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660,055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323,427</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2960" w:type="dxa"/>
        <w:tblCellMar>
          <w:top w:w="0" w:type="dxa"/>
          <w:left w:w="0" w:type="dxa"/>
          <w:bottom w:w="0" w:type="dxa"/>
          <w:right w:w="0" w:type="dxa"/>
        </w:tblCellMar>
      </w:tblPr>
      <w:tr>
        <w:trPr>
          <w:trHeight w:val="194"/>
        </w:trPr>
        <w:tc>
          <w:tcPr>
            <w:tcW w:w="740" w:type="dxa"/>
            <w:vAlign w:val="bottom"/>
          </w:tcPr>
          <w:p>
            <w:pPr>
              <w:spacing w:after="0"/>
              <w:rPr>
                <w:sz w:val="16"/>
                <w:szCs w:val="16"/>
                <w:color w:val="auto"/>
              </w:rPr>
            </w:pPr>
          </w:p>
        </w:tc>
        <w:tc>
          <w:tcPr>
            <w:tcW w:w="198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0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1"/>
                <w:szCs w:val="11"/>
                <w:color w:val="auto"/>
              </w:rPr>
            </w:pPr>
          </w:p>
        </w:tc>
        <w:tc>
          <w:tcPr>
            <w:tcW w:w="118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1"/>
                <w:szCs w:val="11"/>
                <w:color w:val="auto"/>
              </w:rPr>
            </w:pPr>
          </w:p>
        </w:tc>
        <w:tc>
          <w:tcPr>
            <w:tcW w:w="114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vMerge w:val="continue"/>
          </w:tcPr>
          <w:p>
            <w:pPr>
              <w:spacing w:after="0"/>
              <w:rPr>
                <w:sz w:val="12"/>
                <w:szCs w:val="12"/>
                <w:color w:val="auto"/>
              </w:rPr>
            </w:pP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40" w:type="dxa"/>
            <w:vAlign w:val="bottom"/>
            <w:vMerge w:val="continue"/>
          </w:tcPr>
          <w:p>
            <w:pPr>
              <w:spacing w:after="0"/>
              <w:rPr>
                <w:sz w:val="16"/>
                <w:szCs w:val="16"/>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80" w:type="dxa"/>
            <w:vAlign w:val="bottom"/>
            <w:vMerge w:val="continue"/>
          </w:tcPr>
          <w:p>
            <w:pPr>
              <w:spacing w:after="0"/>
              <w:rPr>
                <w:sz w:val="16"/>
                <w:szCs w:val="16"/>
                <w:color w:val="auto"/>
              </w:rPr>
            </w:pPr>
          </w:p>
        </w:tc>
        <w:tc>
          <w:tcPr>
            <w:tcW w:w="11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20" w:type="dxa"/>
            <w:vAlign w:val="bottom"/>
            <w:vMerge w:val="continue"/>
          </w:tcPr>
          <w:p>
            <w:pPr>
              <w:spacing w:after="0"/>
              <w:rPr>
                <w:sz w:val="16"/>
                <w:szCs w:val="16"/>
                <w:color w:val="auto"/>
              </w:rPr>
            </w:pPr>
          </w:p>
        </w:tc>
        <w:tc>
          <w:tcPr>
            <w:tcW w:w="11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6350</wp:posOffset>
            </wp:positionV>
            <wp:extent cx="5574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December 31, 2016</w:t>
      </w:r>
    </w:p>
    <w:p>
      <w:pPr>
        <w:spacing w:after="0" w:line="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income and comprehensive income</w:t>
      </w:r>
    </w:p>
    <w:p>
      <w:pPr>
        <w:spacing w:after="0" w:line="109" w:lineRule="exact"/>
        <w:rPr>
          <w:sz w:val="20"/>
          <w:szCs w:val="20"/>
          <w:color w:val="auto"/>
        </w:rPr>
      </w:pPr>
    </w:p>
    <w:p>
      <w:pPr>
        <w:ind w:left="180" w:right="900"/>
        <w:spacing w:after="0" w:line="402" w:lineRule="auto"/>
        <w:rPr>
          <w:sz w:val="20"/>
          <w:szCs w:val="20"/>
          <w:color w:val="auto"/>
        </w:rPr>
      </w:pPr>
      <w:r>
        <w:rPr>
          <w:rFonts w:ascii="Times New Roman" w:cs="Times New Roman" w:eastAsia="Times New Roman" w:hAnsi="Times New Roman"/>
          <w:sz w:val="14"/>
          <w:szCs w:val="14"/>
          <w:color w:val="auto"/>
        </w:rPr>
        <w:t>Non-cash compensation Purchase of treasury stock</w:t>
      </w:r>
    </w:p>
    <w:p>
      <w:pPr>
        <w:spacing w:after="0" w:line="1" w:lineRule="exact"/>
        <w:rPr>
          <w:sz w:val="20"/>
          <w:szCs w:val="20"/>
          <w:color w:val="auto"/>
        </w:rPr>
      </w:pPr>
    </w:p>
    <w:p>
      <w:pPr>
        <w:ind w:left="180" w:right="80"/>
        <w:spacing w:after="0" w:line="236" w:lineRule="auto"/>
        <w:rPr>
          <w:sz w:val="20"/>
          <w:szCs w:val="20"/>
          <w:color w:val="auto"/>
        </w:rPr>
      </w:pPr>
      <w:r>
        <w:rPr>
          <w:rFonts w:ascii="Times New Roman" w:cs="Times New Roman" w:eastAsia="Times New Roman" w:hAnsi="Times New Roman"/>
          <w:sz w:val="14"/>
          <w:szCs w:val="14"/>
          <w:color w:val="auto"/>
        </w:rPr>
        <w:t>Issuance of common stock for stock options, restricted stock awards and restricted stock units, net of withholding taxes</w:t>
      </w:r>
    </w:p>
    <w:p>
      <w:pPr>
        <w:spacing w:after="0" w:line="15" w:lineRule="exact"/>
        <w:rPr>
          <w:sz w:val="20"/>
          <w:szCs w:val="20"/>
          <w:color w:val="auto"/>
        </w:rPr>
      </w:pPr>
    </w:p>
    <w:p>
      <w:pPr>
        <w:ind w:left="180"/>
        <w:spacing w:after="0" w:line="261" w:lineRule="auto"/>
        <w:rPr>
          <w:sz w:val="20"/>
          <w:szCs w:val="20"/>
          <w:color w:val="auto"/>
        </w:rPr>
      </w:pPr>
      <w:r>
        <w:rPr>
          <w:rFonts w:ascii="Times New Roman" w:cs="Times New Roman" w:eastAsia="Times New Roman" w:hAnsi="Times New Roman"/>
          <w:sz w:val="14"/>
          <w:szCs w:val="14"/>
          <w:color w:val="auto"/>
        </w:rPr>
        <w:t>Cumulative effect adjustment due to ASU 2016-09</w:t>
      </w:r>
    </w:p>
    <w:p>
      <w:pPr>
        <w:spacing w:after="0" w:line="1" w:lineRule="exact"/>
        <w:rPr>
          <w:sz w:val="20"/>
          <w:szCs w:val="20"/>
          <w:color w:val="auto"/>
        </w:rPr>
      </w:pPr>
    </w:p>
    <w:p>
      <w:pPr>
        <w:ind w:left="180" w:right="160"/>
        <w:spacing w:after="0" w:line="261" w:lineRule="auto"/>
        <w:rPr>
          <w:sz w:val="20"/>
          <w:szCs w:val="20"/>
          <w:color w:val="auto"/>
        </w:rPr>
      </w:pPr>
      <w:r>
        <w:rPr>
          <w:rFonts w:ascii="Times New Roman" w:cs="Times New Roman" w:eastAsia="Times New Roman" w:hAnsi="Times New Roman"/>
          <w:sz w:val="14"/>
          <w:szCs w:val="14"/>
          <w:color w:val="auto"/>
        </w:rPr>
        <w:t>Issuance of 0.625% Convertible Senior Notes, net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Convertible note hedge</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Sale of warrants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Noncontrolling interest (Note 5)</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231,435</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13,955</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140</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1,018,010</w:t>
            </w:r>
          </w:p>
        </w:tc>
        <w:tc>
          <w:tcPr>
            <w:tcW w:w="3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(722,630)</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2,164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(64,085)</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14,184</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14,184</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5,130</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5,130</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648"/>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1,217</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207</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1,215</w:t>
            </w:r>
          </w:p>
        </w:tc>
        <w:tc>
          <w:tcPr>
            <w:tcW w:w="38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985</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2,287</w:t>
            </w:r>
          </w:p>
        </w:tc>
        <w:tc>
          <w:tcPr>
            <w:tcW w:w="380" w:type="dxa"/>
            <w:vAlign w:val="bottom"/>
          </w:tcPr>
          <w:p>
            <w:pPr>
              <w:spacing w:after="0"/>
              <w:rPr>
                <w:sz w:val="24"/>
                <w:szCs w:val="24"/>
                <w:color w:val="auto"/>
              </w:rPr>
            </w:pP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51"/>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60,418</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60,418</w:t>
            </w:r>
          </w:p>
        </w:tc>
        <w:tc>
          <w:tcPr>
            <w:tcW w:w="38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1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(61,500)</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(61,500)</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43,410</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43,410</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651</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-1708150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-1365250</wp:posOffset>
            </wp:positionV>
            <wp:extent cx="72466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-730250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-335915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6350</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2580" w:space="80"/>
            <w:col w:w="8660"/>
          </w:cols>
          <w:pgMar w:left="240" w:top="121" w:right="339" w:bottom="1440" w:gutter="0" w:footer="0" w:header="0"/>
          <w:type w:val="continuous"/>
        </w:sectPr>
      </w:pPr>
    </w:p>
    <w:p>
      <w:pPr>
        <w:ind w:left="40"/>
        <w:spacing w:after="0"/>
        <w:tabs>
          <w:tab w:leader="none" w:pos="2640" w:val="left"/>
          <w:tab w:leader="none" w:pos="2960" w:val="left"/>
          <w:tab w:leader="none" w:pos="4080" w:val="left"/>
          <w:tab w:leader="none" w:pos="4760" w:val="left"/>
          <w:tab w:leader="none" w:pos="5320" w:val="left"/>
          <w:tab w:leader="none" w:pos="5800" w:val="left"/>
          <w:tab w:leader="none" w:pos="6120" w:val="left"/>
          <w:tab w:leader="none" w:pos="6940" w:val="left"/>
          <w:tab w:leader="none" w:pos="7420" w:val="left"/>
          <w:tab w:leader="none" w:pos="8620" w:val="left"/>
          <w:tab w:leader="none" w:pos="9180" w:val="left"/>
          <w:tab w:leader="none" w:pos="9500" w:val="left"/>
          <w:tab w:leader="none" w:pos="11080" w:val="left"/>
        </w:tabs>
        <w:rPr>
          <w:sz w:val="20"/>
          <w:szCs w:val="20"/>
          <w:color w:val="auto"/>
        </w:rPr>
      </w:pPr>
      <w:r>
        <w:rPr>
          <w:rFonts w:ascii="Times New Roman" w:cs="Times New Roman" w:eastAsia="Times New Roman" w:hAnsi="Times New Roman"/>
          <w:sz w:val="14"/>
          <w:szCs w:val="14"/>
          <w:b w:val="1"/>
          <w:bCs w:val="1"/>
          <w:color w:val="auto"/>
        </w:rPr>
        <w:t>Balance as of June 30, 2017</w:t>
      </w:r>
      <w:r>
        <w:rPr>
          <w:sz w:val="20"/>
          <w:szCs w:val="20"/>
          <w:color w:val="auto"/>
        </w:rPr>
        <w:tab/>
      </w:r>
      <w:r>
        <w:rPr>
          <w:rFonts w:ascii="Times New Roman" w:cs="Times New Roman" w:eastAsia="Times New Roman" w:hAnsi="Times New Roman"/>
          <w:sz w:val="14"/>
          <w:szCs w:val="14"/>
          <w:b w:val="1"/>
          <w:bCs w:val="1"/>
          <w:color w:val="auto"/>
        </w:rPr>
        <w:t>$</w:t>
        <w:tab/>
        <w:t>295,930</w:t>
      </w:r>
      <w:r>
        <w:rPr>
          <w:sz w:val="20"/>
          <w:szCs w:val="20"/>
          <w:color w:val="auto"/>
        </w:rPr>
        <w:tab/>
      </w:r>
      <w:r>
        <w:rPr>
          <w:rFonts w:ascii="Times New Roman" w:cs="Times New Roman" w:eastAsia="Times New Roman" w:hAnsi="Times New Roman"/>
          <w:sz w:val="14"/>
          <w:szCs w:val="14"/>
          <w:b w:val="1"/>
          <w:bCs w:val="1"/>
          <w:color w:val="auto"/>
        </w:rPr>
        <w:t>14,162</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142</w:t>
      </w:r>
      <w:r>
        <w:rPr>
          <w:sz w:val="20"/>
          <w:szCs w:val="20"/>
          <w:color w:val="auto"/>
        </w:rPr>
        <w:tab/>
      </w:r>
      <w:r>
        <w:rPr>
          <w:rFonts w:ascii="Times New Roman" w:cs="Times New Roman" w:eastAsia="Times New Roman" w:hAnsi="Times New Roman"/>
          <w:sz w:val="14"/>
          <w:szCs w:val="14"/>
          <w:b w:val="1"/>
          <w:bCs w:val="1"/>
          <w:color w:val="auto"/>
        </w:rPr>
        <w:t>$</w:t>
        <w:tab/>
        <w:t>1,068,970</w:t>
        <w:tab/>
        <w:t>$</w:t>
      </w:r>
      <w:r>
        <w:rPr>
          <w:sz w:val="20"/>
          <w:szCs w:val="20"/>
          <w:color w:val="auto"/>
        </w:rPr>
        <w:tab/>
      </w:r>
      <w:r>
        <w:rPr>
          <w:rFonts w:ascii="Times New Roman" w:cs="Times New Roman" w:eastAsia="Times New Roman" w:hAnsi="Times New Roman"/>
          <w:sz w:val="14"/>
          <w:szCs w:val="14"/>
          <w:b w:val="1"/>
          <w:bCs w:val="1"/>
          <w:color w:val="auto"/>
        </w:rPr>
        <w:t>(709,748)</w:t>
      </w:r>
      <w:r>
        <w:rPr>
          <w:sz w:val="20"/>
          <w:szCs w:val="20"/>
          <w:color w:val="auto"/>
        </w:rPr>
        <w:tab/>
      </w:r>
      <w:r>
        <w:rPr>
          <w:rFonts w:ascii="Times New Roman" w:cs="Times New Roman" w:eastAsia="Times New Roman" w:hAnsi="Times New Roman"/>
          <w:sz w:val="14"/>
          <w:szCs w:val="14"/>
          <w:b w:val="1"/>
          <w:bCs w:val="1"/>
          <w:color w:val="auto"/>
        </w:rPr>
        <w:t>2,164</w:t>
        <w:tab/>
        <w:t>$</w:t>
        <w:tab/>
        <w:t>(64,085) $</w:t>
      </w:r>
      <w:r>
        <w:rPr>
          <w:sz w:val="20"/>
          <w:szCs w:val="20"/>
          <w:color w:val="auto"/>
        </w:rPr>
        <w:tab/>
      </w:r>
      <w:r>
        <w:rPr>
          <w:rFonts w:ascii="Times New Roman" w:cs="Times New Roman" w:eastAsia="Times New Roman" w:hAnsi="Times New Roman"/>
          <w:sz w:val="14"/>
          <w:szCs w:val="14"/>
          <w:b w:val="1"/>
          <w:bCs w:val="1"/>
          <w:color w:val="auto"/>
        </w:rPr>
        <w:t>651</w:t>
      </w: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20"/>
          </w:cols>
          <w:pgMar w:left="240" w:top="121" w:right="3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 attributable to continuing operations: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 and comprehensive income</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14,184</w:t>
            </w:r>
          </w:p>
        </w:tc>
        <w:tc>
          <w:tcPr>
            <w:tcW w:w="5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13,554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Loss from discontinued operations, net of tax</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1,621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15,805</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15,907</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Adjustments to reconcile income from continuing operations to net cash provided by operating activities attributable to continuing</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operations: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309</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5,217</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3,511</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Rental amortization of intangibles and depreciation</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525</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5,130</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5,062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(6,319)</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18,139</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96</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231</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convertible debt discount</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909</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(10,052)</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6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(323)</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16,852</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36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(1,524)</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6,825</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 attributable to continuing operations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48,224</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14,915</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 attributable to continuing operations: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36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(3,611)</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DepositAccounts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(24,000)</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MagnifyMoney, net of cash acquired</w:t>
            </w:r>
          </w:p>
        </w:tc>
        <w:tc>
          <w:tcPr>
            <w:tcW w:w="36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(29,415)</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a business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 restricted cash</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 attributable to continuing operations</w:t>
            </w:r>
          </w:p>
        </w:tc>
        <w:tc>
          <w:tcPr>
            <w:tcW w:w="3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(57,026)</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(8,498)</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 attributable to continuing operations: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 net of payments related to net-share settlement of stock-based compensation</w:t>
            </w:r>
          </w:p>
        </w:tc>
        <w:tc>
          <w:tcPr>
            <w:tcW w:w="3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1,274</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0.625% Convertible Senior Notes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300,000</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convertible note hedge transactions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(61,500)</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warrants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43,410</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equity offering costs</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6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(8,572)</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(48,090)</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 attributable to continuing operations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274,612</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(50,929)</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cash provided by (used in) continuing operations</w:t>
            </w:r>
          </w:p>
        </w:tc>
        <w:tc>
          <w:tcPr>
            <w:tcW w:w="3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265,810</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(44,512)</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 attributable to discontinued operations</w:t>
            </w:r>
          </w:p>
        </w:tc>
        <w:tc>
          <w:tcPr>
            <w:tcW w:w="36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(1,305)</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cash used in discontinued operations</w:t>
            </w:r>
          </w:p>
        </w:tc>
        <w:tc>
          <w:tcPr>
            <w:tcW w:w="3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(1,305)</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(2,852)</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360" w:type="dxa"/>
            <w:vAlign w:val="bottom"/>
          </w:tcPr>
          <w:p>
            <w:pPr>
              <w:spacing w:after="0"/>
              <w:rPr>
                <w:sz w:val="16"/>
                <w:szCs w:val="16"/>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264,505</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(47,364)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91,131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206,975</w:t>
            </w:r>
          </w:p>
        </w:tc>
        <w:tc>
          <w:tcPr>
            <w:tcW w:w="0" w:type="dxa"/>
            <w:vAlign w:val="bottom"/>
          </w:tcPr>
          <w:p>
            <w:pPr>
              <w:spacing w:after="0"/>
              <w:rPr>
                <w:sz w:val="1"/>
                <w:szCs w:val="1"/>
                <w:color w:val="auto"/>
              </w:rPr>
            </w:pPr>
          </w:p>
        </w:tc>
      </w:tr>
      <w:tr>
        <w:trPr>
          <w:trHeight w:val="73"/>
        </w:trPr>
        <w:tc>
          <w:tcPr>
            <w:tcW w:w="834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355,636</w:t>
            </w:r>
          </w:p>
        </w:tc>
        <w:tc>
          <w:tcPr>
            <w:tcW w:w="5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159,611</w:t>
            </w:r>
          </w:p>
        </w:tc>
        <w:tc>
          <w:tcPr>
            <w:tcW w:w="0" w:type="dxa"/>
            <w:vAlign w:val="bottom"/>
          </w:tcPr>
          <w:p>
            <w:pPr>
              <w:spacing w:after="0"/>
              <w:rPr>
                <w:sz w:val="1"/>
                <w:szCs w:val="1"/>
                <w:color w:val="auto"/>
              </w:rPr>
            </w:pPr>
          </w:p>
        </w:tc>
      </w:tr>
      <w:tr>
        <w:trPr>
          <w:trHeight w:val="85"/>
        </w:trPr>
        <w:tc>
          <w:tcPr>
            <w:tcW w:w="83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ectPr>
          <w:pgSz w:w="11900" w:h="16838" w:orient="portrait"/>
          <w:cols w:equalWidth="0" w:num="1">
            <w:col w:w="11420"/>
          </w:cols>
          <w:pgMar w:left="240" w:top="121" w:right="239" w:bottom="109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09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LendingTree, Inc. ("LendingTree" or the "Company"), is the parent of LendingTree, LLC and several companies owned by LendingTree, LLC.</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loan marketplace for consumers seeking loans and other credit-based offerings. The Company offers consumers tools and resources, including free credit scores, that facilitate comparison-shopping for mortgage loans, home equity loans, reverse mortgage loans, auto loans, credit cards, personal loans, deposit accounts, student loans, small business loans and other related offerings. The Company primarily seeks to match in-market consumers with multiple lenders on its marketplace who can provide them with competing quotes for the loans, deposits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Discontinued Operations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June 30, 2017 and for the three and six months ended June 30, 2017 and 2016,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six months ended June 30, 2017 are not necessarily indicative of the results to be expected for the year ending December 31, 2017, or any other period. The accompanying consolidated balance sheet as of December 31, 2016 was derived from audited financial statements included in the Company's annual report on Form 10-K for the year ended December 31, 2016 (the "2016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2016 Annual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contingent consideration related to business combinations; litigation accruals; various other allowances, reserves and accruals; and assumptions related to the determination of stock-based compensation.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June 30, 2017,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lender marketplace.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May 2017, the Financial Accounting Standards Board ("FASB") issued Accounting Standards Update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with early adoption permitted. The Company is evaluating the impact this ASU will have on its consolidated financial statements and whether to early adopt.</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with early adoption permitted. The retrospective transition method, requiring adjustment to all comparative periods presented, is required. The Company is evaluating the impact this ASU will have on its consolidated financial statements and whether to early adopt.</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2016, the FASB issued ASU 2016-15 which addresses eight cash flow classification issues, eliminating the diversity in practice. This ASU is effective for annual and interim reporting periods beginning after December 15, 2017, with early adoption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is evaluating the impact this ASU will have on its consolidated financial statements and whether to early adopt.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was effective for annual and interim reporting periods beginning after December 15, 2016, with early adoption permitted. Upon adoption, any adjustments are to be reflected as of the beginning of the fiscal year of adoption. The Company adopted this ASU during the first quarter of 2017.</w:t>
      </w:r>
    </w:p>
    <w:p>
      <w:pPr>
        <w:spacing w:after="0" w:line="13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new standard requires excess tax benefits and deficiencies, which arise due to the difference in the measure of stock compensation and the amount deductible for tax purposes, to be recorded in earnings in income tax expense. These excess tax benefits and deficiencies were generally previously recorded in additional paid-in capital and had no impact on net income. The standard required prospective adoption for this portion of the new guidance. During the second quarter and first six months of 2017, the Company recognized $3.8 million and $7.6 million, respectively, of excess tax benefit in income tax expense in the accompanying consolidated statements of operations and comprehensive income. Additionally, the new standard requires the excess tax benefits and deficiencies to be classified as an operating activity in the accompanying consolidated statements of cash flows. These excess tax benefits and deficiencies were previously recorded as a financing activity in the statement of cash flows. The standard allowed for either prospective or retrospective adoption for the change in presentation in the statement of cash flows. The Company elected to retrospectively adopt the classification change in the statement of cash flows. Accordingly, prior periods have been adjusted, which increased the cash provided by operating activities and decreased the cash provided by financing activities by $4.1 million in the first six months of 2016 in the accompanying consolidated statements of cash flows. The standard also allows for an election by the Company to either estimate forfeitures, as required under previous guidance, or recognize forfeitures when they occur. The Company elected to recognize forfeitures of stock awards as they occur, with the modified retrospective transition method required. Accordingly, the Company recognized a $1.4 million cumulative-effect adjustment to retained earnings as of January 1, 2017.</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whether to early adopt.</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In March 2016, the FASB issued ASU 2016-08, which clarifies the principal versus agent guidance under ASU 2014-09. In April 2016, the FASB issued ASU 2016-10, which clarifies the identification of distinct performance obligations in a contract. In May 2016, the FASB issued ASU 2016-12, which clarifies the guidance on assessing collectability, presenting sales taxes, measuring noncash consideration and certain other transition matters. The clarification ASUs must be adopted concurrently with the adoption of ASU 2014-09. The Company is evaluating the impact these ASUs will have on its consolidated financial statements and which implementation method to apply.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3—RESTRICTED CASH</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Restricted cash and cash equivalents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68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468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Cash in escrow from sale of LendingTree Loans </w:t>
            </w:r>
            <w:r>
              <w:rPr>
                <w:rFonts w:ascii="Times New Roman" w:cs="Times New Roman" w:eastAsia="Times New Roman" w:hAnsi="Times New Roman"/>
                <w:sz w:val="25"/>
                <w:szCs w:val="25"/>
                <w:color w:val="auto"/>
                <w:vertAlign w:val="superscript"/>
              </w:rPr>
              <w:t>(a)</w:t>
            </w:r>
          </w:p>
        </w:tc>
        <w:tc>
          <w:tcPr>
            <w:tcW w:w="464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4,032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4,032</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6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restricted cash and cash equivalents</w:t>
            </w:r>
          </w:p>
        </w:tc>
        <w:tc>
          <w:tcPr>
            <w:tcW w:w="464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4,089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4,089</w:t>
            </w:r>
          </w:p>
        </w:tc>
      </w:tr>
      <w:tr>
        <w:trPr>
          <w:trHeight w:val="459"/>
        </w:trPr>
        <w:tc>
          <w:tcPr>
            <w:tcW w:w="4680" w:type="dxa"/>
            <w:vAlign w:val="bottom"/>
            <w:tcBorders>
              <w:top w:val="single" w:sz="8" w:color="auto"/>
            </w:tcBorders>
          </w:tcPr>
          <w:p>
            <w:pPr>
              <w:spacing w:after="0"/>
              <w:rPr>
                <w:sz w:val="24"/>
                <w:szCs w:val="24"/>
                <w:color w:val="auto"/>
              </w:rPr>
            </w:pPr>
          </w:p>
        </w:tc>
        <w:tc>
          <w:tcPr>
            <w:tcW w:w="3660" w:type="dxa"/>
            <w:vAlign w:val="bottom"/>
            <w:tcBorders>
              <w:top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9</w:t>
            </w: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4—GOODWILL AND INTANGIBLE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balance of goodwill,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Accumulated Impairment</w:t>
            </w:r>
          </w:p>
        </w:tc>
        <w:tc>
          <w:tcPr>
            <w:tcW w:w="340" w:type="dxa"/>
            <w:vAlign w:val="bottom"/>
          </w:tcPr>
          <w:p>
            <w:pPr>
              <w:spacing w:after="0"/>
              <w:rPr>
                <w:sz w:val="13"/>
                <w:szCs w:val="13"/>
                <w:color w:val="auto"/>
              </w:rPr>
            </w:pPr>
          </w:p>
        </w:tc>
        <w:tc>
          <w:tcPr>
            <w:tcW w:w="14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Net Goodwill</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539,545</w:t>
            </w:r>
          </w:p>
        </w:tc>
        <w:tc>
          <w:tcPr>
            <w:tcW w:w="5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56,457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DepositAccounts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19,389</w:t>
            </w:r>
          </w:p>
        </w:tc>
        <w:tc>
          <w:tcPr>
            <w:tcW w:w="5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MagnifyMoney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23,848</w:t>
            </w:r>
          </w:p>
        </w:tc>
        <w:tc>
          <w:tcPr>
            <w:tcW w:w="5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582,782</w:t>
            </w:r>
          </w:p>
        </w:tc>
        <w:tc>
          <w:tcPr>
            <w:tcW w:w="52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99,694</w:t>
            </w:r>
          </w:p>
        </w:tc>
        <w:tc>
          <w:tcPr>
            <w:tcW w:w="0" w:type="dxa"/>
            <w:vAlign w:val="bottom"/>
          </w:tcPr>
          <w:p>
            <w:pPr>
              <w:spacing w:after="0"/>
              <w:rPr>
                <w:sz w:val="1"/>
                <w:szCs w:val="1"/>
                <w:color w:val="auto"/>
              </w:rPr>
            </w:pPr>
          </w:p>
        </w:tc>
      </w:tr>
      <w:tr>
        <w:trPr>
          <w:trHeight w:val="34"/>
        </w:trPr>
        <w:tc>
          <w:tcPr>
            <w:tcW w:w="6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balance of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10,142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10,142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30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75,251</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61,542</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85,393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71,684</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goodwill is associated with its one reportable segment. 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98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37,100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(4,213)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32,887</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(1,851)</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27,949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leases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(374)</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Website content</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2017</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83,322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(8,071)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75,251</w:t>
            </w:r>
          </w:p>
        </w:tc>
        <w:tc>
          <w:tcPr>
            <w:tcW w:w="0" w:type="dxa"/>
            <w:vAlign w:val="bottom"/>
          </w:tcPr>
          <w:p>
            <w:pPr>
              <w:spacing w:after="0"/>
              <w:rPr>
                <w:sz w:val="1"/>
                <w:szCs w:val="1"/>
                <w:color w:val="auto"/>
              </w:rPr>
            </w:pPr>
          </w:p>
        </w:tc>
      </w:tr>
      <w:tr>
        <w:trPr>
          <w:trHeight w:val="286"/>
        </w:trPr>
        <w:tc>
          <w:tcPr>
            <w:tcW w:w="398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4"/>
        </w:trPr>
        <w:tc>
          <w:tcPr>
            <w:tcW w:w="3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3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27,641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28,100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27,461</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5,342</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(937)</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Tenant leases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64,022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(2,480)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61,542</w:t>
            </w:r>
          </w:p>
        </w:tc>
        <w:tc>
          <w:tcPr>
            <w:tcW w:w="0" w:type="dxa"/>
            <w:vAlign w:val="bottom"/>
          </w:tcPr>
          <w:p>
            <w:pPr>
              <w:spacing w:after="0"/>
              <w:rPr>
                <w:sz w:val="1"/>
                <w:szCs w:val="1"/>
                <w:color w:val="auto"/>
              </w:rPr>
            </w:pPr>
          </w:p>
        </w:tc>
      </w:tr>
      <w:tr>
        <w:trPr>
          <w:trHeight w:val="459"/>
        </w:trPr>
        <w:tc>
          <w:tcPr>
            <w:tcW w:w="398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June 30, 2017,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15,871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15,617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13,435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17,014</w:t>
            </w:r>
          </w:p>
        </w:tc>
      </w:tr>
      <w:tr>
        <w:trPr>
          <w:trHeight w:val="27"/>
        </w:trPr>
        <w:tc>
          <w:tcPr>
            <w:tcW w:w="9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75,251</w:t>
            </w:r>
          </w:p>
        </w:tc>
      </w:tr>
      <w:tr>
        <w:trPr>
          <w:trHeight w:val="27"/>
        </w:trPr>
        <w:tc>
          <w:tcPr>
            <w:tcW w:w="99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5—BUSINESS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CompareCards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16, 2016, the Company acquired all of the membership interests of Iron Horse Holdings, LLC, which does business under the name CompareCards ("CompareCards"). CompareCards is an online marketing platform for credit cards, which the Company is utilizing to grow its existing credit card business. The Company paid $80.7 million in initial cash consideration and will make two earnout payments, each ranging from zero to $22.5 million, based on the amount of earnings before interest, taxes, depreciation and amortization CompareCards generates during the periods of January 1, 2017 through December 31, 2017 and January 1, 2018 through December 31, 2018, or up to $45.0 million in aggregate payments (the “Earnout Payments”). The purchase price for the acquisition is $103.8 million comprised of an upfront cash payment of $80.7 million on November 16, 2016 and $23.1 million for the estimated fair value of the Earnout Payments at the time of closing the acquisition.</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June 30, 2017, the estimated fair value of the Earnout Payments totaled $41.2 million, $21.7 million of which is included in current contingent consideration and $19.5 million of which is included in non-current contingent consideration in the accompanying consolidated balance sheet. The estimated fair value of the Earnout Payments is determined using an option pricing model. The estimated value of the Earnout Payments is based upon available information and certain assumptions, known at the time of this report, which management believes are reasonable. Any differences in the actual Earnout Payments from the current estimated fair value of the Earnout Payments will be recorded in operating income (expense) in the consolidated statements of operations. During the second quarter and first six months of 2017, the Company recorded $9.4 million and $18.1 million, respectively, of contingent consideration expense in the consolidated statement of operations and comprehensive income due to the change in estimated fair value of the Earnout Payments.</w:t>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During the quarter ended March 31, 2017, the Company completed the determination of the final allocation of the purchase price with respect to the assets acquired and liabilities assumed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3,538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with definite lives, net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55,400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52,450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103,750</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Acquisition-related costs in the first six months of 2017 of $0.1 million are included in general and administrative expense in the accompanying consolidated statement of operations and comprehensive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DepositAccounts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14, 2017, the Company acquired substantially all of the assets of Deposits Online, LLC, which does business under the name DepositAccounts.com (“DepositAccounts”). DepositAccounts is a leading consumer-facing media property in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depository industry and is one of the most comprehensive sources of depository deals and analysis on the Web, covering all major deposit product categories through editorial content, programmatic rate tables and user-generated content.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 “Contingent Consideration”). These additional payments, to the extent earned, will be payable in cash. The Company has estimated a preliminary purchase price of $29.0 million, comprised of the upfront cash payment of $24.0 million and $5.0 million for the estimated fair value of the Contingent Consideration.</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estimated fair value of the portion of the Contingent Consideration payments based on increases in interest rates is determined using a scenario approach based on the interest rate forecasts of Federal Open Market Committee participants. The estimated fair value of the portion of the Contingent Consideration payments potentially earned based on net revenue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after the final determination of purchase price will be recorded in operating income (expense) in the consolidated statements of operations.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The preliminary allocation of purchase price to the assets acquired and liabilities assumed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19,389</w:t>
            </w:r>
          </w:p>
        </w:tc>
      </w:tr>
      <w:tr>
        <w:trPr>
          <w:trHeight w:val="27"/>
        </w:trPr>
        <w:tc>
          <w:tcPr>
            <w:tcW w:w="9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preliminary purchase price</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28,989</w:t>
            </w:r>
          </w:p>
        </w:tc>
      </w:tr>
      <w:tr>
        <w:trPr>
          <w:trHeight w:val="27"/>
        </w:trPr>
        <w:tc>
          <w:tcPr>
            <w:tcW w:w="9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excess earnings analysis, the customer relationships were determined using the distributor method and the trade name and trademarks were determined using relief from royalty analysis. 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c>
          <w:tcPr>
            <w:tcW w:w="1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8,600</w:t>
            </w:r>
          </w:p>
        </w:tc>
        <w:tc>
          <w:tcPr>
            <w:tcW w:w="18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Lists</w:t>
            </w:r>
          </w:p>
        </w:tc>
        <w:tc>
          <w:tcPr>
            <w:tcW w:w="16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w:t>
            </w:r>
          </w:p>
        </w:tc>
        <w:tc>
          <w:tcPr>
            <w:tcW w:w="18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400</w:t>
            </w:r>
          </w:p>
        </w:tc>
        <w:tc>
          <w:tcPr>
            <w:tcW w:w="18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9,600</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has not completed its determination of the final purchase price or the final allocation of the purchase price to the assets and liabilities of the acquisition. The purchase price and final allocation of purchase price is expected to be finalized in the third quarter of 2017. Any adjustment to the preliminary purchase price or the assets and liabilities assumed with the acquisition will adjust goodwill.</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preliminary goodwill of $19.4 million, which represents the excess of the purchase price over the estimated fair value of the intangible assets acquired. The goodwill is primarily attributable to DepositAccounts as a going concern which represents the ability of the Company to earn a higher return on the collection of assets and business of DepositAccounts than if those assets were to be acquired and managed separately. The benefit of access to the workforce is an additional element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goodwill. The goodwill is recorded in the Company’s one reportable segment. For income tax purposes, the Company treated the acquisition as an asset purchase and the goodwill will be tax deductible.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acquisition date, the Company’s consolidated results of operations include the results of the acquired DepositAccounts business. In the second quarter of 2017, revenue of $0.3 million and net income from continuing operations of $0.1 million have been included in the Company’s consolidated results of operations. Acquisition-related costs were $0.2 million in the second quarter of 2017 and are included in general and administrative expense on the consolidated statement of operations and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MagnifyMoney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20, 2017, the Company acquired the membership interests of Camino Del Avion (Delaware), LLC, which does business under the name MagnifyMoney (“MagnifyMoney”) for $29.6 million cash consideration at the closing of the transaction. Camino del Avion (Delaware), LLC was immediately merged with and into LendingTree, LLC following such acquisition. MagnifyMoney is a leading consumer-facing media property that offers unbiased editorial content, expert commentary, tools and resources to help consumers compare financial products and make informed financial decisions. The Company also has an option to acquire a foreign affiliate of one of the principals for $0.5 million at any time during the three years after the closing. This foreign affiliate provides technology and research support to MagnifyMoney under a services agreement.</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issued two key employees of MagnifyMoney restricted stock unit awards for a total of 38,468 shares of Company common stock, and may issue a further restricted stock unit award for 19,234 shares to a third key employee of the foreign affiliate should he become employed by the Company following the Company’s exercise of the option to acquire the foreign affiliate. The total value of these restricted stock unit awards was $10.0 million on June 20, 2017. All of these restricted stock units will vest, if at all, on the basis of performance conditions following the acquisition.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acquisition has been accounted for as a business combination. The preliminary allocation of purchase price to the assets acquired and liabilities assumed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9,700</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23,848</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7"/>
        </w:trPr>
        <w:tc>
          <w:tcPr>
            <w:tcW w:w="9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preliminary purchase price</w:t>
            </w:r>
          </w:p>
        </w:tc>
        <w:tc>
          <w:tcPr>
            <w:tcW w:w="56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29,555</w:t>
            </w:r>
          </w:p>
        </w:tc>
      </w:tr>
      <w:tr>
        <w:trPr>
          <w:trHeight w:val="34"/>
        </w:trPr>
        <w:tc>
          <w:tcPr>
            <w:tcW w:w="9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acquired intangible assets are definite-lived assets consisting primarily of content, developed technology, customer relationships and trade name and trademarks. The estimated fair values of the content was determined using excess earnings analysis, developed technology was determined using cost savings analysis, the customer relationships were determined using the distributor method and the trade name and trademarks were determined using relief from royalty analysis.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fair value of the intangible assets with definite lives are as follows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c>
          <w:tcPr>
            <w:tcW w:w="1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0" w:type="dxa"/>
            <w:vAlign w:val="bottom"/>
          </w:tcPr>
          <w:p>
            <w:pPr>
              <w:spacing w:after="0"/>
              <w:rPr>
                <w:sz w:val="1"/>
                <w:szCs w:val="1"/>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82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spacing w:after="0"/>
              <w:rPr>
                <w:sz w:val="21"/>
                <w:szCs w:val="21"/>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1,100</w:t>
            </w:r>
          </w:p>
        </w:tc>
        <w:tc>
          <w:tcPr>
            <w:tcW w:w="18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c>
          <w:tcPr>
            <w:tcW w:w="182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140" w:type="dxa"/>
            <w:vAlign w:val="bottom"/>
          </w:tcPr>
          <w:p>
            <w:pPr>
              <w:spacing w:after="0"/>
              <w:rPr>
                <w:sz w:val="21"/>
                <w:szCs w:val="21"/>
                <w:color w:val="auto"/>
              </w:rPr>
            </w:pP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7,800</w:t>
            </w:r>
          </w:p>
        </w:tc>
        <w:tc>
          <w:tcPr>
            <w:tcW w:w="18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7"/>
        </w:trPr>
        <w:tc>
          <w:tcPr>
            <w:tcW w:w="7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9,700</w:t>
            </w: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has not completed its determination of the final purchase price or the final allocation of the purchase price to the assets and liabilities of the acquisition. The purchase price and final allocation of purchase price is expected to be finalized in the third quarter of 2017. Any adjustment to the preliminary purchase price or the assets and liabilities assumed with the acquisition will adjust goodwill.</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preliminary goodwill of $23.8 million, which represents the excess of the purchase price over the estimated fair value of the tangible and intangible assets acquired, net of the liabilities assumed. The goodwill is primarily attributable to MagnifyMoney as a going concern which represents the ability of the Company to earn a higher return on the collection of assets and business of MagnifyMoney than if those assets were to be acquired and managed separately. The benefit of access to the workforce is an additional element of goodwill. The goodwill is recorded in the Company’s one reportable segment. For income tax purposes, the Company treated the acquisition as an equity purchase and the goodwill will not be tax deductible.</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foreign entity which provides technology and research support to MagnifyMoney under a services agreement is a variable interest entity which must be consolidated for financial reporting. The Company has recorded the assets, liabilities and non-controlling interest in this entity at their estimated fair value.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acquisition date, the Company’s consolidated results of operations include the results of the acquired MagnifyMoney business. In the second quarter of 2017, revenue of $0.1 million and net income from continuing operations of $0.0 million have been included in the Company’s consolidated results of operations. Acquisition-related costs were $0.2 million and $0.4 million, respectively, in the second quarter and first six months of 2017, respectively, and are included in general and administrative expense on the consolidated statement of operations and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Results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results for the second quarter and first six months of 2016 combines the consolidated results of the Company and CompareCards, DepositAccounts and MagnifyMoney giving effect to the acquisitions as if the CompareCards acquisition had been completed on January 1, 2015 and as if the DepositAccounts and MagnifyMoney acquisitions had been completed on January 1, 2016. This unaudited pro forma financial information is presented for informational purposes only and is not indicative of future operations or results had the acquisition been completed as of January 1, 2015 or 2016, or any other date.</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results include adjustments for additional amortization expense based on the fair value of the intangible assets with definite lives and their estimated useful lives. The provision for income taxes from continuing operations has also been adjusted to reflect the results of operations of CompareCards and DepositAccounts and the adjustment to historical results. CompareCards and DepositAccounts did not pay taxes at the entity level as these entities were limited liability companies whose members elected for them to be taxed as a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3"/>
                <w:szCs w:val="13"/>
                <w:color w:val="auto"/>
              </w:rPr>
            </w:pPr>
          </w:p>
        </w:tc>
      </w:tr>
      <w:tr>
        <w:trPr>
          <w:trHeight w:val="195"/>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155,220</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114,199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290,270</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226,677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8,457</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16,387</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14,452</w:t>
            </w:r>
          </w:p>
        </w:tc>
      </w:tr>
      <w:tr>
        <w:trPr>
          <w:trHeight w:val="27"/>
        </w:trPr>
        <w:tc>
          <w:tcPr>
            <w:tcW w:w="4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 forma net income from continuing operations in the second quarter and first six months of 2017 include the after tax contingent consideration expense associated with the CompareCards Earnout of $5.6 million and $10.9 million, respectively.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 forma net income from continuing operations for the first six months of 2016 have been adjusted to include acquisition-related costs of $0.8 million incurred by the Company, DepositAccounts and MagnifyMoney that are directly attributable to the acquisitions, which will not have an on-going impact. Accordingly, the acquisition-related costs have been eliminated from the pro forma net income from continuing operations for the second quarter and first six month of 2017.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6—ACCRUED EXPENSES AND OTHER CURRENT LIABILITIES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litigation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46,387</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26,976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5,868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1,903</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5,173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5,041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8,328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9,613</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68,960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49,403</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Basic and diluted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1440" w:gutter="0" w:footer="0" w:header="0"/>
        </w:sectPr>
      </w:pPr>
    </w:p>
    <w:p>
      <w:pPr>
        <w:spacing w:after="0" w:line="23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1972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03" w:lineRule="exact"/>
        <w:rPr>
          <w:sz w:val="20"/>
          <w:szCs w:val="20"/>
          <w:color w:val="auto"/>
        </w:rPr>
      </w:pPr>
    </w:p>
    <w:p>
      <w:pPr>
        <w:ind w:left="5760"/>
        <w:spacing w:after="0"/>
        <w:tabs>
          <w:tab w:leader="none" w:pos="736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24765</wp:posOffset>
            </wp:positionV>
            <wp:extent cx="1938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9" w:lineRule="exact"/>
        <w:rPr>
          <w:sz w:val="20"/>
          <w:szCs w:val="20"/>
          <w:color w:val="auto"/>
        </w:rPr>
      </w:pPr>
    </w:p>
    <w:p>
      <w:pPr>
        <w:sectPr>
          <w:pgSz w:w="11900" w:h="16838" w:orient="portrait"/>
          <w:cols w:equalWidth="0" w:num="2">
            <w:col w:w="8240" w:space="720"/>
            <w:col w:w="24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51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19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11,965</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11,795</w:t>
            </w:r>
          </w:p>
        </w:tc>
        <w:tc>
          <w:tcPr>
            <w:tcW w:w="100" w:type="dxa"/>
            <w:vAlign w:val="bottom"/>
            <w:tcBorders>
              <w:top w:val="single" w:sz="8" w:color="CCEEFF"/>
            </w:tcBorders>
            <w:shd w:val="clear" w:color="auto" w:fill="CCEEFF"/>
          </w:tcPr>
          <w:p>
            <w:pPr>
              <w:spacing w:after="0"/>
              <w:rPr>
                <w:sz w:val="23"/>
                <w:szCs w:val="23"/>
                <w:color w:val="auto"/>
              </w:rPr>
            </w:pPr>
          </w:p>
        </w:tc>
        <w:tc>
          <w:tcPr>
            <w:tcW w:w="19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11,896</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11,863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stock options</w:t>
            </w: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1,557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1,564</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92</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19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13,604</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12,730</w:t>
            </w: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13,552</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12,800</w:t>
            </w:r>
          </w:p>
        </w:tc>
      </w:tr>
      <w:tr>
        <w:trPr>
          <w:trHeight w:val="34"/>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0.625% Convertible Senior Notes and the warrants, which can be converted into the Company's common stock in the future, as discussed below, no shares related to potentially dilutive securities were excluded from the calculation of diluted income per share for the three and six months ended June 30, 2017 and 2016.</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0.625% Convertible Senior Notes due June 1, 2022 and the warrants issued by the Company in the second quarter of 2017 could be converted into the Company’s common stock in the future, subject to certain contingencies.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 —Debt for additional information. Shares of the Company’s common stock associated with these instruments were excluded from the calculation of diluted income per share as they are anti-dilutive since the conversion price of the Convertible Senior Notes and the strike price of the warrants were greater than the average market price of the Company’s common stock during the second quarter of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each of January 2010, May 2014, January 2016 and February 2016, the board of directors authorized and the Company announced the repurchase of up to $10.0 million, $10.0 million, $50.0 million and $40.0 million, respectively, of LendingTree's common stock. During the six months ended June 30, 2016, the Company purchased 686,627 shares of its common stock pursuant to this stock repurchase program. At June 30, 2017, approximately $48.7 million of the previous authorizations to repurchase common stock remain available for the Company to purchase its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8—STOCK-BASED COMPENSATION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gridSpan w:val="3"/>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692</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1,177</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1,601</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2,820</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562</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1,045</w:t>
            </w:r>
          </w:p>
        </w:tc>
        <w:tc>
          <w:tcPr>
            <w:tcW w:w="32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2,900</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5,130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5,062</w:t>
            </w:r>
          </w:p>
        </w:tc>
        <w:tc>
          <w:tcPr>
            <w:tcW w:w="0" w:type="dxa"/>
            <w:vAlign w:val="bottom"/>
          </w:tcPr>
          <w:p>
            <w:pPr>
              <w:spacing w:after="0"/>
              <w:rPr>
                <w:sz w:val="1"/>
                <w:szCs w:val="1"/>
                <w:color w:val="auto"/>
              </w:rPr>
            </w:pPr>
          </w:p>
        </w:tc>
      </w:tr>
      <w:tr>
        <w:trPr>
          <w:trHeight w:val="432"/>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0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2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Value</w:t>
            </w:r>
            <w:r>
              <w:rPr>
                <w:rFonts w:ascii="Times New Roman" w:cs="Times New Roman" w:eastAsia="Times New Roman" w:hAnsi="Times New Roman"/>
                <w:sz w:val="8"/>
                <w:szCs w:val="8"/>
                <w:b w:val="1"/>
                <w:bCs w:val="1"/>
                <w:color w:val="auto"/>
                <w:w w:val="99"/>
              </w:rPr>
              <w:t>(a)</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320" w:type="dxa"/>
            <w:vAlign w:val="bottom"/>
          </w:tcPr>
          <w:p>
            <w:pPr>
              <w:spacing w:after="0"/>
              <w:rPr>
                <w:sz w:val="16"/>
                <w:szCs w:val="16"/>
                <w:color w:val="auto"/>
              </w:rPr>
            </w:pPr>
          </w:p>
        </w:tc>
        <w:tc>
          <w:tcPr>
            <w:tcW w:w="12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1,991,802</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26,229</w:t>
            </w:r>
          </w:p>
        </w:tc>
        <w:tc>
          <w:tcPr>
            <w:tcW w:w="6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(172,025)</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(20,001)</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June 30, 2017</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1,826,005</w:t>
            </w: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21.74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274,738</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exercisable at June 30, 2017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1,077,526</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172,635</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$172.20 on the last trading day of the quarter ended June 30, 2017 and the exercise price, multiplied by the number of shares covered by in-the-money options) that would have been received by the option holders had all option holders exercised their options on June 30, 2017. The intrinsic value changes based on the market value of the Company's common stock.</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2017, the Company granted stock options to certain employees and members of the board of directors with a weighted average grant date fair value per share of $77.53, calculated using the Black-Scholes option pricing model, which vesting periods include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 years from the grant date, (b) two years from the grant date and (c) immediately upon grant.</w:t>
      </w:r>
    </w:p>
    <w:p>
      <w:pPr>
        <w:spacing w:after="0" w:line="15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6"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5.00 - 6.00 years</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5"/>
                <w:szCs w:val="25"/>
                <w:color w:val="auto"/>
                <w:vertAlign w:val="superscript"/>
              </w:rPr>
              <w:t>(2)</w:t>
            </w:r>
          </w:p>
        </w:tc>
        <w:tc>
          <w:tcPr>
            <w:tcW w:w="5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 - 52%</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 - 2.17%</w:t>
            </w:r>
          </w:p>
        </w:tc>
      </w:tr>
    </w:tbl>
    <w:p>
      <w:pPr>
        <w:spacing w:after="0" w:line="144"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granted in 2017, no dividends are expected to be paid over the contractual term of the stock options, resulting in a zero expected dividend rate.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outstanding nonvested restricted stock units ("RSUs") and restricted stock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1356"/>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2"/>
                <w:szCs w:val="12"/>
                <w:color w:val="auto"/>
              </w:rPr>
            </w:pPr>
          </w:p>
        </w:tc>
        <w:tc>
          <w:tcPr>
            <w:tcW w:w="16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7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January 1,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152,374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65.64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76,344</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132.43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(65,562)</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(10,383)</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June 30,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152,773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104.20</w:t>
            </w:r>
          </w:p>
        </w:tc>
        <w:tc>
          <w:tcPr>
            <w:tcW w:w="0" w:type="dxa"/>
            <w:vAlign w:val="bottom"/>
          </w:tcPr>
          <w:p>
            <w:pPr>
              <w:spacing w:after="0"/>
              <w:rPr>
                <w:sz w:val="1"/>
                <w:szCs w:val="1"/>
                <w:color w:val="auto"/>
              </w:rPr>
            </w:pPr>
          </w:p>
        </w:tc>
      </w:tr>
      <w:tr>
        <w:trPr>
          <w:trHeight w:val="549"/>
        </w:trPr>
        <w:tc>
          <w:tcPr>
            <w:tcW w:w="766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gridSpan w:val="3"/>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6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0" w:type="dxa"/>
            <w:vAlign w:val="bottom"/>
          </w:tcPr>
          <w:p>
            <w:pPr>
              <w:spacing w:after="0"/>
              <w:rPr>
                <w:sz w:val="1"/>
                <w:szCs w:val="1"/>
                <w:color w:val="auto"/>
              </w:rPr>
            </w:pPr>
          </w:p>
        </w:tc>
      </w:tr>
      <w:tr>
        <w:trPr>
          <w:trHeight w:val="78"/>
        </w:trPr>
        <w:tc>
          <w:tcPr>
            <w:tcW w:w="788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January 1,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14,464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25.14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(14,464)</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June 30,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48"/>
        </w:trPr>
        <w:tc>
          <w:tcPr>
            <w:tcW w:w="7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Performance Conditions</w:t>
            </w:r>
          </w:p>
        </w:tc>
        <w:tc>
          <w:tcPr>
            <w:tcW w:w="1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summary of the changes in outstanding nonvested RSUs with performance conditions is as follows: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2"/>
                <w:szCs w:val="12"/>
                <w:color w:val="auto"/>
              </w:rPr>
            </w:pPr>
          </w:p>
        </w:tc>
        <w:tc>
          <w:tcPr>
            <w:tcW w:w="16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78"/>
        </w:trPr>
        <w:tc>
          <w:tcPr>
            <w:tcW w:w="788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January 1,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44,509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88.28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53,306</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164.07</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89.49</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June 30,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96,884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129.97</w:t>
            </w:r>
          </w:p>
        </w:tc>
        <w:tc>
          <w:tcPr>
            <w:tcW w:w="0" w:type="dxa"/>
            <w:vAlign w:val="bottom"/>
          </w:tcPr>
          <w:p>
            <w:pPr>
              <w:spacing w:after="0"/>
              <w:rPr>
                <w:sz w:val="1"/>
                <w:szCs w:val="1"/>
                <w:color w:val="auto"/>
              </w:rPr>
            </w:pPr>
          </w:p>
        </w:tc>
      </w:tr>
      <w:tr>
        <w:trPr>
          <w:trHeight w:val="459"/>
        </w:trPr>
        <w:tc>
          <w:tcPr>
            <w:tcW w:w="7660" w:type="dxa"/>
            <w:vAlign w:val="bottom"/>
            <w:tcBorders>
              <w:top w:val="single" w:sz="8" w:color="auto"/>
            </w:tcBorders>
          </w:tcPr>
          <w:p>
            <w:pPr>
              <w:ind w:left="56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31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5"/>
        </w:trPr>
        <w:tc>
          <w:tcPr>
            <w:tcW w:w="55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191"/>
        </w:trPr>
        <w:tc>
          <w:tcPr>
            <w:tcW w:w="5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8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64"/>
        </w:trPr>
        <w:tc>
          <w:tcPr>
            <w:tcW w:w="5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(8,370)</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900" w:type="dxa"/>
            <w:vAlign w:val="bottom"/>
          </w:tcPr>
          <w:p>
            <w:pPr>
              <w:spacing w:after="0"/>
              <w:rPr>
                <w:sz w:val="21"/>
                <w:szCs w:val="21"/>
                <w:color w:val="auto"/>
              </w:rPr>
            </w:pPr>
          </w:p>
        </w:tc>
        <w:tc>
          <w:tcPr>
            <w:tcW w:w="96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i w:val="1"/>
                <w:iCs w:val="1"/>
                <w:color w:val="auto"/>
              </w:rPr>
              <w:t>(1.3)%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i w:val="1"/>
                <w:iCs w:val="1"/>
                <w:color w:val="auto"/>
              </w:rPr>
              <w:t>(8.1)%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34.5%</w:t>
            </w:r>
          </w:p>
        </w:tc>
      </w:tr>
      <w:tr>
        <w:trPr>
          <w:trHeight w:val="27"/>
        </w:trPr>
        <w:tc>
          <w:tcPr>
            <w:tcW w:w="554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62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12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the three and six months ended June 30, 2017, the effective tax rate varied from the federal statutory rate of 35% primarily due to a tax benefit of $3.8 million and $7.6 million, respectively, recognized for excess tax benefits due to employee exercises of stock options and vesting of restricted stock in accordance with ASU 2016-09.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Significant Accounting Policies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Recent Accounting Pronouncements for additional information.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2016, the effective tax rate varied from the federal statutory rate of 35% primarily due to the benefit derived from the federal research tax credit, partially offset by state taxes. The federal research tax credit benefit is the result of a study completed during the quarter for the open tax years 2011 through 2015, plus an estimate of the benefit from research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4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5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4"/>
        </w:trPr>
        <w:tc>
          <w:tcPr>
            <w:tcW w:w="5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 excluding excess tax benefit on stock compensation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(6,420)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 on stock compensation</w:t>
            </w:r>
          </w:p>
        </w:tc>
        <w:tc>
          <w:tcPr>
            <w:tcW w:w="34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3,840</w:t>
            </w:r>
          </w:p>
        </w:tc>
        <w:tc>
          <w:tcPr>
            <w:tcW w:w="4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7,603</w:t>
            </w:r>
          </w:p>
        </w:tc>
        <w:tc>
          <w:tcPr>
            <w:tcW w:w="4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1,183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7"/>
        </w:trPr>
        <w:tc>
          <w:tcPr>
            <w:tcW w:w="5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31, 2017, the Company issued $300.0 million aggregate principal amount of its 0.625% Convertible Senior Notes due June 1, 2022 (the “Notes”) in a private placement. The issuance included $35.0 million aggregate principal amount of Notes under a 30-day purchase option, solely to cover over-allotments, which was exercised in full. The Notes bear interest at a rate of 0.625% per year, payable semi-annually on June 1 and December 1 of each year, beginning on December 1, 2017. The Notes will mature on June 1, 2022, unless earlier repurchased or converted.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08"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second quarter of 2017, the Company recorded interest expense on the Notes of $1.1 million which consisted of $0.2 million associated with the 0.625% coupon rate and $0.9 million associated with the accretion of the debt discount. The debt discount will be amortized over the term of the debt.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Financing costs related to the issuance of the Notes were approximately $9.2 million of which $7.3 million were allocated to the liability component and are being amortized to interest expense over the term of the debt and $1.9 million were allocated to the equity component.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2017, the fair value of the Notes is estimated to be approximately $328.9 million using the Level 1 observable input of the last quoted market price on June 29, 2017.</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gross carrying amount, unamortized debt cost, debt issuance costs and net carrying value of the liability component of the Notes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3"/>
                <w:szCs w:val="13"/>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8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60,679</w:t>
            </w:r>
          </w:p>
        </w:tc>
        <w:tc>
          <w:tcPr>
            <w:tcW w:w="300" w:type="dxa"/>
            <w:vAlign w:val="bottom"/>
          </w:tcPr>
          <w:p>
            <w:pPr>
              <w:spacing w:after="0"/>
              <w:rPr>
                <w:sz w:val="21"/>
                <w:szCs w:val="21"/>
                <w:color w:val="auto"/>
              </w:rPr>
            </w:pP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7,226</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232,095</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
        </w:trPr>
        <w:tc>
          <w:tcPr>
            <w:tcW w:w="8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31, 2017, in connection with the issuance of the Notes, the Company entered into Convertible Note Hedge (the “Hedge”) and Warrant transactions with respect to the Company’s common stock. The Company used approximately $18.1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net proceeds from the Notes to pay for the cost of the Hedge, after such cost was partially offset by the proceeds from the Warrant transactions.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the working capital needs, capital expenditures and general corporate purposes, including to finance permitted acquisitions. As of June 30, 2017, the Company does not have any borrowings outstanding under the Revolving Credit Facility.</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1.0% to 2.0% based on the funded debt to consolidated EBITDA ratio; or</w:t>
      </w:r>
    </w:p>
    <w:p>
      <w:pPr>
        <w:spacing w:after="0" w:line="1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Revolving Credit Facility contains certain restrictive financial covenants, which include a funded debt to consolidated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June 30, 2017.</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second quarter of 2017, the Company entered into the Second Amendment to Credit Agreement (the “Second Amendment”). Among other things, the Second Amendment modified the original credit agreement to allow for the Notes and the Hedge and Warrant transactions, discussed above. The Second Amendment also increased the restrictive financial covenant for funded debt to consolidated EBITDA ratio. In addition, the Second Amendment also allows the Company to enter into a potential real estate term loan of an aggregate principal amount of no more than (a) $20.0 million which shall be used to finance all or a portion of the purchase price of certain real estate purchased in December 2016 and located in Charlotte, North Carolina, and (b) $25.0 million which shall be used to finance post-acquisition improvements to such real estate, related equipment, and related hedging obligations. As of July 28, 2017, the Company has not entered into the real estate term loan.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pay an unused commitment fee quarterly in arrears on the difference between committed amounts and amounts actually borrowed under the Revolving Credit Facility equal to an applicable percentage of 0.25% to 0.5% per annum based on a funded debt to consolidated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funded debt to consolidated EBITDA ratio. The letter of credit fronting fee is 0.125% per annum on the face amount of each letter of credit.</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$1.3 million for the Revolving Credit Facility, which is included in prepaid and other current assets and other non-current assets in the Company's consolidated balance sheet and is being amortized to interest expense over the life of the Revolving Credit Facility of five years.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11, unless otherwise indicated, the Company is unable to estimate the possible loss or range of losses that could potentially result from the application of such non-monetary remedies.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2017 and December 31, 2016, the Company had a litigation settlement accrual of $1.3 million and $0.7 million, respectively, in continuing operations and $4.0 million and $4.0 million, respectively, in discontinued operations. The litigation settlement accrual relates to litigation matters that were either settled or a firm offer for settlement was extended, thereby establishing an accrual amount that is both probable and reasonably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Intellectual Property Litigation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Zillow</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LendingTree v. Zillow, Inc., et al. Civil Action No. 3:10-cv-439</w:t>
      </w:r>
      <w:r>
        <w:rPr>
          <w:rFonts w:ascii="Times New Roman" w:cs="Times New Roman" w:eastAsia="Times New Roman" w:hAnsi="Times New Roman"/>
          <w:sz w:val="18"/>
          <w:szCs w:val="18"/>
          <w:color w:val="auto"/>
        </w:rPr>
        <w:t>. On September 8, 2010, the Company filed an action for patent infringement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infringed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The appeal was heard by the U.S. Court of Appeals for the Federal Circuit in June 2016, and in July 2016 the Court determined that certain of the claims of the two patents referenced above were directed to ineligible subject matter and thus such claims were invalid under 35 U.S.C. Section 101. With respect to the remaining claims that the Court did not hold were ineligible, the Court granted a remand to the federal district court to allow LendingTree to file a motion to vacate the judgment of invalidity for incorrect inventorship.</w:t>
      </w:r>
    </w:p>
    <w:p>
      <w:pPr>
        <w:spacing w:after="0" w:line="13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2017, the Federal District Court vacated the invalidity judgment arising from the March 2014 jury verdict. As a result, certain claims of the Company's two issued patents remain valid. The case is now closed and the Company expects no further significant events regarding this litigation.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Next Advisor Continued, Inc.</w:t>
      </w:r>
    </w:p>
    <w:p>
      <w:pPr>
        <w:spacing w:after="0" w:line="17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Next Advisor Continued, Inc. v. LendingTree, Inc. and LendingTree, LLC, No. 15-cvs-20775 (N.C. Super. Ct.)</w:t>
      </w:r>
      <w:r>
        <w:rPr>
          <w:rFonts w:ascii="Times New Roman" w:cs="Times New Roman" w:eastAsia="Times New Roman" w:hAnsi="Times New Roman"/>
          <w:sz w:val="18"/>
          <w:szCs w:val="18"/>
          <w:color w:val="auto"/>
        </w:rPr>
        <w:t>. On November 6, 2015, the plaintiff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action against LendingTree, Inc. and LendingTree, LLC (together "LendingTree"). The plaintiff generally alleges that LendingTree breached a non-disclosure agreement and misappropriated trade secrets in the context of a potential business acquisition of the plaintiff by LendingTree. Based upon these allegations, the plaintiff asserts claims for breach of contract, misappropriation of trade secrets and violation of North Carolina Unfair and Deceptive Trade Practices Act. The plaintiff seeks damages, attorneys' fees and injunctive relief.</w:t>
      </w:r>
    </w:p>
    <w:p>
      <w:pPr>
        <w:spacing w:after="0" w:line="12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16, 2015, LendingTree filed its answer to the plaintiff's complaint, denying the material allegations and asserting numerous defenses thereto. In June 2016, the Court granted plaintiff's motion for preliminary injunction and ordered that LendingTree cease any utilization of confidential and trade secret information of plaintiff and cease marketing its credit card product via certain third party content marketing platforms until the judge finally determines the facts in this matter and the appropriate relief, if any, to be granted with respect thereto. LendingTree believes that the plaintiff's allegations lack merit and intends to vigorously defend this action. In July 2016, LendingTree filed a notice of interlocutory appeal with respect to the order granting plaintiff's motion for preliminary injunction to the North Carolina Supreme Court; the interlocutory appeal was dismissed in December 2016. In February 2017, LendingTree filed a motion for partial summary judgment. In June 2017, the court granted LendingTree's motion for partial summary judgment, ruling that plaintiff is not entitled to injunctive relief after January 2, 2018 and that plaintiff is not entitled to recover compensatory damages on any of plaintiff's claims. LendingTree and the plaintiff 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in settlement discussions. An estimated liability of $0.8 million for this matter is included in the accompanying consolidated balance sheet as of June 30, 2017.</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Massachusetts Division of Banks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0" w:lineRule="exact"/>
        <w:rPr>
          <w:sz w:val="20"/>
          <w:szCs w:val="20"/>
          <w:color w:val="auto"/>
        </w:rPr>
      </w:pPr>
    </w:p>
    <w:p>
      <w:pPr>
        <w:jc w:val="both"/>
        <w:ind w:firstLine="368"/>
        <w:spacing w:after="0" w:line="255" w:lineRule="auto"/>
        <w:rPr>
          <w:sz w:val="20"/>
          <w:szCs w:val="20"/>
          <w:color w:val="auto"/>
        </w:rPr>
      </w:pPr>
      <w:r>
        <w:rPr>
          <w:rFonts w:ascii="Times New Roman" w:cs="Times New Roman" w:eastAsia="Times New Roman" w:hAnsi="Times New Roman"/>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an estimated liability of $0.5 million has been established for this matter in the accompanying consolidated balance sheet as of June 30, 2017.</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Litigation Related to Discontinued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Residential Funding Company</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Residential Funding Company, LLC v Home Loan Center, Inc., No. 13-cv-3451 (U.S. Dist. Ct., Minn.). </w:t>
      </w:r>
      <w:r>
        <w:rPr>
          <w:rFonts w:ascii="Times New Roman" w:cs="Times New Roman" w:eastAsia="Times New Roman" w:hAnsi="Times New Roman"/>
          <w:sz w:val="18"/>
          <w:szCs w:val="18"/>
          <w:color w:val="auto"/>
        </w:rPr>
        <w:t>On or about December 16, 2013, Home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9, 2015, HLC filed its answer to RFC’s complaint, denying the material allegations of the complaint and asserting numerous defenses thereto. Discovery is ongoing in this matter. Plaintiff is seeking damages of $61.0 million in this action; HLC intends to vigorously defend this action. An estimated liability of $3.0 million for this matter is included in the accompanying consolidated balance sheet as of June 30, 2017.</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Lehman Brothers Holdings, Inc.</w:t>
      </w:r>
    </w:p>
    <w:p>
      <w:pPr>
        <w:spacing w:after="0" w:line="11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Lehman Brothers Holdings Inc. v. 1st Advantage Mortgage, LLC et al., Case No. 08-13555 (SCC), Adversary Proceeding No. 16-01342 (SCC) (Bankr. S.D.N.Y.). </w:t>
      </w:r>
      <w:r>
        <w:rPr>
          <w:rFonts w:ascii="Times New Roman" w:cs="Times New Roman" w:eastAsia="Times New Roman" w:hAnsi="Times New Roman"/>
          <w:sz w:val="18"/>
          <w:szCs w:val="18"/>
          <w:color w:val="auto"/>
        </w:rPr>
        <w:t>In February 2016, Lehman Brothers Holdings, Inc. (“LBHI”) filed an Adversary Complaint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against Home Loan Center and approximately 149 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 (2) indemnification from HLC and the other defendants for losses allegedly incurred by LBHI in respect of defective mortgage loans sold by defendants to LBHI or its affiliates; and (3) interest, attorneys' fees and costs incurred by LBHI in the litigation. On March 31, 2017, HLC filed an omnibus motion to dismiss with other defendants.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An estimated liability of $1.0 million for this matter is included in the accompanying consolidated balance sheet as of June 30, 2017.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12—FAIR VALUE MEASUREMENTS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Other than the 0.625% Convertible Senior Notes and the Warrants, the carrying amounts of the Company's financial instruments are equal to fair value at June 30, 2017.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10—Debt for additional information on the 0.625% Convertible Senior Notes and the Warrants.</w:t>
      </w:r>
    </w:p>
    <w:p>
      <w:pPr>
        <w:spacing w:after="0" w:line="10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Contingent consideration payments related to acquisitions are measured at fair value each reporting period using Level 3 unobservable inputs. The changes in the fair value of the Company's Level 3 liabilities during the six months ended June 30, 2017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49"/>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2920" w:type="dxa"/>
            <w:vAlign w:val="bottom"/>
            <w:tcBorders>
              <w:bottom w:val="single" w:sz="8" w:color="CCEEFF"/>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23,100</w:t>
            </w:r>
          </w:p>
        </w:tc>
      </w:tr>
      <w:tr>
        <w:trPr>
          <w:trHeight w:val="243"/>
        </w:trPr>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into Level 3</w:t>
            </w:r>
          </w:p>
        </w:tc>
        <w:tc>
          <w:tcPr>
            <w:tcW w:w="29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out of Level 3</w:t>
            </w:r>
          </w:p>
        </w:tc>
        <w:tc>
          <w:tcPr>
            <w:tcW w:w="2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gains (losses) included in earnings (realized and unrealized)</w:t>
            </w:r>
          </w:p>
        </w:tc>
        <w:tc>
          <w:tcPr>
            <w:tcW w:w="29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18,139</w:t>
            </w:r>
          </w:p>
        </w:tc>
      </w:tr>
      <w:tr>
        <w:trPr>
          <w:trHeight w:val="27"/>
        </w:trPr>
        <w:tc>
          <w:tcPr>
            <w:tcW w:w="7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2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9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4,988</w:t>
            </w:r>
          </w:p>
        </w:tc>
      </w:tr>
      <w:tr>
        <w:trPr>
          <w:trHeight w:val="27"/>
        </w:trPr>
        <w:tc>
          <w:tcPr>
            <w:tcW w:w="7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9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2017</w:t>
            </w:r>
          </w:p>
        </w:tc>
        <w:tc>
          <w:tcPr>
            <w:tcW w:w="292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46,227</w:t>
            </w:r>
          </w:p>
        </w:tc>
      </w:tr>
      <w:tr>
        <w:trPr>
          <w:trHeight w:val="34"/>
        </w:trPr>
        <w:tc>
          <w:tcPr>
            <w:tcW w:w="7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contingent consideration liability at June 30, 2017 is the estimated fair value of the Earnout Payments of the CompareCards and DepositAccounts acquisitions. The Company will make Earnout Payments ranging from zero to $45.0 million based on the achievement of certain defined earnings targets for CompareCards and payments ranging from zero to $9.0 million based on the achievement of defined milestone and performance targets for DepositAccounts.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5—Business Acquisition for additional information on the contingent consideration for each of these respective acquisitions. The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unobservable inputs used to calculate the fair value of the contingent consideration are estimated future cash flows for the acquisitions,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(expense) in the consolidated statements of operations and comprehensive income.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reportable segment.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Mortgage and non-mortgage product 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22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50"/>
        </w:trPr>
        <w:tc>
          <w:tcPr>
            <w:tcW w:w="6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56,032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111,048</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Non-mortgage products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81,258</w:t>
            </w:r>
          </w:p>
        </w:tc>
        <w:tc>
          <w:tcPr>
            <w:tcW w:w="4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38,258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150,835</w:t>
            </w:r>
          </w:p>
        </w:tc>
        <w:tc>
          <w:tcPr>
            <w:tcW w:w="4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77,955</w:t>
            </w:r>
          </w:p>
        </w:tc>
      </w:tr>
      <w:tr>
        <w:trPr>
          <w:trHeight w:val="27"/>
        </w:trPr>
        <w:tc>
          <w:tcPr>
            <w:tcW w:w="6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152,773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94,290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285,288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189,003</w:t>
            </w:r>
          </w:p>
        </w:tc>
      </w:tr>
      <w:tr>
        <w:trPr>
          <w:trHeight w:val="27"/>
        </w:trPr>
        <w:tc>
          <w:tcPr>
            <w:tcW w:w="6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14—DISCONTINUED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revenue and net loss reported as discontinued operations in the accompanying consolidated statements of operations and comprehensive income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7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(750)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(1,059)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(2,494)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370</w:t>
            </w:r>
          </w:p>
        </w:tc>
        <w:tc>
          <w:tcPr>
            <w:tcW w:w="4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873</w:t>
            </w:r>
          </w:p>
        </w:tc>
        <w:tc>
          <w:tcPr>
            <w:tcW w:w="4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1,266</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(689)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(1,621)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(2,353)</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LendingTree Loans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paid, as of June 30, 2017, $4.0 million is being held in escrow in accordance with the agreement with Discover for certain loan loss obligations that remain with the Company following the sale. The escrowed amount is recorded as restricted cash as of June 30, 2017.</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Loan Loss Obligations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the aggregate loans sold, subsequent settlements and remaining unsettled loans.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Times New Roman" w:cs="Times New Roman" w:eastAsia="Times New Roman" w:hAnsi="Times New Roman"/>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Subsequent settlements</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Remaining unsettled balance as of June 30, 2017</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67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range of remaining loan losses using this settlement discount framework was determined to be $4.3 million to $7.9 million at June 30, 2017. The reserve balance recorded as of June 30, 2017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historical experience, it is anticipated that LendingTree Loans will continue to receive repurchase requests and incur losses on loans sold in prior years.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activity related to loss reserves on previously sold loans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7,554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6,804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8,127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w:t>
            </w: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7,554</w:t>
            </w:r>
          </w:p>
        </w:tc>
        <w:tc>
          <w:tcPr>
            <w:tcW w:w="4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8,127</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8,127</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liability for losses on previously sold loans is presented as current liabilities of discontinued operations in the accompanying consolidated balance sheet as of June 30, 2017 and December 31,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15—SUBSEQUENT EVENT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25, 2017, the Company’s Compensation Committee of its Board of Directors approved new compensation arrangements for Douglas Lebda, its Chairman and Chief Executive Officer. The new compensation arrangements include the issuance of performance based equity compensation grants to Mr. Lebda with a modeled total grant date value of $87.5 million of which 25% would be in the form of time-vested restricted stock awards with a performance condition and 75% would be in the form of performance-based nonqualified stock options. The performance-based nonqualified stock options have a target number of shares that vest upon achieving targeted total shareholder return performance of 110% stock price appreciation and a maximum number of shares for achieving superior performance up to 167% of the target number of shares. No shares will vest unless 70% of the targeted performance is achieved. Time-based service vesting conditions would also have to be satisfied in order for performance-vested shares to become fully vested and no longer subject to forfeiture. In connection with the new compensation arrangements, on July 26, 2017, Mr. Lebda received an initial grant of performance-based nonqualified stock options with a target number of shares of 402,694 and a maximum number of shares of 672,499. Mr. Lebda will also be entitled to future equity grants in each of 2018 through 2020.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2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elsewhere in this quarterly report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2016 Annual Report.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LendingTree operates what we believe to be the leading online loan marketplace for consumers seeking loans, deposit accounts and other credit-based offerings. Our online marketplace provides consumers with access to product offerings from our Network Lenders, including mortgage loans, home equity loans and lines of credit, reverse mortgage loans, auto loans, credit cards, deposit accounts, personal loans, student loans, small business loans and other related offerings. In addition, we offer tools and resources, including free credit scores, that facilitate comparison shopping for these loan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consumer and small business financial services industry is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 and Hedge and Warrant Transactions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10—Debt, in the notes to the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Acquisitions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June 20, 2017, we acquired the membership interests of Camino Del Avion, LLC, which does business under the name MagnifyMoney for $29.6 million cash consideration at the closing of the transaction. MagnifyMoney is a leading consumer-facing media property that offers unbiased editorial content, expert commentary, tools and resources to help consumers compare financial products and make informed financial decisions.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2017, we acquired substantially all of the assets of Deposits Online, LLC, which does business under the name DepositAccounts.com (“DepositAccounts”) for $24.0 million in cash at closing and contingent consideration payments of up to $9.0 million through June 30, 2020. DepositAccounts is a leading consumer-facing media property in the depository industry and is one of the most comprehensive sources of depository deals and analysis on the Web, covering all major deposit product categories through editorial content, programmatic rate tables and user-generated content.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16, 2016, we acquired Iron Horse Holdings, LLC, which does business under the name CompareCards for $80.7 million in cash at closing and contingent consideration payments of up to $22.5 million in each of 2017 and 2018, subject to achieving specific growth targets. CompareCards is a leading online source for side-by-side credit card comparison shopping. CompareCards provides consumers with one centralized location for pertinent credit card information needed to find the best card for their needs. The acquisition continues our diversification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North Carolina Office Properties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2016, we completed the acquisition of two office buildings in Charlotte, North Carolina, for $23.5 million in cash. We intend to utilize one or both buildings in the future as our principal executive offices, and any unused space will continue to be occupied by tenants.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 experience less consumer demand during the fourth and first quarters of each year. We also anticipate less consumer demand for credit cards in the fourth quarter of each year. Other factors affecting our business include macro factors such as credit availability in the market, interest rates, the strength of the economy and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Freddie Mac, 30-year mortgage interest rates have started to fall, to a monthly average of 3.9% in June 2017. On a quarterly basis, 30-year mortgage interest rates in the second quarter of 2017 averaged 3.99%, as compared to 3.59% in the second quarter of 2016 and 4.17% in the first quarter of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446405</wp:posOffset>
            </wp:positionV>
            <wp:extent cx="4905375" cy="2512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053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moves towards purchase mortgages. According to Mortgage Bankers Association ("MBA") data, total refinance origination dollars decreased to 32% of total mortgage origination dollars, while purchase origination dollars increased to 68% in the second quarter of 2017 over the first quarter of 2017.</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Looking forward, MBA is projecting 30-year mortgage interest rates to increase through the end of the year. According to MBA projections, as interest rates climb, the mix of mortgage origination dollars will move towards purchase mortgages with the refinance share representing just 33% for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According to the National Association of Realtors ("NAR"), 2017 started with the fastest pace of existing home sales in almost a decade. However, pending home sales declined in May for the third consecutive month due to limited supply. The NAR expects inventory to remain low for 2017, but forecasts an increase of 3.2% in existing home sales from 2016.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2017 and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6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2"/>
                <w:szCs w:val="12"/>
                <w:color w:val="auto"/>
              </w:rPr>
            </w:pPr>
          </w:p>
        </w:tc>
        <w:tc>
          <w:tcPr>
            <w:tcW w:w="1000" w:type="dxa"/>
            <w:vAlign w:val="bottom"/>
          </w:tcPr>
          <w:p>
            <w:pPr>
              <w:jc w:val="right"/>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2"/>
                <w:szCs w:val="12"/>
                <w:color w:val="auto"/>
              </w:rPr>
            </w:pPr>
          </w:p>
        </w:tc>
        <w:tc>
          <w:tcPr>
            <w:tcW w:w="840" w:type="dxa"/>
            <w:vAlign w:val="bottom"/>
          </w:tcPr>
          <w:p>
            <w:pPr>
              <w:jc w:val="right"/>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4"/>
          </w:tcPr>
          <w:p>
            <w:pPr>
              <w:jc w:val="right"/>
              <w:ind w:right="379"/>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Mortgage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56,032</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15,483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134,453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111,048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23,405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Non-mortgage products</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81,258</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38,258</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43,000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150,835</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77,955</w:t>
            </w:r>
          </w:p>
        </w:tc>
        <w:tc>
          <w:tcPr>
            <w:tcW w:w="14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72,880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152,773</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94,290</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58,483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285,288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189,003</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96,285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51 %</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 and amortization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shown separately below)</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4,164</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3,464</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7,755</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818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109,141</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64,538</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44,603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202,392</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129,597</w:t>
            </w:r>
          </w:p>
        </w:tc>
        <w:tc>
          <w:tcPr>
            <w:tcW w:w="14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72,795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12,094</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8,553</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3,541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23,641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17,812</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5,829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development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4,064</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3,781</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283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7,687</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14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1,808</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1,174</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634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3,511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2,608</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2,536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5,217</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5,120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5,278 %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9,393</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9,393</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18,139</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18,139</w:t>
            </w:r>
          </w:p>
        </w:tc>
        <w:tc>
          <w:tcPr>
            <w:tcW w:w="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Severance</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175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332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364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666 %</w:t>
            </w:r>
          </w:p>
        </w:tc>
        <w:tc>
          <w:tcPr>
            <w:tcW w:w="0" w:type="dxa"/>
            <w:vAlign w:val="bottom"/>
          </w:tcPr>
          <w:p>
            <w:pPr>
              <w:spacing w:after="0"/>
              <w:rPr>
                <w:sz w:val="1"/>
                <w:szCs w:val="1"/>
                <w:color w:val="auto"/>
              </w:rPr>
            </w:pPr>
          </w:p>
        </w:tc>
      </w:tr>
      <w:tr>
        <w:trPr>
          <w:trHeight w:val="231"/>
        </w:trPr>
        <w:tc>
          <w:tcPr>
            <w:tcW w:w="4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143,804</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81,575</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62,229</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76 %</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269,435</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164,443</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104,992</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8,969</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12,715</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(3,746)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15,853</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24,560</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(8,707)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938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13</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7,903</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12,574</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(4,671)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14,622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24,277</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(9,655)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80" w:type="dxa"/>
            <w:vAlign w:val="bottom"/>
          </w:tcPr>
          <w:p>
            <w:pPr>
              <w:spacing w:after="0"/>
              <w:rPr>
                <w:sz w:val="20"/>
                <w:szCs w:val="20"/>
                <w:color w:val="auto"/>
              </w:rPr>
            </w:pPr>
          </w:p>
        </w:tc>
        <w:tc>
          <w:tcPr>
            <w:tcW w:w="10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3,676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40" w:type="dxa"/>
            <w:vAlign w:val="bottom"/>
          </w:tcPr>
          <w:p>
            <w:pPr>
              <w:spacing w:after="0"/>
              <w:rPr>
                <w:sz w:val="20"/>
                <w:szCs w:val="20"/>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9,553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8,007</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9,002</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(995)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15,805</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15,907</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Loss from discontinued operations, net of tax</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80" w:type="dxa"/>
            <w:vAlign w:val="bottom"/>
          </w:tcPr>
          <w:p>
            <w:pPr>
              <w:spacing w:after="0"/>
              <w:rPr>
                <w:sz w:val="20"/>
                <w:szCs w:val="20"/>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(461)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40" w:type="dxa"/>
            <w:vAlign w:val="bottom"/>
          </w:tcPr>
          <w:p>
            <w:pPr>
              <w:spacing w:after="0"/>
              <w:rPr>
                <w:sz w:val="20"/>
                <w:szCs w:val="20"/>
                <w:color w:val="auto"/>
              </w:rPr>
            </w:pP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(732)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and comprehensive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7,318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7,852</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(534)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14,184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13,554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630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c>
          <w:tcPr>
            <w:tcW w:w="0" w:type="dxa"/>
            <w:vAlign w:val="bottom"/>
          </w:tcPr>
          <w:p>
            <w:pPr>
              <w:spacing w:after="0"/>
              <w:rPr>
                <w:sz w:val="1"/>
                <w:szCs w:val="1"/>
                <w:color w:val="auto"/>
              </w:rPr>
            </w:pPr>
          </w:p>
        </w:tc>
      </w:tr>
      <w:tr>
        <w:trPr>
          <w:trHeight w:val="27"/>
        </w:trPr>
        <w:tc>
          <w:tcPr>
            <w:tcW w:w="4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in the second quarter and first six months of 2017 compared to the second quarter and first six months of 2016 due to increases in our non-mortgage products of $43.0 million and $72.9 million, respectively, and in our mortgage products of $15.5 million and $23.4 million, respectively.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non-mortgage products include the following non-mortgage lending products: personal loans, credit cards, home equity loans and lines of credit, reverse mortgage loans, auto loans, small business loans and student loans. Our non-mortgage products also include deposit accounts, home improvement referrals and other credit products such as credit repair and debt settlement. Many of our non-mortgage products are not individually significant to revenue. The increase in revenue from our non-mortgage products in the second quarter and first six months of 2017 from the second quarter and first six months of 2016 is primarily due to increases in our credit cards, personal loans and home equity products.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our credit cards product increased $29.2 million to $37.0 million in the second quarter of 2017 from $7.8 million in the second quarter of 2016, or 377%, and increased $53.9 million to $70.8 million in the first six months of 2017 from $16.9 million in the first six months of 2016, or 318%, primarily due to the contribution from the CompareCards acquisition, completed on November 16, 2016.</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our personal loans product increased $3.8 million to $20.5 million in the second quarter of 2017 from $16.7 million in the first quarter of 2016, or 23% and increased $3.2 million to $37.5 million in the first six months of 2017 from $34.3 million in the first six months of 2016, or 10%, primarily due to increases in the number of consumers completing request forms,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partially offset by decreases in revenue earned per consumer. Certain of our online personal loan lenders experienced well-publicized challenges in 2016, in particular, general unavailability of capital, increased pricing demanded by investors of personal loans, which in some cases led to reductions in marketing spend, and tightening in underwriting standards.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periods presented, no other non-mortgage product represented more than 10% of revenue, however certain other non-mortgage products experienced notable increases. Revenue from our home equity product increased by $6.9 million in the second quarter of 2017 compared to the second quarter of 2016 and increased by $11.6 million in the first six months of 2017 compared to the first six months of 2016 due to increases in lender coverage, revenue earned per consumer, and the number of consumers completing request forms, combined with increased marketing efforts.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increase in revenue from our mortgage products in the second quarter and first six months of 2017 compared to the second quarter and first six months of 2016 is primarily due to an increase in revenue from both our purchase and refinance products. The revenue from our purchase product increased $10.7 million in the second quarter of 2017 from the second quarter of 2016 and increased $17.2 million in the first six months of 2017 from the first six months of 2016. The revenue from our refinance product increased $4.8 million in the second quarter of 2017 from the second quarter of 2016 and $6.2 million in the first six months of 2017 from the first six months of 2016. The increase in revenue from our mortgage product is primarily due to an increase in lender demand and an increase in marketing efforts. The revenue earned per consumer from our mortgage products increased in the second quarter and first six months of 2017 compared to the second quarter and first six months of 2016, while the number of consumers completing a request form for mortgage products remained relatively consistent.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increased in the second quarter of 2017 from the second quarter of 2016, primarily due to increases of $0.5 million in compensation and benefits as a result of increases in headcount, and increases of $0.4 million in third-party customer call center fees.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as a percentage of revenue decreased from 4% for the second quarter of 2016 to 3% for the second quarter of 2017.</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increased in the first six months of 2017 from the first six months of 2016, primarily due to increases of $0.9 million in compensation and benefits as a result of increases in headcount.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as a percentage of revenue decreased from 4% for the first six months of 2016 to 3% for the first six months of 2017.</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fees paid for consumer inquiries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increases in selling and marketing expense in the second quarter and first six months of 2017 compared to the second quarter and first six months of 2016 were primarily due to increases in advertising and promotional expense of $44.1 million and $72.6 million, respectively, as discussed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2"/>
                <w:szCs w:val="12"/>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920" w:type="dxa"/>
            <w:vAlign w:val="bottom"/>
          </w:tcPr>
          <w:p>
            <w:pPr>
              <w:jc w:val="right"/>
              <w:ind w:right="49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2"/>
                <w:szCs w:val="12"/>
                <w:color w:val="auto"/>
              </w:rPr>
            </w:pPr>
          </w:p>
        </w:tc>
        <w:tc>
          <w:tcPr>
            <w:tcW w:w="8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9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92,791</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50,566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42,225</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173,451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101,093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72,358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Broadcast</w:t>
            </w: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10,172</w:t>
            </w:r>
          </w:p>
        </w:tc>
        <w:tc>
          <w:tcPr>
            <w:tcW w:w="3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8,921</w:t>
            </w:r>
          </w:p>
        </w:tc>
        <w:tc>
          <w:tcPr>
            <w:tcW w:w="300" w:type="dxa"/>
            <w:vAlign w:val="bottom"/>
          </w:tcPr>
          <w:p>
            <w:pPr>
              <w:spacing w:after="0"/>
              <w:rPr>
                <w:sz w:val="21"/>
                <w:szCs w:val="21"/>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1,251</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17,404</w:t>
            </w: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17,637</w:t>
            </w:r>
          </w:p>
        </w:tc>
        <w:tc>
          <w:tcPr>
            <w:tcW w:w="30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(233)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1,497</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671</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2,607</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2,163</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444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7"/>
        </w:trPr>
        <w:tc>
          <w:tcPr>
            <w:tcW w:w="2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104,460</w:t>
            </w:r>
          </w:p>
        </w:tc>
        <w:tc>
          <w:tcPr>
            <w:tcW w:w="3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60,313</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44,147</w:t>
            </w:r>
          </w:p>
        </w:tc>
        <w:tc>
          <w:tcPr>
            <w:tcW w:w="8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73%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193,462</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120,893</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72,569</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0" w:type="dxa"/>
            <w:vAlign w:val="bottom"/>
          </w:tcPr>
          <w:p>
            <w:pPr>
              <w:spacing w:after="0"/>
              <w:rPr>
                <w:sz w:val="1"/>
                <w:szCs w:val="1"/>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increased our advertising expenditures in the second quarter and first six months of 2017 compared to the second quarter and first six months of 2016 in order to generate additional consumer inquiries to meet the increased demand of lenders on our marketplace.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8" w:lineRule="exact"/>
        <w:rPr>
          <w:sz w:val="20"/>
          <w:szCs w:val="20"/>
          <w:color w:val="auto"/>
        </w:rPr>
      </w:pPr>
    </w:p>
    <w:p>
      <w:pPr>
        <w:jc w:val="both"/>
        <w:ind w:right="20" w:firstLine="37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in the second quarter of 2017 from the second quarter of 2016, primarily due to increases in compensation and benefits of $2.8 million as a result of increases in headcount.</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decreased to 8% in the second quarter of 2017 from 9% in the second quarter of 2016.</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in the first six months of 2017 from the first six months of 2016, primarily due to increases in compensation and benefits of $4.3 million as a result of increases in headcount and increases in other taxes of $0.5 million.</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decreased to 8% in the first six months of 2017 from 9% in the first six months of 2016.</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recently granted long-term equity awards to our senior leadership and anticipate future long-term awards to the rest of our senior leadership team. These awards are intended to tie the management team to the long-term performance of our stock, and they have both time and significant performance-based vesting conditions. General and administrative expense is expected to increase in future periods due to the non-cash compensation expense related to these grants. This increase in general and administrative expense is expected to result in material reductions in net income from continuing operations in future periods compared to historical periods. The amount and timing of these effects will depend on the nature of the equity awards that the independent Compensation Committee of the Board of Directors determines to grant and the assumptions used to determine associated stock-based compensation expense. For additional information regarding the awards granted in the third quarter of 2017,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Part II, Item 5, “Other Information” included elsewhere in this report. Non-cash compensation expense is excluded from Adjusted EBITDA. See “Adjusted EBITDA” below.</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and first six months of 2017, we recorded $9.4 million and $18.1 million, respectively, of contingent consideration expense due to an adjustment in the estimated fair value of the earnout payments related to the CompareCards acquisition primarily due to increased performance of CompareCards.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 development expense remained relatively consistent in the second quarter and first six months of 2017 compared to the second quarter and first six months of 2016,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the second quarter and first six months of 2017, the effective tax rate varied from the federal statutory rate of 35% primarily due to a tax benefit of $3.8 million and $7.6 million, respectively, recognized for excess tax benefits due to employee exercises of stock options and vesting of restricted stock in accordance with ASU 2016-09.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Significant Accounting Policies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for additional information.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second quarter and first six months of 2016, the effective tax rate varied from the federal statutory rate of 35% primarily due to the benefit derived from the federal research tax credit, partially offset by state taxes. The federal research tax credit benefit is the result of a study completed during the quarter for the open tax years 2011 through 2015, plus an estimate of the benefit from research activities.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changes to our valuation allowance assessment for the second quarter of 2017.</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52"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is a reconciliation of net income from continuing operations to Adjusted EBITDA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40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8,007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9,002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15,805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15,907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2,608</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5,217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1,808</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3,511</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309</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2,900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5,130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5,062</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9,393</w:t>
            </w:r>
          </w:p>
        </w:tc>
        <w:tc>
          <w:tcPr>
            <w:tcW w:w="4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18,139</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488</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1,037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285</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689</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1,079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1,244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depreciation and amortization of intangibles</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263</w:t>
            </w:r>
          </w:p>
        </w:tc>
        <w:tc>
          <w:tcPr>
            <w:tcW w:w="4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525</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(1,183)</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8,370</w:t>
            </w:r>
          </w:p>
        </w:tc>
      </w:tr>
      <w:tr>
        <w:trPr>
          <w:trHeight w:val="237"/>
        </w:trPr>
        <w:tc>
          <w:tcPr>
            <w:tcW w:w="6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27,010</w:t>
            </w:r>
          </w:p>
        </w:tc>
        <w:tc>
          <w:tcPr>
            <w:tcW w:w="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16,660</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50,827</w:t>
            </w:r>
          </w:p>
        </w:tc>
        <w:tc>
          <w:tcPr>
            <w:tcW w:w="4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32,457</w:t>
            </w:r>
          </w:p>
        </w:tc>
      </w:tr>
      <w:tr>
        <w:trPr>
          <w:trHeight w:val="34"/>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2017, we had $355.6 million of cash and cash equivalents and $4.1 million of restricted cash and cash equivalents, compared to $91.1 million of cash and cash equivalents and $4.1 million of restricted cash and cash equivalents as of December 31, 2016.</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May 2017, we issued $300.0 million of our 0.625% Convertible Senior Notes for net proceeds of $290.8 million. We used approximately $18.1 million of the net proceeds to enter into Convertible Note Hedge and Warrant transactions. For additional information on the Convertible Senior Notes and the Convertible Note Hedge and Warrant transactions,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10—Debt, in the notes to the consolidated financial statements included elsewhere in this report.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2017, we acquired the membership interests of MagnifyMoney for $29.6 million cash consideration at the closing of the transaction.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2017, we acquired substantially all of the assets of DepositAccounts for $24.0 million in cash at closing and potential future contingent consideration payments of up to $9.0 million through June 30, 2020, subject to achieving specified targets.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November 2016, we acquired CompareCards for $80.7 million cash at closing and potential future contingent consideration payments of up to $22.5 million for each of 2017 and 2018, subject to achieving specified targets.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5—Business Acquisitions in the notes to the consolidated financial statements included elsewhere in this report for additional information for these acquisitions.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July 28, 2017, we do not have any borrowings outstanding under the Revolving Credit Facility.</w:t>
      </w:r>
    </w:p>
    <w:p>
      <w:pPr>
        <w:spacing w:after="0" w:line="12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Revolving Credit Facility,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10—Debt, in the notes to the consolidated financial statements included elsewhere in this report.</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attributable to continuing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left="57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5"/>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48,224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14,915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(57,026)</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274,612</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(50,929)</w:t>
            </w:r>
          </w:p>
        </w:tc>
      </w:tr>
      <w:tr>
        <w:trPr>
          <w:trHeight w:val="20"/>
        </w:trPr>
        <w:tc>
          <w:tcPr>
            <w:tcW w:w="8320" w:type="dxa"/>
            <w:vAlign w:val="bottom"/>
            <w:shd w:val="clear" w:color="auto" w:fill="999999"/>
          </w:tcPr>
          <w:p>
            <w:pPr>
              <w:spacing w:after="0" w:line="20" w:lineRule="exact"/>
              <w:rPr>
                <w:sz w:val="1"/>
                <w:szCs w:val="1"/>
                <w:color w:val="auto"/>
              </w:rPr>
            </w:pPr>
          </w:p>
        </w:tc>
        <w:tc>
          <w:tcPr>
            <w:tcW w:w="360" w:type="dxa"/>
            <w:vAlign w:val="bottom"/>
            <w:shd w:val="clear" w:color="auto" w:fill="999999"/>
          </w:tcPr>
          <w:p>
            <w:pPr>
              <w:spacing w:after="0" w:line="20" w:lineRule="exact"/>
              <w:rPr>
                <w:sz w:val="1"/>
                <w:szCs w:val="1"/>
                <w:color w:val="auto"/>
              </w:rPr>
            </w:pPr>
          </w:p>
        </w:tc>
        <w:tc>
          <w:tcPr>
            <w:tcW w:w="118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mortgage and non-mortgage products. Our primary uses of cash from our operating activities include advertising and promotional payments and fees paid for consumer inquiries. In addition, our uses of cash from operating activities include compensation and other employee-related costs, other general corporate expenditures, litigation settlements and contingencies and income taxes.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increased in the first six months of 2017 from the first six months of 2016 primarily due to an increase in revenue, partially offset by an increase in selling and marketing expense. Additionally, there was a net increase in cash from changes in working capital primarily driven by changes in accounts payable, accrued expenses and other current liabilities, partially offset by income taxes payable.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the first six months of 2017 of $57.0 million consisted primarily of the acquisition of MagnifyMoney for $29.4 million, the acquisition of DepositAccounts for $24.0 million and capital expenditures of $3.6 million related to internally developed software.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the first six months of 2016 of $8.5 million consisted primarily of capital expenditures of $6.5 million primarily related to internally developed software and the acquisition of an aircraft and $4.5 million for the acquisition of SimpleTuition, partially offset by a $2.5 million decrease in restricted cash due to the release of funds in escrow for the surety bonds due to a reduction in collateral requirements.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attributable to continuing operations in the first six months of 2017 of $274.6 million consisted primarily of $300.0 million of gross proceeds from the issuance of convertible senior notes and $43.4 million of proceeds from the sale of warrants in connection with the convertible senior notes, partially offset by $61.5 million for the payment of convertible note hedge transactions and $8.6 million for the payment of convertible senior note issuance costs.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 the first six months of 2016 of $50.9 million consisted primarily of the repurchase of our stock of $48.1 million and $2.8 million in withholding taxes paid by us upon surrender of shares to satisfy obligations on equity awards.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regarding new accounting pronouncements,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 Significant Accounting Policies,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than our Revolving Credit Facility, which currently has no borrowings outstanding,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July 28, 2017, there were no borrowings under the Revolving Credit Facility.</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2017,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June 30, 2017 that has materially affected, or is reasonably likely to materially affect, our internal controls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our 2016 Annual Report and updated that information in Note 11—Contingencies to the consolidated financial statements included elsewhere in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Other than the risk factors set forth below, there have been no material changes to the risk factors included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2016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Hedge and Warrant transactions may affect the value of the Notes and our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$266.39.</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May 2008, the FASB issued FASB Staff Position No. APB 14-1, Accounting for Convertible Debt Instruments That May Be Settled in Cash Upon Conversion (Including Partial Cash Settlement), which has subsequently been codified as ASC 470-20,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with Conversion and Other Options, which we refer to as ASC 470-20. Under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and the value of the equity component would be treated as debt discount for purposes of accounting for the debt component of the Notes. As a result, we will be required to record a greater amount of non-cash interest expense in current periods presented as a result of the amortization of the discounted carrying value of the Notes to their face amount over the term of the Notes. We will report lower net income in our financial results because ASC 470-20 will require interest to include the current period’s amortization of the debt discount, which could adversely affect our reported or future financial results, the trading price of our common stock and the trading price of the Notes.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each of January 2010, May 2014, January 2016 and February 2016, the board of directors authorized and we announced a stock repurchase program which allowed for the repurchase of up to $10.0 million, $10.0 million, $50.0 million and $40.0 million, respectively, of our common stock. At June 30, 2017, approximately $48.7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No shares of common stock were repurchased under the stock repurchase program during the quarter ended June 30, 2017. As of July 28, 2017, approximately $48.7 million remains authorized for share repurchase.</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2017, 9,940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June 30,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1"/>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78"/>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4/1/17 - 4/30/17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125.05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48,748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5/1/17 - 5/31/17</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8,319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146.70</w:t>
            </w:r>
          </w:p>
        </w:tc>
        <w:tc>
          <w:tcPr>
            <w:tcW w:w="12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48,748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6/1/17 - 6/30/17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162.80</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48,748</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9,940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147.47</w:t>
            </w:r>
          </w:p>
        </w:tc>
        <w:tc>
          <w:tcPr>
            <w:tcW w:w="1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48,748</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2017, May 2017 and June 2017, 488 shares, 8,319 shares and 1,133 shares, respectively (totaling 9,940 shares), were purchased to satisfy federal and state withholding obligations of our employees upon the settlement of restricted stock unit awards, all in accordance with our Fifth Amended and Restated 2008 Stock and Award Incentive Plan, as described above.</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25, 2017, the Compensation Committee (“Committee”) of our Board of Directors approved new compensation arrangements in the form of a term sheet (the “Term Sheet”) with Douglas Lebda, our Chairman and Chief Executive Officer. The Term Sheet contemplates that we will in the near-term enter into a new employment agreement and new change of control letter agreement with Mr. Lebda. Mr. Lebda will continue to serve in his current roles and it is expected that the new employment agreement will have a multi-year term although employment is “at will” and may be terminated by either us or Mr. Lebda at any time. Mr. Lebda’s previous employment agreement expired by its own terms in January 2017. The new change of control letter agreement will replace and supersede the current change of control letter agreement that Mr. Lebda has with our company.</w:t>
      </w:r>
    </w:p>
    <w:p>
      <w:pPr>
        <w:spacing w:after="0" w:line="13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Based on the Term Sheet, Mr. Lebda will be eligible to receive the below benefits which (other than the equity compensation grants) are similar in form and magnitude to the provisions in Mr. Lebda’s prior employment agreement and current change of control letter agreement (which are each described in our definitive proxy statement filed with the Securities and Exchange Commission on April 28, 2017 and which provide further details on specific provisions mentioned below):</w:t>
      </w:r>
    </w:p>
    <w:p>
      <w:pPr>
        <w:spacing w:after="0" w:line="12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$750,000,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annual bonus of up to 125% of annual base salary with respect to each fiscal year beginning with 2017,</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grants as described further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all reasonable and necessary business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vacation in accordance with our vacation policy for employees,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welfare, health, life insurance, pension benefit and incentive plans, programs, policies and practices as may be adopted from time to time by us on the same basis as that provided to similarly situated employees;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in the event of an involuntary termination of Mr. Lebda’s service due to his death or disability or by us without cause or by Mr. Lebda for good reason (and with such severance benefits conditioned upon Mr. Lebda timely executing and not revoking a general release of claims and complying with his post-service obligations to us);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that occurs during Mr. Lebda’s service, accelerated vesting of Mr. Lebda’s unvested equity and enhanced severance benefits if service is involuntarily terminated after a change of control.</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Term Sheet, the Committee also approved the issuance of performance-based equity compensation grants to Mr. Lebda with a modeled total grant date value of $87.5 million of which 25% would be in the form of time-vested restricted stock awards with a performance condition and 75% would be in the form of performance-based nonqualified stock options (collectively, the “Initial Grants”). Mr. Lebda will also be entitled to future equity grants in each of 2018 through 2020 with an annual grant date value that is not less than the median annualized grant date value for equity grants to chief executive officers of a selected peer group of companies. The performance-based nonqualified stock options within the Initial Grants have a number of shares that become performance vested upon achieving targeted increases in our stock price (the “Target Shares”) and the maximum number of shares that can become performance vested for superior achievement is 167% of the Target Shares (the “Maximum Shares”). Time-based service vesting conditions would also have to be satisfied in order for performance vested shares to become fully vested and no longer subject to forfeiture. Each equity compensation grant described herein is subject to (1) there being sufficient shares under a stockholder approved stock incentive plan and (2) Mr. Lebda then being a service provider at the time of each grant. It is expected that the grants will be issued under our stockholder approved Fifth Amended and Restated 2008 Stock and Annual Incentive Plan (“2008 Plan”).</w:t>
      </w:r>
    </w:p>
    <w:p>
      <w:pPr>
        <w:spacing w:after="0" w:line="1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the total Maximum Shares underlying the performance-based nonqualified stock option and restricted stock awards comprising the Initial Grants would cover a maximum of 769,376 shares and 119,015 shares, respectively, and the 2008 Plan imposes a per employee upper annual grant limit of 672,500 shares in order for awards to qualify as performance-based compensation under Internal Revenue Code Section 162(m), the Initial Grants are bifurcated into two sets of awards, one that occurred on July 26, 2017 (the “Base Date”) for 402,694 Target Shares (or 672,499 Maximum Shares) and the remaining 58,010 Target Shares (or 96,877 Maximum Shares) under the performance-based nonqualified stock option (and potential performance-based restricted stock award) to be awarded in January 2018. The July 26, 2017 performance-based nonqualified stock option grant (the "Performance Option") is described in detail further below. On or about January 2, 2018 it is expected that the Committee will grant Mr. Lebda the remainder of the Initial Grants, consisting of (a) a time-vested restricted stock award (also containing a performance condition described below) covering 119,015 shares (which number of shares is derived by dividing $21.875 million by our closing price (the "Base Price") on the Base Date) (“2018 RSA Grant”); (b) a performance-based nonqualified stock option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award with a per share exercise price equal to the closing price of our common stock on such future grant date (“2018 Performance Option”); and (c) if the closing share price of our common stock on January 2, 2018 is greater than its closing share price on the Base Date, a second performance-based restricted stock award, substituting for an equal number of 2018 Performance Option shares, to compensate Mr. Lebda for the increase in the exercise price of the 2018 Performance Option over the Performance Option granted on the Base Date (the “2018 Performance RSA” and, together with the 2018 Performance Option, the “2018 Performance Awards”).</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shares under the 2018 RSA Grant can vest unless and until the performance goals in 2018 established by the Committee are achieved. If such performance goals are achieved then the 2018 RSA Grant will vest in quarterly 5% increments over the period from January 1, 2017 to January 1, 2022 based on Mr. Lebda's continued service. If the threshold performance goal is not satisfied then the 2018 RSA Grant will be entirely forfeited without consideration. Except for shares that may be sold by Mr. Lebda or retained by us in each case solely in order to satisfy applicable tax withholding, no vested 2018 RSA Grant shares may be sold, transferred or otherwise disposed of by Mr. Lebda until the earlier of the fifth anniversary of the grant date or the earlier date of a qualifying severance event or a change of control. The vesting conditions for the 2018 Performance Option and 2018 Performance RSA will mirror the vesting terms for the Performance Option described below.</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Grant of Performance-Based Stock Option to Mr. Lebda</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26, 2017, in accordance with the Term Sheet, the Committee granted the ten year performance-based nonqualified Performance Option under the 2008 Plan for 402,694 Target Shares (or 672,499 Maximum Shares) to Mr. Lebda. The per share exercise price of the Performance Option is $183.80 (or the Base Price), which was the closing share price of our common stock on the Base Date. The Performance Option is the first award of the Initial Grants and is intended to be a long-term incentive and retention award that will provide compensatory value to Mr. Lebda only if our share price significantly increases over the relevant time period.</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Performance Option has both time and performance-based vesting conditions. The performance vesting condition will be based on our share price growth as compared to the Base Price during a five year period after the Base Date, as further described in the below table. The volume weighted average closing per share price of our common stock will be measured during the final 30 trading days in each fiscal quarter commencing with the fourth fiscal quarter of 2017 and for each fiscal quarter through the third fiscal quarter of 2022 (each such measured value is the “VWAP”). To the extent the VWAP has increased over the Base Price per the below table then the applicable percentage of Target Shares (as a cumulative total number of shares) will be deemed to be “Performance Vested”.</w:t>
      </w:r>
    </w:p>
    <w:p>
      <w:pPr>
        <w:spacing w:after="0" w:line="296"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 of Target Shares That are</w:t>
            </w:r>
          </w:p>
        </w:tc>
      </w:tr>
      <w:tr>
        <w:trPr>
          <w:trHeight w:val="234"/>
        </w:trPr>
        <w:tc>
          <w:tcPr>
            <w:tcW w:w="3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VWAP Increase over Base Price</w:t>
            </w:r>
          </w:p>
        </w:tc>
        <w:tc>
          <w:tcPr>
            <w:tcW w:w="2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Performance Vested</w:t>
            </w:r>
          </w:p>
        </w:tc>
      </w:tr>
      <w:tr>
        <w:trPr>
          <w:trHeight w:val="27"/>
        </w:trPr>
        <w:tc>
          <w:tcPr>
            <w:tcW w:w="3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39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than 70%</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3"/>
                <w:szCs w:val="23"/>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3"/>
                <w:szCs w:val="23"/>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150% (or greater)</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spacing w:after="0" w:line="360" w:lineRule="exact"/>
        <w:rPr>
          <w:sz w:val="20"/>
          <w:szCs w:val="20"/>
          <w:color w:val="auto"/>
        </w:rPr>
      </w:pPr>
    </w:p>
    <w:p>
      <w:pPr>
        <w:jc w:val="both"/>
        <w:ind w:left="2620" w:right="2760"/>
        <w:spacing w:after="0" w:line="282" w:lineRule="auto"/>
        <w:rPr>
          <w:sz w:val="20"/>
          <w:szCs w:val="20"/>
          <w:color w:val="auto"/>
        </w:rPr>
      </w:pPr>
      <w:r>
        <w:rPr>
          <w:rFonts w:ascii="Times New Roman" w:cs="Times New Roman" w:eastAsia="Times New Roman" w:hAnsi="Times New Roman"/>
          <w:sz w:val="18"/>
          <w:szCs w:val="18"/>
          <w:color w:val="auto"/>
        </w:rPr>
        <w:t>Linear interpolation of vesting if VWAP increase over Base Price is between 70% and 150%.</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Solely for hypothetical illustrative purposes, if the VWAP is $385.98 for any fiscal quarter during the measurement period, which would represent a 110% increase over the Base Price, the 402,694 Target Shares would become Performance Vested. Shares which are Performance Vested will become vested and exercisable on September 30, 2022 if Mr. Lebda’s service has not previously terminated. Shares that do not become Performance Vested will never become exercisable and will be forfeited without consideration. Similarly, if before September 30, 2022 Mr. Lebda’s service is terminated for cause or he resigns without good reason, then any then unvested portion of the Performance Option will be forfeited without consideration.</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termination of Mr. Lebda’s service, any then vested portion of the Performance Option will generally remain exercisable until the earliest of (a) the expiration of the 12-month period following such termination of service, (b) the date of a change of control if the Performance Option is not being assumed, replaced, substituted for or otherwise continued after the change of control, or (c) July 26, 2027.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there is a change of control of our company, or if Mr. Lebda’s service is terminated either due to his death or disability, or by us without cause, or by Mr. Lebda for good reason, then the Performance Option, 2018 RSA Grant, and 2018 Performance Awards can become partially or fully vested on an accelerated basis (or Mr. Lebda would receive the equivalent value for such portions of the Initial Grants that had yet to have been granted to him) based on the measurement of the price based performance goals under the applicable circumstances and the deemed satisfaction of time based vesting conditions.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expected that the provisions of the prior employment agreement and current change of control agreement relating to post-service noncompete and nonsolicit obligations along with the imposition of various other restrictions on Mr. Lebda for our benefit, including maintaining confidentiality of information, will be continued in substantially the same form in the new employment agreement and change of control letter agreement. Additionally, payments made or granted to Mr. Lebda will be subject to any recoupment or clawback policy that may be adopted by us from time to time and to any requirement of applicable law, regulation or listing standard that requires us to recoup or clawback compensation paid.</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disclosure is provided in lieu of disclosure in Item 5.02 of Form 8-K, in accordance with SEC rules.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120"/>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Amended and Restated Certificate of Incorporation of LendingTree, Inc.</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3.1 to the Registrant's Current Report on</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8-K filed August 25, 2008</w:t>
            </w: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Amended and Restated By-laws of LendingTree, Inc.</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3.2 to the Registrant's Current Report on</w:t>
            </w:r>
          </w:p>
        </w:tc>
      </w:tr>
      <w:tr>
        <w:trPr>
          <w:trHeight w:val="234"/>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8-K filed December 31, 2014</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Fifth Amended and Restated 2008 Stock and Annual Incentive Plan</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4.3(a) to the Registrant's Registration</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 on Form S-8 filed June 14, 2017</w:t>
            </w: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Indenture, dated as of May 31, 2017, between LendingTree, Inc. and Wilmington Trust,</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4.1 to the Registrant's Current Report on</w:t>
            </w:r>
          </w:p>
        </w:tc>
      </w:tr>
      <w:tr>
        <w:trPr>
          <w:trHeight w:val="234"/>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National Association</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8-K filed May 31, 2017</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0.625% Convertible Senior Note due 2022</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Included in Exhibit 4.1 to the Registrant's Current</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Report on Form 8-K filed May 31, 2017</w:t>
            </w: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4.4(a)</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2017 Inducement Grant Plan</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4.4(a) to the Registrant's Registration</w:t>
            </w:r>
          </w:p>
        </w:tc>
      </w:tr>
      <w:tr>
        <w:trPr>
          <w:trHeight w:val="234"/>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 on Form S-8 filed June 14, 2017</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4.4(b)</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Notice of Restricted Stock Unit Award</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4.4(b) to the Registrant's Registration</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 on Form S-8 filed June 14, 2017</w:t>
            </w: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4.4(c)</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Notice of Restricted Stock Award</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4.4(c) to the Registrant's Registration</w:t>
            </w:r>
          </w:p>
        </w:tc>
      </w:tr>
      <w:tr>
        <w:trPr>
          <w:trHeight w:val="234"/>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 on Form S-8 filed June 14, 2017</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4.4(d)</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Notice of Stock Option Award</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4.4(d) to the Registrant's Registration</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 on Form S-8 filed June 14, 2017</w:t>
            </w: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Amendment  to  Credit  Agreement  by  and  among  LendingTree,  LLC,</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99.1 to Registrant's Current Report on</w:t>
            </w:r>
          </w:p>
        </w:tc>
      </w:tr>
      <w:tr>
        <w:trPr>
          <w:trHeight w:val="234"/>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LendingTree, Inc. and SunTrust Bank, dated May 23, 2017</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8-K filed May 23, 2017</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Agreement, dated May 24, 2017, by and among LendingTree, Inc. and Merrill</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99.1 to the Registrant's Current Report on</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Lynch, Pierce, Fenner &amp; Smith Incorporated and Goldman Sachs &amp; Co. LLC, as</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8-K filed May 31, 2017</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representatives of the initial purchasers named therein</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10.4</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Base Convertible Note Hedge Confirmation</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99.2 to the Registrant's Current Report on</w:t>
            </w:r>
          </w:p>
        </w:tc>
      </w:tr>
      <w:tr>
        <w:trPr>
          <w:trHeight w:val="234"/>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8-K filed May 31, 2017</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10.5</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Additional Convertible Note Hedge Confirmation</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99.3 to the Registrant's Current Report on</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8-K filed May 31, 2017</w:t>
            </w: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Base Warrant Confirmation</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99.4 to the Registrant's Current Report on</w:t>
            </w:r>
          </w:p>
        </w:tc>
      </w:tr>
      <w:tr>
        <w:trPr>
          <w:trHeight w:val="234"/>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8-K filed May 31, 2017</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10.7</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Additional Warrant Confirmation</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99.5 to the Registrant's Current Report on</w:t>
            </w: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8-K filed May 31, 2017</w:t>
            </w: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31.1</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13a-14(a) or Rule 15d-</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14(a) of the Securities Exchange Act of 1934 as adopted pursuant to Section 302 of the</w:t>
            </w:r>
          </w:p>
        </w:tc>
        <w:tc>
          <w:tcPr>
            <w:tcW w:w="380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5"/>
        </w:trPr>
        <w:tc>
          <w:tcPr>
            <w:tcW w:w="10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31.2</w:t>
            </w: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13a-14(a) or Rule 15d-</w:t>
            </w: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41"/>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5"/>
        </w:trPr>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32.1</w:t>
            </w: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 Section 1350 as</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486"/>
        </w:trPr>
        <w:tc>
          <w:tcPr>
            <w:tcW w:w="1060" w:type="dxa"/>
            <w:vAlign w:val="bottom"/>
          </w:tcPr>
          <w:p>
            <w:pPr>
              <w:spacing w:after="0"/>
              <w:rPr>
                <w:sz w:val="24"/>
                <w:szCs w:val="24"/>
                <w:color w:val="auto"/>
              </w:rPr>
            </w:pPr>
          </w:p>
        </w:tc>
        <w:tc>
          <w:tcPr>
            <w:tcW w:w="656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43</w:t>
            </w:r>
          </w:p>
        </w:tc>
        <w:tc>
          <w:tcPr>
            <w:tcW w:w="3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54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23"/>
        </w:trPr>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32.2</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 Section 1350 as</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60" w:type="dxa"/>
            <w:vAlign w:val="bottom"/>
          </w:tcPr>
          <w:p>
            <w:pPr>
              <w:spacing w:after="0"/>
              <w:rPr>
                <w:sz w:val="20"/>
                <w:szCs w:val="20"/>
                <w:color w:val="auto"/>
              </w:rPr>
            </w:pP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82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101.INS</w:t>
            </w:r>
          </w:p>
        </w:tc>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c>
          <w:tcPr>
            <w:tcW w:w="3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101.SCH</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101.CAL</w:t>
            </w:r>
          </w:p>
        </w:tc>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101.DEF</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101.LAB</w:t>
            </w:r>
          </w:p>
        </w:tc>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101.PRE</w:t>
            </w:r>
          </w:p>
        </w:tc>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8"/>
        <w:spacing w:after="0" w:line="266"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95" w:lineRule="exact"/>
        <w:rPr>
          <w:sz w:val="20"/>
          <w:szCs w:val="20"/>
          <w:color w:val="auto"/>
        </w:rPr>
      </w:pPr>
    </w:p>
    <w:p>
      <w:pPr>
        <w:jc w:val="both"/>
        <w:ind w:firstLine="8"/>
        <w:spacing w:after="0" w:line="266" w:lineRule="auto"/>
        <w:tabs>
          <w:tab w:leader="none" w:pos="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2017</w:t>
      </w:r>
    </w:p>
    <w:p>
      <w:pPr>
        <w:spacing w:after="0" w:line="3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36830</wp:posOffset>
            </wp:positionV>
            <wp:extent cx="3824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Gabriel Dalporto</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2017 of LendingTree,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2017</w:t>
      </w:r>
    </w:p>
    <w:p>
      <w:pPr>
        <w:spacing w:after="0" w:line="25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Douglas R. Lebda</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57"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Gabriel Dalporto,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2017 of LendingTree,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2017</w:t>
      </w:r>
    </w:p>
    <w:p>
      <w:pPr>
        <w:spacing w:after="0" w:line="252"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Gabriel Dalporto</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65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108" w:lineRule="exact"/>
        <w:rPr>
          <w:sz w:val="20"/>
          <w:szCs w:val="20"/>
          <w:color w:val="auto"/>
        </w:rPr>
      </w:pPr>
    </w:p>
    <w:p>
      <w:pPr>
        <w:ind w:left="340" w:right="38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June 30, 2017 of LendingTree, Inc. (the “Report”) which this statement accompanies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right="420" w:firstLine="8"/>
        <w:spacing w:after="0" w:line="470"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July 28, 2017</w:t>
      </w:r>
    </w:p>
    <w:p>
      <w:pPr>
        <w:spacing w:after="0" w:line="2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Douglas R. Lebda</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57"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 Gabriel Dalporto, certify, pursuant to 18 U.S.C. Section 1350, as adopted pursuant to Section 906 of the Sarbanes-Oxley Act of 2002, that to my knowledge:</w:t>
      </w:r>
    </w:p>
    <w:p>
      <w:pPr>
        <w:spacing w:after="0" w:line="108" w:lineRule="exact"/>
        <w:rPr>
          <w:sz w:val="20"/>
          <w:szCs w:val="20"/>
          <w:color w:val="auto"/>
        </w:rPr>
      </w:pPr>
    </w:p>
    <w:p>
      <w:pPr>
        <w:ind w:left="340" w:right="38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June 30, 2017 of LendingTree, Inc. (the “Report”) which this statement accompanies fully complies with the requirements of Section 13(a) or 15(d) of the Securities Exchange Act of 1934 (15 U.S.C. 78m or 78o(d)); and</w:t>
      </w:r>
    </w:p>
    <w:p>
      <w:pPr>
        <w:spacing w:after="0" w:line="107" w:lineRule="exact"/>
        <w:rPr>
          <w:rFonts w:ascii="Times New Roman" w:cs="Times New Roman" w:eastAsia="Times New Roman" w:hAnsi="Times New Roman"/>
          <w:sz w:val="18"/>
          <w:szCs w:val="18"/>
          <w:color w:val="auto"/>
        </w:rPr>
      </w:pPr>
    </w:p>
    <w:p>
      <w:pPr>
        <w:ind w:right="420" w:firstLine="8"/>
        <w:spacing w:after="0" w:line="470"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July 28, 2017</w:t>
      </w:r>
    </w:p>
    <w:p>
      <w:pPr>
        <w:spacing w:after="0" w:line="2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Gabriel Dalporto</w:t>
      </w:r>
    </w:p>
    <w:p>
      <w:pPr>
        <w:spacing w:after="0" w:line="61"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4"/>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2019-12-29T05:52:06Z</dcterms:created>
  <dcterms:modified xsi:type="dcterms:W3CDTF">2019-12-29T05:52:06Z</dcterms:modified>
</cp:coreProperties>
</file>