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00913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9130" cy="1587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09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913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2127250</wp:posOffset>
            </wp:positionH>
            <wp:positionV relativeFrom="paragraph">
              <wp:posOffset>-189230</wp:posOffset>
            </wp:positionV>
            <wp:extent cx="300291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2915" cy="1587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176530</wp:posOffset>
            </wp:positionV>
            <wp:extent cx="30029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291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920" w:hanging="55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9"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For the Quarterly Period Ended March 31, 2015</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51" w:lineRule="exact"/>
        <w:rPr>
          <w:sz w:val="24"/>
          <w:szCs w:val="24"/>
          <w:color w:val="auto"/>
        </w:rPr>
      </w:pPr>
    </w:p>
    <w:p>
      <w:pPr>
        <w:ind w:left="920" w:hanging="525"/>
        <w:spacing w:after="0"/>
        <w:tabs>
          <w:tab w:leader="none" w:pos="92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0" w:lineRule="exact"/>
        <w:rPr>
          <w:sz w:val="24"/>
          <w:szCs w:val="24"/>
          <w:color w:val="auto"/>
        </w:rPr>
      </w:pPr>
    </w:p>
    <w:p>
      <w:pPr>
        <w:ind w:left="3740"/>
        <w:spacing w:after="0"/>
        <w:tabs>
          <w:tab w:leader="none" w:pos="680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2127250</wp:posOffset>
            </wp:positionH>
            <wp:positionV relativeFrom="paragraph">
              <wp:posOffset>95885</wp:posOffset>
            </wp:positionV>
            <wp:extent cx="30029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2915" cy="1587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311150</wp:posOffset>
            </wp:positionV>
            <wp:extent cx="1178560" cy="429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8560" cy="429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20"/>
          </w:cols>
          <w:pgMar w:left="240" w:top="223" w:right="239" w:bottom="1440" w:gutter="0" w:footer="0" w:header="0"/>
        </w:sectPr>
      </w:pPr>
    </w:p>
    <w:p>
      <w:pPr>
        <w:spacing w:after="0" w:line="13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26-2414818</w:t>
      </w:r>
    </w:p>
    <w:p>
      <w:pPr>
        <w:spacing w:after="0" w:line="25"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(I.R.S. Employer</w:t>
      </w:r>
    </w:p>
    <w:p>
      <w:pPr>
        <w:spacing w:after="0" w:line="5"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22" w:lineRule="exact"/>
        <w:rPr>
          <w:sz w:val="24"/>
          <w:szCs w:val="24"/>
          <w:color w:val="auto"/>
        </w:rPr>
      </w:pPr>
    </w:p>
    <w:p>
      <w:pPr>
        <w:sectPr>
          <w:pgSz w:w="11900" w:h="16838" w:orient="portrait"/>
          <w:cols w:equalWidth="0" w:num="2">
            <w:col w:w="7040" w:space="720"/>
            <w:col w:w="3660"/>
          </w:cols>
          <w:pgMar w:left="240" w:top="223" w:right="2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11115 Rushmore Drive, Charlotte, North Carolina 28277</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(704) 541-5351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2127250</wp:posOffset>
            </wp:positionH>
            <wp:positionV relativeFrom="paragraph">
              <wp:posOffset>83185</wp:posOffset>
            </wp:positionV>
            <wp:extent cx="30029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2915" cy="15875"/>
                    </a:xfrm>
                    <a:prstGeom prst="rect">
                      <a:avLst/>
                    </a:prstGeom>
                    <a:noFill/>
                  </pic:spPr>
                </pic:pic>
              </a:graphicData>
            </a:graphic>
          </wp:anchor>
        </w:drawing>
      </w:r>
    </w:p>
    <w:p>
      <w:pPr>
        <w:spacing w:after="0" w:line="232" w:lineRule="exact"/>
        <w:rPr>
          <w:sz w:val="24"/>
          <w:szCs w:val="24"/>
          <w:color w:val="auto"/>
        </w:rPr>
      </w:pPr>
    </w:p>
    <w:p>
      <w:pPr>
        <w:jc w:val="both"/>
        <w:ind w:firstLine="202"/>
        <w:spacing w:after="0" w:line="21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67" w:lineRule="exact"/>
        <w:rPr>
          <w:sz w:val="24"/>
          <w:szCs w:val="24"/>
          <w:color w:val="auto"/>
        </w:rPr>
      </w:pPr>
    </w:p>
    <w:p>
      <w:pPr>
        <w:jc w:val="both"/>
        <w:ind w:firstLine="150"/>
        <w:spacing w:after="0" w:line="21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67" w:lineRule="exact"/>
        <w:rPr>
          <w:sz w:val="24"/>
          <w:szCs w:val="24"/>
          <w:color w:val="auto"/>
        </w:rPr>
      </w:pPr>
    </w:p>
    <w:p>
      <w:pPr>
        <w:jc w:val="both"/>
        <w:ind w:firstLine="15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3" w:right="239" w:bottom="1440" w:gutter="0" w:footer="0" w:header="0"/>
          <w:type w:val="continuous"/>
        </w:sectPr>
      </w:pPr>
    </w:p>
    <w:p>
      <w:pPr>
        <w:spacing w:after="0" w:line="10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x</w:t>
      </w:r>
    </w:p>
    <w:p>
      <w:pPr>
        <w:spacing w:after="0" w:line="200" w:lineRule="exact"/>
        <w:rPr>
          <w:sz w:val="24"/>
          <w:szCs w:val="24"/>
          <w:color w:val="auto"/>
        </w:rPr>
      </w:pPr>
    </w:p>
    <w:p>
      <w:pPr>
        <w:sectPr>
          <w:pgSz w:w="11900" w:h="16838" w:orient="portrait"/>
          <w:cols w:equalWidth="0" w:num="2">
            <w:col w:w="7020" w:space="720"/>
            <w:col w:w="3680"/>
          </w:cols>
          <w:pgMar w:left="240" w:top="223" w:right="239" w:bottom="1440" w:gutter="0" w:footer="0" w:header="0"/>
          <w:type w:val="continuous"/>
        </w:sectPr>
      </w:pPr>
    </w:p>
    <w:p>
      <w:pPr>
        <w:spacing w:after="0" w:line="18"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52" w:lineRule="exact"/>
        <w:rPr>
          <w:sz w:val="24"/>
          <w:szCs w:val="24"/>
          <w:color w:val="auto"/>
        </w:rPr>
      </w:pPr>
    </w:p>
    <w:p>
      <w:pPr>
        <w:sectPr>
          <w:pgSz w:w="11900" w:h="16838" w:orient="portrait"/>
          <w:cols w:equalWidth="0" w:num="2">
            <w:col w:w="6680" w:space="720"/>
            <w:col w:w="4020"/>
          </w:cols>
          <w:pgMar w:left="240" w:top="223" w:right="2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242"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3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April 24, 2015, there were 11,452,533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00913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913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009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9130" cy="8255"/>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0"/>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Number</w:t>
            </w:r>
          </w:p>
        </w:tc>
      </w:tr>
      <w:tr>
        <w:trPr>
          <w:trHeight w:val="176"/>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40" w:type="dxa"/>
            <w:vAlign w:val="bottom"/>
            <w:gridSpan w:val="6"/>
          </w:tcPr>
          <w:p>
            <w:pPr>
              <w:jc w:val="center"/>
              <w:ind w:right="3220"/>
              <w:spacing w:after="0" w:line="176" w:lineRule="exact"/>
              <w:rPr>
                <w:rFonts w:ascii="Times New Roman" w:cs="Times New Roman" w:eastAsia="Times New Roman" w:hAnsi="Times New Roman"/>
                <w:sz w:val="17"/>
                <w:szCs w:val="17"/>
                <w:b w:val="1"/>
                <w:bCs w:val="1"/>
                <w:color w:val="0000FF"/>
                <w:w w:val="96"/>
              </w:rPr>
            </w:pPr>
            <w:hyperlink w:anchor="page2">
              <w:r>
                <w:rPr>
                  <w:rFonts w:ascii="Times New Roman" w:cs="Times New Roman" w:eastAsia="Times New Roman" w:hAnsi="Times New Roman"/>
                  <w:sz w:val="17"/>
                  <w:szCs w:val="17"/>
                  <w:b w:val="1"/>
                  <w:bCs w:val="1"/>
                  <w:color w:val="0000FF"/>
                  <w:w w:val="96"/>
                </w:rPr>
                <w:t>PART I—FINANCIAL INFORMATION</w:t>
              </w:r>
            </w:hyperlink>
          </w:p>
        </w:tc>
        <w:tc>
          <w:tcPr>
            <w:tcW w:w="1020" w:type="dxa"/>
            <w:vAlign w:val="bottom"/>
          </w:tcPr>
          <w:p>
            <w:pPr>
              <w:spacing w:after="0"/>
              <w:rPr>
                <w:sz w:val="15"/>
                <w:szCs w:val="15"/>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3">
              <w:r>
                <w:rPr>
                  <w:rFonts w:ascii="Times New Roman" w:cs="Times New Roman" w:eastAsia="Times New Roman" w:hAnsi="Times New Roman"/>
                  <w:sz w:val="17"/>
                  <w:szCs w:val="17"/>
                  <w:b w:val="1"/>
                  <w:bCs w:val="1"/>
                  <w:color w:val="0000FF"/>
                </w:rPr>
                <w:t>Item 1.</w:t>
              </w:r>
            </w:hyperlink>
          </w:p>
        </w:tc>
        <w:tc>
          <w:tcPr>
            <w:tcW w:w="2720" w:type="dxa"/>
            <w:vAlign w:val="bottom"/>
            <w:gridSpan w:val="6"/>
          </w:tcPr>
          <w:p>
            <w:pPr>
              <w:spacing w:after="0"/>
              <w:rPr>
                <w:rFonts w:ascii="Times New Roman" w:cs="Times New Roman" w:eastAsia="Times New Roman" w:hAnsi="Times New Roman"/>
                <w:sz w:val="17"/>
                <w:szCs w:val="17"/>
                <w:b w:val="1"/>
                <w:bCs w:val="1"/>
                <w:i w:val="1"/>
                <w:iCs w:val="1"/>
                <w:color w:val="0000FF"/>
              </w:rPr>
            </w:pPr>
            <w:hyperlink w:anchor="page3">
              <w:r>
                <w:rPr>
                  <w:rFonts w:ascii="Times New Roman" w:cs="Times New Roman" w:eastAsia="Times New Roman" w:hAnsi="Times New Roman"/>
                  <w:sz w:val="17"/>
                  <w:szCs w:val="17"/>
                  <w:b w:val="1"/>
                  <w:bCs w:val="1"/>
                  <w:i w:val="1"/>
                  <w:iCs w:val="1"/>
                  <w:color w:val="0000FF"/>
                </w:rPr>
                <w:t>Financial Statements</w:t>
              </w:r>
            </w:hyperlink>
          </w:p>
        </w:tc>
        <w:tc>
          <w:tcPr>
            <w:tcW w:w="2920" w:type="dxa"/>
            <w:vAlign w:val="bottom"/>
            <w:tcBorders>
              <w:top w:val="single" w:sz="8" w:color="0000FF"/>
            </w:tcBorders>
            <w:gridSpan w:val="4"/>
          </w:tcPr>
          <w:p>
            <w:pPr>
              <w:spacing w:after="0"/>
              <w:rPr>
                <w:sz w:val="20"/>
                <w:szCs w:val="20"/>
                <w:color w:val="auto"/>
              </w:rPr>
            </w:pPr>
          </w:p>
        </w:tc>
        <w:tc>
          <w:tcPr>
            <w:tcW w:w="3220" w:type="dxa"/>
            <w:vAlign w:val="bottom"/>
            <w:gridSpan w:val="2"/>
          </w:tcPr>
          <w:p>
            <w:pPr>
              <w:spacing w:after="0"/>
              <w:rPr>
                <w:sz w:val="20"/>
                <w:szCs w:val="20"/>
                <w:color w:val="auto"/>
              </w:rPr>
            </w:pPr>
          </w:p>
        </w:tc>
        <w:tc>
          <w:tcPr>
            <w:tcW w:w="1020" w:type="dxa"/>
            <w:vAlign w:val="bottom"/>
          </w:tcPr>
          <w:p>
            <w:pPr>
              <w:jc w:val="right"/>
              <w:spacing w:after="0"/>
              <w:rPr>
                <w:rFonts w:ascii="Times New Roman" w:cs="Times New Roman" w:eastAsia="Times New Roman" w:hAnsi="Times New Roman"/>
                <w:sz w:val="17"/>
                <w:szCs w:val="17"/>
                <w:color w:val="auto"/>
              </w:rPr>
            </w:pPr>
            <w:hyperlink w:anchor="page3">
              <w:r>
                <w:rPr>
                  <w:rFonts w:ascii="Times New Roman" w:cs="Times New Roman" w:eastAsia="Times New Roman" w:hAnsi="Times New Roman"/>
                  <w:sz w:val="17"/>
                  <w:szCs w:val="17"/>
                  <w:color w:val="auto"/>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18">
              <w:r>
                <w:rPr>
                  <w:rFonts w:ascii="Times New Roman" w:cs="Times New Roman" w:eastAsia="Times New Roman" w:hAnsi="Times New Roman"/>
                  <w:sz w:val="17"/>
                  <w:szCs w:val="17"/>
                  <w:b w:val="1"/>
                  <w:bCs w:val="1"/>
                  <w:color w:val="0000FF"/>
                </w:rPr>
                <w:t>Item 2.</w:t>
              </w:r>
            </w:hyperlink>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i w:val="1"/>
                <w:iCs w:val="1"/>
                <w:color w:val="0000FF"/>
              </w:rPr>
              <w:t>Management's Discussion and Analysis of Financial Condition and Results of Operations</w:t>
            </w:r>
          </w:p>
        </w:tc>
        <w:tc>
          <w:tcPr>
            <w:tcW w:w="1020" w:type="dxa"/>
            <w:vAlign w:val="bottom"/>
          </w:tcPr>
          <w:p>
            <w:pPr>
              <w:jc w:val="right"/>
              <w:spacing w:after="0"/>
              <w:rPr>
                <w:rFonts w:ascii="Times New Roman" w:cs="Times New Roman" w:eastAsia="Times New Roman" w:hAnsi="Times New Roman"/>
                <w:sz w:val="17"/>
                <w:szCs w:val="17"/>
                <w:color w:val="auto"/>
              </w:rPr>
            </w:pPr>
            <w:hyperlink w:anchor="page18">
              <w:r>
                <w:rPr>
                  <w:rFonts w:ascii="Times New Roman" w:cs="Times New Roman" w:eastAsia="Times New Roman" w:hAnsi="Times New Roman"/>
                  <w:sz w:val="17"/>
                  <w:szCs w:val="17"/>
                  <w:color w:val="auto"/>
                </w:rPr>
                <w:t>19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26">
              <w:r>
                <w:rPr>
                  <w:rFonts w:ascii="Times New Roman" w:cs="Times New Roman" w:eastAsia="Times New Roman" w:hAnsi="Times New Roman"/>
                  <w:sz w:val="17"/>
                  <w:szCs w:val="17"/>
                  <w:b w:val="1"/>
                  <w:bCs w:val="1"/>
                  <w:color w:val="0000FF"/>
                </w:rPr>
                <w:t>Item 3.</w:t>
              </w:r>
            </w:hyperlink>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FF"/>
              </w:rPr>
            </w:pPr>
            <w:hyperlink w:anchor="page26">
              <w:r>
                <w:rPr>
                  <w:rFonts w:ascii="Times New Roman" w:cs="Times New Roman" w:eastAsia="Times New Roman" w:hAnsi="Times New Roman"/>
                  <w:sz w:val="17"/>
                  <w:szCs w:val="17"/>
                  <w:b w:val="1"/>
                  <w:bCs w:val="1"/>
                  <w:i w:val="1"/>
                  <w:iCs w:val="1"/>
                  <w:color w:val="0000FF"/>
                </w:rPr>
                <w:t>Quantitative and Qualitative Disclosures About Market Risk</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6">
              <w:r>
                <w:rPr>
                  <w:rFonts w:ascii="Times New Roman" w:cs="Times New Roman" w:eastAsia="Times New Roman" w:hAnsi="Times New Roman"/>
                  <w:sz w:val="17"/>
                  <w:szCs w:val="17"/>
                  <w:color w:val="auto"/>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27">
              <w:r>
                <w:rPr>
                  <w:rFonts w:ascii="Times New Roman" w:cs="Times New Roman" w:eastAsia="Times New Roman" w:hAnsi="Times New Roman"/>
                  <w:sz w:val="17"/>
                  <w:szCs w:val="17"/>
                  <w:b w:val="1"/>
                  <w:bCs w:val="1"/>
                  <w:color w:val="0000FF"/>
                </w:rPr>
                <w:t>Item 4.</w:t>
              </w:r>
            </w:hyperlink>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FF"/>
              </w:rPr>
            </w:pPr>
            <w:hyperlink w:anchor="page27">
              <w:r>
                <w:rPr>
                  <w:rFonts w:ascii="Times New Roman" w:cs="Times New Roman" w:eastAsia="Times New Roman" w:hAnsi="Times New Roman"/>
                  <w:sz w:val="17"/>
                  <w:szCs w:val="17"/>
                  <w:b w:val="1"/>
                  <w:bCs w:val="1"/>
                  <w:i w:val="1"/>
                  <w:iCs w:val="1"/>
                  <w:color w:val="0000FF"/>
                </w:rPr>
                <w:t>Controls and Procedures</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7">
              <w:r>
                <w:rPr>
                  <w:rFonts w:ascii="Times New Roman" w:cs="Times New Roman" w:eastAsia="Times New Roman" w:hAnsi="Times New Roman"/>
                  <w:sz w:val="17"/>
                  <w:szCs w:val="17"/>
                  <w:color w:val="auto"/>
                </w:rPr>
                <w:t>27</w:t>
              </w:r>
            </w:hyperlink>
          </w:p>
        </w:tc>
      </w:tr>
      <w:tr>
        <w:trPr>
          <w:trHeight w:val="482"/>
        </w:trPr>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5"/>
          </w:tcPr>
          <w:p>
            <w:pPr>
              <w:jc w:val="center"/>
              <w:ind w:right="3360"/>
              <w:spacing w:after="0"/>
              <w:rPr>
                <w:rFonts w:ascii="Times New Roman" w:cs="Times New Roman" w:eastAsia="Times New Roman" w:hAnsi="Times New Roman"/>
                <w:sz w:val="17"/>
                <w:szCs w:val="17"/>
                <w:b w:val="1"/>
                <w:bCs w:val="1"/>
                <w:color w:val="0000FF"/>
                <w:w w:val="96"/>
              </w:rPr>
            </w:pPr>
            <w:hyperlink w:anchor="page27">
              <w:r>
                <w:rPr>
                  <w:rFonts w:ascii="Times New Roman" w:cs="Times New Roman" w:eastAsia="Times New Roman" w:hAnsi="Times New Roman"/>
                  <w:sz w:val="17"/>
                  <w:szCs w:val="17"/>
                  <w:b w:val="1"/>
                  <w:bCs w:val="1"/>
                  <w:color w:val="0000FF"/>
                  <w:w w:val="96"/>
                </w:rPr>
                <w:t>PART II—OTHER INFORMATION</w:t>
              </w:r>
            </w:hyperlink>
          </w:p>
        </w:tc>
        <w:tc>
          <w:tcPr>
            <w:tcW w:w="1020" w:type="dxa"/>
            <w:vAlign w:val="bottom"/>
          </w:tcPr>
          <w:p>
            <w:pPr>
              <w:spacing w:after="0"/>
              <w:rPr>
                <w:sz w:val="24"/>
                <w:szCs w:val="24"/>
                <w:color w:val="auto"/>
              </w:rPr>
            </w:pPr>
          </w:p>
        </w:tc>
      </w:tr>
      <w:tr>
        <w:trPr>
          <w:trHeight w:val="482"/>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28">
              <w:r>
                <w:rPr>
                  <w:rFonts w:ascii="Times New Roman" w:cs="Times New Roman" w:eastAsia="Times New Roman" w:hAnsi="Times New Roman"/>
                  <w:sz w:val="17"/>
                  <w:szCs w:val="17"/>
                  <w:b w:val="1"/>
                  <w:bCs w:val="1"/>
                  <w:color w:val="0000FF"/>
                </w:rPr>
                <w:t>Item 1.</w:t>
              </w:r>
            </w:hyperlink>
          </w:p>
        </w:tc>
        <w:tc>
          <w:tcPr>
            <w:tcW w:w="2860" w:type="dxa"/>
            <w:vAlign w:val="bottom"/>
            <w:gridSpan w:val="7"/>
          </w:tcPr>
          <w:p>
            <w:pPr>
              <w:spacing w:after="0"/>
              <w:rPr>
                <w:rFonts w:ascii="Times New Roman" w:cs="Times New Roman" w:eastAsia="Times New Roman" w:hAnsi="Times New Roman"/>
                <w:sz w:val="17"/>
                <w:szCs w:val="17"/>
                <w:b w:val="1"/>
                <w:bCs w:val="1"/>
                <w:i w:val="1"/>
                <w:iCs w:val="1"/>
                <w:color w:val="0000FF"/>
              </w:rPr>
            </w:pPr>
            <w:hyperlink w:anchor="page28">
              <w:r>
                <w:rPr>
                  <w:rFonts w:ascii="Times New Roman" w:cs="Times New Roman" w:eastAsia="Times New Roman" w:hAnsi="Times New Roman"/>
                  <w:sz w:val="17"/>
                  <w:szCs w:val="17"/>
                  <w:b w:val="1"/>
                  <w:bCs w:val="1"/>
                  <w:i w:val="1"/>
                  <w:iCs w:val="1"/>
                  <w:color w:val="0000FF"/>
                </w:rPr>
                <w:t>Legal Proceedings</w:t>
              </w:r>
            </w:hyperlink>
          </w:p>
        </w:tc>
        <w:tc>
          <w:tcPr>
            <w:tcW w:w="2640" w:type="dxa"/>
            <w:vAlign w:val="bottom"/>
            <w:tcBorders>
              <w:top w:val="single" w:sz="8" w:color="0000FF"/>
            </w:tcBorders>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7"/>
                <w:szCs w:val="17"/>
                <w:color w:val="auto"/>
              </w:rPr>
            </w:pPr>
            <w:hyperlink w:anchor="page28">
              <w:r>
                <w:rPr>
                  <w:rFonts w:ascii="Times New Roman" w:cs="Times New Roman" w:eastAsia="Times New Roman" w:hAnsi="Times New Roman"/>
                  <w:sz w:val="17"/>
                  <w:szCs w:val="17"/>
                  <w:color w:val="auto"/>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28">
              <w:r>
                <w:rPr>
                  <w:rFonts w:ascii="Times New Roman" w:cs="Times New Roman" w:eastAsia="Times New Roman" w:hAnsi="Times New Roman"/>
                  <w:sz w:val="17"/>
                  <w:szCs w:val="17"/>
                  <w:b w:val="1"/>
                  <w:bCs w:val="1"/>
                  <w:color w:val="0000FF"/>
                </w:rPr>
                <w:t>Item 1A.</w:t>
              </w:r>
            </w:hyperlink>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FF"/>
              </w:rPr>
            </w:pPr>
            <w:hyperlink w:anchor="page28">
              <w:r>
                <w:rPr>
                  <w:rFonts w:ascii="Times New Roman" w:cs="Times New Roman" w:eastAsia="Times New Roman" w:hAnsi="Times New Roman"/>
                  <w:sz w:val="17"/>
                  <w:szCs w:val="17"/>
                  <w:b w:val="1"/>
                  <w:bCs w:val="1"/>
                  <w:i w:val="1"/>
                  <w:iCs w:val="1"/>
                  <w:color w:val="0000FF"/>
                </w:rPr>
                <w:t>Risk Factors</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8">
              <w:r>
                <w:rPr>
                  <w:rFonts w:ascii="Times New Roman" w:cs="Times New Roman" w:eastAsia="Times New Roman" w:hAnsi="Times New Roman"/>
                  <w:sz w:val="17"/>
                  <w:szCs w:val="17"/>
                  <w:color w:val="auto"/>
                </w:rPr>
                <w:t>28</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620" w:type="dxa"/>
            <w:vAlign w:val="bottom"/>
            <w:gridSpan w:val="2"/>
          </w:tcPr>
          <w:p>
            <w:pPr>
              <w:spacing w:after="0"/>
              <w:rPr>
                <w:rFonts w:ascii="Times New Roman" w:cs="Times New Roman" w:eastAsia="Times New Roman" w:hAnsi="Times New Roman"/>
                <w:sz w:val="17"/>
                <w:szCs w:val="17"/>
                <w:b w:val="1"/>
                <w:bCs w:val="1"/>
                <w:color w:val="0000FF"/>
              </w:rPr>
            </w:pPr>
            <w:hyperlink w:anchor="page28">
              <w:r>
                <w:rPr>
                  <w:rFonts w:ascii="Times New Roman" w:cs="Times New Roman" w:eastAsia="Times New Roman" w:hAnsi="Times New Roman"/>
                  <w:sz w:val="17"/>
                  <w:szCs w:val="17"/>
                  <w:b w:val="1"/>
                  <w:bCs w:val="1"/>
                  <w:color w:val="0000FF"/>
                </w:rPr>
                <w:t>Item 2.</w:t>
              </w:r>
            </w:hyperlink>
          </w:p>
        </w:tc>
        <w:tc>
          <w:tcPr>
            <w:tcW w:w="880" w:type="dxa"/>
            <w:vAlign w:val="bottom"/>
          </w:tcPr>
          <w:p>
            <w:pPr>
              <w:spacing w:after="0"/>
              <w:rPr>
                <w:sz w:val="20"/>
                <w:szCs w:val="20"/>
                <w:color w:val="auto"/>
              </w:rPr>
            </w:pPr>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FF"/>
              </w:rPr>
            </w:pPr>
            <w:hyperlink w:anchor="page28">
              <w:r>
                <w:rPr>
                  <w:rFonts w:ascii="Times New Roman" w:cs="Times New Roman" w:eastAsia="Times New Roman" w:hAnsi="Times New Roman"/>
                  <w:sz w:val="17"/>
                  <w:szCs w:val="17"/>
                  <w:b w:val="1"/>
                  <w:bCs w:val="1"/>
                  <w:i w:val="1"/>
                  <w:iCs w:val="1"/>
                  <w:color w:val="0000FF"/>
                </w:rPr>
                <w:t>Unregistered Sales of Equity Securities and Use of Proceeds</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8">
              <w:r>
                <w:rPr>
                  <w:rFonts w:ascii="Times New Roman" w:cs="Times New Roman" w:eastAsia="Times New Roman" w:hAnsi="Times New Roman"/>
                  <w:sz w:val="17"/>
                  <w:szCs w:val="17"/>
                  <w:color w:val="auto"/>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EE"/>
              </w:rPr>
            </w:pPr>
            <w:hyperlink w:anchor="page28">
              <w:r>
                <w:rPr>
                  <w:rFonts w:ascii="Times New Roman" w:cs="Times New Roman" w:eastAsia="Times New Roman" w:hAnsi="Times New Roman"/>
                  <w:sz w:val="17"/>
                  <w:szCs w:val="17"/>
                  <w:b w:val="1"/>
                  <w:bCs w:val="1"/>
                  <w:color w:val="0000EE"/>
                </w:rPr>
                <w:t>Item 5.</w:t>
              </w:r>
            </w:hyperlink>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EE"/>
              </w:rPr>
            </w:pPr>
            <w:hyperlink w:anchor="page28">
              <w:r>
                <w:rPr>
                  <w:rFonts w:ascii="Times New Roman" w:cs="Times New Roman" w:eastAsia="Times New Roman" w:hAnsi="Times New Roman"/>
                  <w:sz w:val="17"/>
                  <w:szCs w:val="17"/>
                  <w:b w:val="1"/>
                  <w:bCs w:val="1"/>
                  <w:i w:val="1"/>
                  <w:iCs w:val="1"/>
                  <w:color w:val="0000EE"/>
                </w:rPr>
                <w:t>Other Information</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8">
              <w:r>
                <w:rPr>
                  <w:rFonts w:ascii="Times New Roman" w:cs="Times New Roman" w:eastAsia="Times New Roman" w:hAnsi="Times New Roman"/>
                  <w:sz w:val="17"/>
                  <w:szCs w:val="17"/>
                  <w:color w:val="auto"/>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1"/>
        </w:trPr>
        <w:tc>
          <w:tcPr>
            <w:tcW w:w="1500" w:type="dxa"/>
            <w:vAlign w:val="bottom"/>
            <w:gridSpan w:val="3"/>
          </w:tcPr>
          <w:p>
            <w:pPr>
              <w:spacing w:after="0"/>
              <w:rPr>
                <w:rFonts w:ascii="Times New Roman" w:cs="Times New Roman" w:eastAsia="Times New Roman" w:hAnsi="Times New Roman"/>
                <w:sz w:val="17"/>
                <w:szCs w:val="17"/>
                <w:b w:val="1"/>
                <w:bCs w:val="1"/>
                <w:color w:val="0000FF"/>
              </w:rPr>
            </w:pPr>
            <w:hyperlink w:anchor="page29">
              <w:r>
                <w:rPr>
                  <w:rFonts w:ascii="Times New Roman" w:cs="Times New Roman" w:eastAsia="Times New Roman" w:hAnsi="Times New Roman"/>
                  <w:sz w:val="17"/>
                  <w:szCs w:val="17"/>
                  <w:b w:val="1"/>
                  <w:bCs w:val="1"/>
                  <w:color w:val="0000FF"/>
                </w:rPr>
                <w:t>Item 6.</w:t>
              </w:r>
            </w:hyperlink>
          </w:p>
        </w:tc>
        <w:tc>
          <w:tcPr>
            <w:tcW w:w="8860" w:type="dxa"/>
            <w:vAlign w:val="bottom"/>
            <w:gridSpan w:val="12"/>
          </w:tcPr>
          <w:p>
            <w:pPr>
              <w:spacing w:after="0"/>
              <w:rPr>
                <w:rFonts w:ascii="Times New Roman" w:cs="Times New Roman" w:eastAsia="Times New Roman" w:hAnsi="Times New Roman"/>
                <w:sz w:val="17"/>
                <w:szCs w:val="17"/>
                <w:b w:val="1"/>
                <w:bCs w:val="1"/>
                <w:i w:val="1"/>
                <w:iCs w:val="1"/>
                <w:color w:val="0000FF"/>
              </w:rPr>
            </w:pPr>
            <w:hyperlink w:anchor="page29">
              <w:r>
                <w:rPr>
                  <w:rFonts w:ascii="Times New Roman" w:cs="Times New Roman" w:eastAsia="Times New Roman" w:hAnsi="Times New Roman"/>
                  <w:sz w:val="17"/>
                  <w:szCs w:val="17"/>
                  <w:b w:val="1"/>
                  <w:bCs w:val="1"/>
                  <w:i w:val="1"/>
                  <w:iCs w:val="1"/>
                  <w:color w:val="0000FF"/>
                </w:rPr>
                <w:t>Exhibits</w:t>
              </w:r>
            </w:hyperlink>
          </w:p>
        </w:tc>
        <w:tc>
          <w:tcPr>
            <w:tcW w:w="1020" w:type="dxa"/>
            <w:vAlign w:val="bottom"/>
          </w:tcPr>
          <w:p>
            <w:pPr>
              <w:jc w:val="right"/>
              <w:spacing w:after="0"/>
              <w:rPr>
                <w:rFonts w:ascii="Times New Roman" w:cs="Times New Roman" w:eastAsia="Times New Roman" w:hAnsi="Times New Roman"/>
                <w:sz w:val="17"/>
                <w:szCs w:val="17"/>
                <w:color w:val="auto"/>
              </w:rPr>
            </w:pPr>
            <w:hyperlink w:anchor="page29">
              <w:r>
                <w:rPr>
                  <w:rFonts w:ascii="Times New Roman" w:cs="Times New Roman" w:eastAsia="Times New Roman" w:hAnsi="Times New Roman"/>
                  <w:sz w:val="17"/>
                  <w:szCs w:val="17"/>
                  <w:color w:val="auto"/>
                </w:rPr>
                <w:t>29</w:t>
              </w:r>
            </w:hyperlink>
          </w:p>
        </w:tc>
      </w:tr>
      <w:tr>
        <w:trPr>
          <w:trHeight w:val="469"/>
        </w:trPr>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920" w:type="dxa"/>
            <w:vAlign w:val="bottom"/>
            <w:gridSpan w:val="8"/>
          </w:tcPr>
          <w:p>
            <w:pPr>
              <w:jc w:val="center"/>
              <w:ind w:left="2236"/>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60" w:top="520" w:right="259"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2"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38"/>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00" w:type="dxa"/>
            <w:vAlign w:val="bottom"/>
            <w:tcBorders>
              <w:bottom w:val="single" w:sz="8" w:color="auto"/>
            </w:tcBorders>
          </w:tcPr>
          <w:p>
            <w:pPr>
              <w:spacing w:after="0"/>
              <w:rPr>
                <w:sz w:val="14"/>
                <w:szCs w:val="14"/>
                <w:color w:val="auto"/>
              </w:rPr>
            </w:pPr>
          </w:p>
        </w:tc>
      </w:tr>
      <w:tr>
        <w:trPr>
          <w:trHeight w:val="238"/>
        </w:trPr>
        <w:tc>
          <w:tcPr>
            <w:tcW w:w="8120" w:type="dxa"/>
            <w:vAlign w:val="bottom"/>
          </w:tcPr>
          <w:p>
            <w:pPr>
              <w:spacing w:after="0"/>
              <w:rPr>
                <w:sz w:val="20"/>
                <w:szCs w:val="20"/>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2015</w:t>
            </w: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600" w:type="dxa"/>
            <w:vAlign w:val="bottom"/>
            <w:tcBorders>
              <w:bottom w:val="single" w:sz="8" w:color="auto"/>
            </w:tcBorders>
          </w:tcPr>
          <w:p>
            <w:pPr>
              <w:spacing w:after="0"/>
              <w:rPr>
                <w:sz w:val="20"/>
                <w:szCs w:val="20"/>
                <w:color w:val="auto"/>
              </w:rPr>
            </w:pPr>
          </w:p>
        </w:tc>
      </w:tr>
      <w:tr>
        <w:trPr>
          <w:trHeight w:val="165"/>
        </w:trPr>
        <w:tc>
          <w:tcPr>
            <w:tcW w:w="8120" w:type="dxa"/>
            <w:vAlign w:val="bottom"/>
          </w:tcPr>
          <w:p>
            <w:pPr>
              <w:spacing w:after="0"/>
              <w:rPr>
                <w:sz w:val="14"/>
                <w:szCs w:val="14"/>
                <w:color w:val="auto"/>
              </w:rPr>
            </w:pPr>
          </w:p>
        </w:tc>
        <w:tc>
          <w:tcPr>
            <w:tcW w:w="2700" w:type="dxa"/>
            <w:vAlign w:val="bottom"/>
            <w:gridSpan w:val="3"/>
          </w:tcPr>
          <w:p>
            <w:pPr>
              <w:ind w:left="660"/>
              <w:spacing w:after="0"/>
              <w:rPr>
                <w:sz w:val="20"/>
                <w:szCs w:val="20"/>
                <w:color w:val="auto"/>
              </w:rPr>
            </w:pPr>
            <w:r>
              <w:rPr>
                <w:rFonts w:ascii="Times New Roman" w:cs="Times New Roman" w:eastAsia="Times New Roman" w:hAnsi="Times New Roman"/>
                <w:sz w:val="12"/>
                <w:szCs w:val="12"/>
                <w:b w:val="1"/>
                <w:bCs w:val="1"/>
                <w:i w:val="1"/>
                <w:iCs w:val="1"/>
                <w:color w:val="auto"/>
                <w:w w:val="98"/>
              </w:rPr>
              <w:t>(in thousands, except per share amounts)</w:t>
            </w:r>
          </w:p>
        </w:tc>
        <w:tc>
          <w:tcPr>
            <w:tcW w:w="600" w:type="dxa"/>
            <w:vAlign w:val="bottom"/>
          </w:tcPr>
          <w:p>
            <w:pPr>
              <w:spacing w:after="0"/>
              <w:rPr>
                <w:sz w:val="14"/>
                <w:szCs w:val="14"/>
                <w:color w:val="auto"/>
              </w:rPr>
            </w:pPr>
          </w:p>
        </w:tc>
      </w:tr>
      <w:tr>
        <w:trPr>
          <w:trHeight w:val="23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50,935</w:t>
            </w:r>
          </w:p>
        </w:tc>
        <w:tc>
          <w:tcPr>
            <w:tcW w:w="106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40,036</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17"/>
                <w:szCs w:val="17"/>
                <w:i w:val="1"/>
                <w:iCs w:val="1"/>
                <w:color w:val="auto"/>
              </w:rPr>
              <w:t>(exclusive of depreciation shown separately below)</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1,975</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1,665</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and marketing expense</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32,837</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27,449</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7,228</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6,133</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Product development</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2,173</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1,932</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654</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755</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62</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Restructuring and severance</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202</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Litigation settlements and contingencies</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282</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7,707</w:t>
            </w:r>
          </w:p>
        </w:tc>
      </w:tr>
      <w:tr>
        <w:trPr>
          <w:trHeight w:val="25"/>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costs and expenses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45,217</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45,871</w:t>
            </w:r>
          </w:p>
        </w:tc>
      </w:tr>
      <w:tr>
        <w:trPr>
          <w:trHeight w:val="218"/>
        </w:trPr>
        <w:tc>
          <w:tcPr>
            <w:tcW w:w="8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5,718</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(5,835)</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5,720</w:t>
            </w:r>
          </w:p>
        </w:tc>
        <w:tc>
          <w:tcPr>
            <w:tcW w:w="10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(5,835)</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8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(307)</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5,413</w:t>
            </w:r>
          </w:p>
        </w:tc>
        <w:tc>
          <w:tcPr>
            <w:tcW w:w="10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(5,834)</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98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(226)</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5"/>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4"/>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and comprehensive income (loss)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5,187</w:t>
            </w:r>
          </w:p>
        </w:tc>
        <w:tc>
          <w:tcPr>
            <w:tcW w:w="106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(6,408)</w:t>
            </w:r>
          </w:p>
        </w:tc>
      </w:tr>
      <w:tr>
        <w:trPr>
          <w:trHeight w:val="301"/>
        </w:trPr>
        <w:tc>
          <w:tcPr>
            <w:tcW w:w="8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9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11,304</w:t>
            </w:r>
          </w:p>
        </w:tc>
        <w:tc>
          <w:tcPr>
            <w:tcW w:w="10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11,142</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12,165</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11,142</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share from continuing operations: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0.48</w:t>
            </w:r>
          </w:p>
        </w:tc>
        <w:tc>
          <w:tcPr>
            <w:tcW w:w="106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0.44</w:t>
            </w:r>
          </w:p>
        </w:tc>
        <w:tc>
          <w:tcPr>
            <w:tcW w:w="10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per share from discontinued operations: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(0.02)</w:t>
            </w:r>
          </w:p>
        </w:tc>
        <w:tc>
          <w:tcPr>
            <w:tcW w:w="10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(0.02)</w:t>
            </w:r>
          </w:p>
        </w:tc>
        <w:tc>
          <w:tcPr>
            <w:tcW w:w="106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0.46</w:t>
            </w:r>
          </w:p>
        </w:tc>
        <w:tc>
          <w:tcPr>
            <w:tcW w:w="106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26"/>
        </w:trPr>
        <w:tc>
          <w:tcPr>
            <w:tcW w:w="8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0.43</w:t>
            </w:r>
          </w:p>
        </w:tc>
        <w:tc>
          <w:tcPr>
            <w:tcW w:w="10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5"/>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420"/>
          </w:cols>
          <w:pgMar w:left="240" w:top="123" w:right="239"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2"/>
                <w:szCs w:val="12"/>
                <w:color w:val="auto"/>
              </w:rPr>
            </w:pP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2"/>
        </w:trPr>
        <w:tc>
          <w:tcPr>
            <w:tcW w:w="8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165"/>
        </w:trPr>
        <w:tc>
          <w:tcPr>
            <w:tcW w:w="880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w w:val="99"/>
              </w:rPr>
              <w:t>(in thousands, except par value and share amounts)</w:t>
            </w:r>
          </w:p>
        </w:tc>
      </w:tr>
      <w:tr>
        <w:trPr>
          <w:trHeight w:val="23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88,536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86,212</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18,617</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18,716</w:t>
            </w: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 of $517 and $349, respectively)</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19,596</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13,611</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1,138</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931</w:t>
            </w: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assets of discontinued operations</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189</w:t>
            </w:r>
          </w:p>
        </w:tc>
      </w:tr>
      <w:tr>
        <w:trPr>
          <w:trHeight w:val="25"/>
        </w:trPr>
        <w:tc>
          <w:tcPr>
            <w:tcW w:w="8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128,048</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119,659</w:t>
            </w: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 of $14,165 and $14,810, respectively)</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5,743</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5,257</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3,632</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3,632</w:t>
            </w: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11,079</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11,141</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102</w:t>
            </w: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assets of discontinued operations</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100</w:t>
            </w:r>
          </w:p>
        </w:tc>
      </w:tr>
      <w:tr>
        <w:trPr>
          <w:trHeight w:val="25"/>
        </w:trPr>
        <w:tc>
          <w:tcPr>
            <w:tcW w:w="8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148,604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139,891</w:t>
            </w:r>
          </w:p>
        </w:tc>
      </w:tr>
      <w:tr>
        <w:trPr>
          <w:trHeight w:val="276"/>
        </w:trPr>
        <w:tc>
          <w:tcPr>
            <w:tcW w:w="88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31"/>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trade</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2,674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1,060</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26,868</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25,521</w:t>
            </w: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 of discontinued operations (Note 12)</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12,134</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12,055</w:t>
            </w:r>
          </w:p>
        </w:tc>
      </w:tr>
      <w:tr>
        <w:trPr>
          <w:trHeight w:val="25"/>
        </w:trPr>
        <w:tc>
          <w:tcPr>
            <w:tcW w:w="8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41,676</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38,636</w:t>
            </w: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9"/>
                <w:szCs w:val="19"/>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4,738</w:t>
            </w:r>
          </w:p>
        </w:tc>
        <w:tc>
          <w:tcPr>
            <w:tcW w:w="22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4,738</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liabilities of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151</w:t>
            </w:r>
          </w:p>
        </w:tc>
      </w:tr>
      <w:tr>
        <w:trPr>
          <w:trHeight w:val="218"/>
        </w:trPr>
        <w:tc>
          <w:tcPr>
            <w:tcW w:w="8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46,444</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43,525</w:t>
            </w:r>
          </w:p>
        </w:tc>
      </w:tr>
      <w:tr>
        <w:trPr>
          <w:trHeight w:val="25"/>
        </w:trPr>
        <w:tc>
          <w:tcPr>
            <w:tcW w:w="8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$.01 par value; 5,000,000 shares authorized; none issued or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$.01 par value; 50,000,000 shares authorized; 12,920,525 and 12,854,517 shares issued, respectively, and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11,446,998 and 11,386,240 shares outstanding, respectively</w:t>
            </w:r>
          </w:p>
        </w:tc>
        <w:tc>
          <w:tcPr>
            <w:tcW w:w="220" w:type="dxa"/>
            <w:vAlign w:val="bottom"/>
          </w:tcPr>
          <w:p>
            <w:pPr>
              <w:spacing w:after="0"/>
              <w:rPr>
                <w:sz w:val="18"/>
                <w:szCs w:val="18"/>
                <w:color w:val="auto"/>
              </w:rPr>
            </w:pPr>
          </w:p>
        </w:tc>
        <w:tc>
          <w:tcPr>
            <w:tcW w:w="11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129</w:t>
            </w:r>
          </w:p>
        </w:tc>
        <w:tc>
          <w:tcPr>
            <w:tcW w:w="22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129</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910,576</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909,751</w:t>
            </w:r>
          </w:p>
        </w:tc>
      </w:tr>
      <w:tr>
        <w:trPr>
          <w:trHeight w:val="226"/>
        </w:trPr>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(792,984)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(798,171)</w:t>
            </w:r>
          </w:p>
        </w:tc>
      </w:tr>
      <w:tr>
        <w:trPr>
          <w:trHeight w:val="25"/>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Treasury stock 1,473,527 and 1,468,277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(15,561)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(15,343)</w:t>
            </w:r>
          </w:p>
        </w:tc>
      </w:tr>
      <w:tr>
        <w:trPr>
          <w:trHeight w:val="218"/>
        </w:trPr>
        <w:tc>
          <w:tcPr>
            <w:tcW w:w="8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102,160</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96,366</w:t>
            </w:r>
          </w:p>
        </w:tc>
      </w:tr>
      <w:tr>
        <w:trPr>
          <w:trHeight w:val="25"/>
        </w:trPr>
        <w:tc>
          <w:tcPr>
            <w:tcW w:w="8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148,604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139,891</w:t>
            </w:r>
          </w:p>
        </w:tc>
      </w:tr>
      <w:tr>
        <w:trPr>
          <w:trHeight w:val="25"/>
        </w:trPr>
        <w:tc>
          <w:tcPr>
            <w:tcW w:w="8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20"/>
          </w:cols>
          <w:pgMar w:left="240" w:top="123" w:right="23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 OF SHAREHOLDERS' EQUITY</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vMerge w:val="restart"/>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0"/>
                <w:szCs w:val="10"/>
                <w:color w:val="auto"/>
              </w:rPr>
            </w:pPr>
          </w:p>
        </w:tc>
        <w:tc>
          <w:tcPr>
            <w:tcW w:w="1080" w:type="dxa"/>
            <w:vAlign w:val="bottom"/>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vMerge w:val="restart"/>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940" w:type="dxa"/>
            <w:vAlign w:val="bottom"/>
          </w:tcPr>
          <w:p>
            <w:pPr>
              <w:jc w:val="right"/>
              <w:ind w:right="262"/>
              <w:spacing w:after="0" w:line="13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1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2014</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96,366</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12,855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rPr>
              <w:t>909,751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(798,171)</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1,468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(15,343)</w:t>
            </w:r>
          </w:p>
        </w:tc>
        <w:tc>
          <w:tcPr>
            <w:tcW w:w="0" w:type="dxa"/>
            <w:vAlign w:val="bottom"/>
          </w:tcPr>
          <w:p>
            <w:pPr>
              <w:spacing w:after="0"/>
              <w:rPr>
                <w:sz w:val="1"/>
                <w:szCs w:val="1"/>
                <w:color w:val="auto"/>
              </w:rPr>
            </w:pPr>
          </w:p>
        </w:tc>
      </w:tr>
      <w:tr>
        <w:trPr>
          <w:trHeight w:val="226"/>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 and comprehensive income</w:t>
            </w:r>
          </w:p>
        </w:tc>
        <w:tc>
          <w:tcPr>
            <w:tcW w:w="240" w:type="dxa"/>
            <w:vAlign w:val="bottom"/>
          </w:tcPr>
          <w:p>
            <w:pPr>
              <w:spacing w:after="0"/>
              <w:rPr>
                <w:sz w:val="19"/>
                <w:szCs w:val="19"/>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5,187</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5,187</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2,336</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2,336</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(218)</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Issuance of common stock for stock options,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stock awards and restricted stock</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units, net of withholding taxes</w:t>
            </w:r>
          </w:p>
        </w:tc>
        <w:tc>
          <w:tcPr>
            <w:tcW w:w="24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(1,627)</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66</w:t>
            </w:r>
          </w:p>
        </w:tc>
        <w:tc>
          <w:tcPr>
            <w:tcW w:w="30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(1,627)</w:t>
            </w:r>
          </w:p>
        </w:tc>
        <w:tc>
          <w:tcPr>
            <w:tcW w:w="2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Tax benefit from stock-based award activity</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117</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2015</w:t>
            </w: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102,160</w:t>
            </w:r>
          </w:p>
        </w:tc>
        <w:tc>
          <w:tcPr>
            <w:tcW w:w="11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rPr>
              <w:t>12,921</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129</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rPr>
              <w:t>910,576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(792,984)</w:t>
            </w:r>
          </w:p>
        </w:tc>
        <w:tc>
          <w:tcPr>
            <w:tcW w:w="11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1,473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(15,561)</w:t>
            </w:r>
          </w:p>
        </w:tc>
        <w:tc>
          <w:tcPr>
            <w:tcW w:w="0" w:type="dxa"/>
            <w:vAlign w:val="bottom"/>
          </w:tcPr>
          <w:p>
            <w:pPr>
              <w:spacing w:after="0"/>
              <w:rPr>
                <w:sz w:val="1"/>
                <w:szCs w:val="1"/>
                <w:color w:val="auto"/>
              </w:rPr>
            </w:pPr>
          </w:p>
        </w:tc>
      </w:tr>
      <w:tr>
        <w:trPr>
          <w:trHeight w:val="30"/>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400"/>
          </w:cols>
          <w:pgMar w:left="240" w:top="123" w:right="25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243"/>
        </w:trPr>
        <w:tc>
          <w:tcPr>
            <w:tcW w:w="83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580" w:type="dxa"/>
            <w:vAlign w:val="bottom"/>
            <w:tcBorders>
              <w:bottom w:val="single" w:sz="8" w:color="auto"/>
            </w:tcBorders>
          </w:tcPr>
          <w:p>
            <w:pPr>
              <w:spacing w:after="0"/>
              <w:rPr>
                <w:sz w:val="21"/>
                <w:szCs w:val="21"/>
                <w:color w:val="auto"/>
              </w:rPr>
            </w:pPr>
          </w:p>
        </w:tc>
      </w:tr>
      <w:tr>
        <w:trPr>
          <w:trHeight w:val="181"/>
        </w:trPr>
        <w:tc>
          <w:tcPr>
            <w:tcW w:w="8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right"/>
              <w:ind w:right="462"/>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580" w:type="dxa"/>
            <w:vAlign w:val="bottom"/>
          </w:tcPr>
          <w:p>
            <w:pPr>
              <w:spacing w:after="0"/>
              <w:rPr>
                <w:sz w:val="15"/>
                <w:szCs w:val="15"/>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 attributable to continuing operations: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6"/>
        </w:trPr>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income (loss) and comprehensive income (loss)</w:t>
            </w:r>
          </w:p>
        </w:tc>
        <w:tc>
          <w:tcPr>
            <w:tcW w:w="900" w:type="dxa"/>
            <w:vAlign w:val="bottom"/>
          </w:tcPr>
          <w:p>
            <w:pPr>
              <w:jc w:val="right"/>
              <w:ind w:right="70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5,187</w:t>
            </w:r>
          </w:p>
        </w:tc>
        <w:tc>
          <w:tcPr>
            <w:tcW w:w="960" w:type="dxa"/>
            <w:vAlign w:val="bottom"/>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(6,408)</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Loss from discontinued operations, net of tax</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226</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574</w:t>
            </w:r>
          </w:p>
        </w:tc>
      </w:tr>
      <w:tr>
        <w:trPr>
          <w:trHeight w:val="218"/>
        </w:trPr>
        <w:tc>
          <w:tcPr>
            <w:tcW w:w="8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5,413</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(5,834)</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9"/>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income (loss) from continuing operations to net cash provided by operating</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2"/>
        </w:trPr>
        <w:tc>
          <w:tcPr>
            <w:tcW w:w="8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activities attributable to continuing operations:</w:t>
            </w:r>
          </w:p>
        </w:tc>
        <w:tc>
          <w:tcPr>
            <w:tcW w:w="9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28</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62</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28</w:t>
            </w: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654</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755</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2,336</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1,616</w:t>
            </w: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Excess tax benefit from stock-based award activity</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(117)</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Bad debt expense</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179</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186</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liabilities: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(6,164)</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(291)</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6"/>
        </w:trPr>
        <w:tc>
          <w:tcPr>
            <w:tcW w:w="83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2,864</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4,496</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376</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658</w:t>
            </w:r>
          </w:p>
        </w:tc>
      </w:tr>
      <w:tr>
        <w:trPr>
          <w:trHeight w:val="226"/>
        </w:trPr>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net</w:t>
            </w:r>
          </w:p>
        </w:tc>
        <w:tc>
          <w:tcPr>
            <w:tcW w:w="900" w:type="dxa"/>
            <w:vAlign w:val="bottom"/>
          </w:tcPr>
          <w:p>
            <w:pPr>
              <w:spacing w:after="0"/>
              <w:rPr>
                <w:sz w:val="19"/>
                <w:szCs w:val="19"/>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attributable to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5,340</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244</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 attributable to continuing operations: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expenditures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(1,154)</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r>
      <w:tr>
        <w:trPr>
          <w:trHeight w:val="226"/>
        </w:trPr>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of a business</w:t>
            </w:r>
          </w:p>
        </w:tc>
        <w:tc>
          <w:tcPr>
            <w:tcW w:w="90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(37)</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Decrease in restricted cash</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1,954</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provided by investing activities attributable to continuing operations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(1,091)</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885</w:t>
            </w:r>
          </w:p>
        </w:tc>
      </w:tr>
      <w:tr>
        <w:trPr>
          <w:trHeight w:val="25"/>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 attributable to continuing operations:</w:t>
            </w:r>
          </w:p>
        </w:tc>
        <w:tc>
          <w:tcPr>
            <w:tcW w:w="9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26"/>
        </w:trPr>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90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(1,612)</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Excess tax benefit from stock-based award activity</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117</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90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(218)</w:t>
            </w:r>
          </w:p>
        </w:tc>
        <w:tc>
          <w:tcPr>
            <w:tcW w:w="9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(72)</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 attributable to continuing operations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(1,785)</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(2,958)</w:t>
            </w:r>
          </w:p>
        </w:tc>
      </w:tr>
      <w:tr>
        <w:trPr>
          <w:trHeight w:val="25"/>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provided by (used in)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2,464</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(1,829)</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 attributable to discontinued operations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(140)</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used in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(140)</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2,324</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(2,168)</w:t>
            </w:r>
          </w:p>
        </w:tc>
      </w:tr>
      <w:tr>
        <w:trPr>
          <w:trHeight w:val="25"/>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8"/>
              </w:rPr>
              <w:t>86,212</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4"/>
              </w:rPr>
              <w:t>91,667</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900" w:type="dxa"/>
            <w:vAlign w:val="bottom"/>
            <w:tcBorders>
              <w:top w:val="single" w:sz="8" w:color="auto"/>
            </w:tcBorders>
          </w:tcPr>
          <w:p>
            <w:pPr>
              <w:jc w:val="right"/>
              <w:ind w:right="70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88,536</w:t>
            </w:r>
          </w:p>
        </w:tc>
        <w:tc>
          <w:tcPr>
            <w:tcW w:w="96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4"/>
              </w:rPr>
              <w:t>89,499</w:t>
            </w:r>
          </w:p>
        </w:tc>
      </w:tr>
      <w:tr>
        <w:trPr>
          <w:trHeight w:val="30"/>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400"/>
          </w:cols>
          <w:pgMar w:left="240" w:top="123" w:right="25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1—ORGANIZATION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LendingTree, Inc. ("LendingTree" or the "Company"), formerly known as Tree.com, Inc., is the parent of LendingTree, LLC and several companies owned by LendingTree, LLC.</w:t>
      </w:r>
    </w:p>
    <w:p>
      <w:pPr>
        <w:spacing w:after="0" w:line="109"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LendingTree operates what it believes to be the leading online loan marketplace for consumers seeking a broad array of loan types and other credit-based offerings. The Company offers consumers tools and resources, including free credit scores, that help them to comparison-shop for mortgage loans, home equity loans and lines of credit, reverse mortgages, personal loans, auto loans, student loans, credit cards, small business loans and other related offerings. The Company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inquiries it generates with these lenders.</w:t>
      </w:r>
    </w:p>
    <w:p>
      <w:pPr>
        <w:spacing w:after="0" w:line="78"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LendingTree and all its wholly-owned entities. Intercompany transactions and accounts have been eliminated.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16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Note 12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Discontinued Operations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60" w:lineRule="exact"/>
        <w:rPr>
          <w:sz w:val="20"/>
          <w:szCs w:val="20"/>
          <w:color w:val="auto"/>
        </w:rPr>
      </w:pPr>
    </w:p>
    <w:p>
      <w:pPr>
        <w:jc w:val="both"/>
        <w:ind w:firstLine="301"/>
        <w:spacing w:after="0" w:line="267" w:lineRule="auto"/>
        <w:rPr>
          <w:sz w:val="20"/>
          <w:szCs w:val="20"/>
          <w:color w:val="auto"/>
        </w:rPr>
      </w:pPr>
      <w:r>
        <w:rPr>
          <w:rFonts w:ascii="Times New Roman" w:cs="Times New Roman" w:eastAsia="Times New Roman" w:hAnsi="Times New Roman"/>
          <w:sz w:val="16"/>
          <w:szCs w:val="16"/>
          <w:color w:val="auto"/>
        </w:rPr>
        <w:t>The accompanying unaudited interim consolidated financial statements as of March 31, 2015 and for the three months ended March 31, 2015 and 2014,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2015 are not necessarily indicative of the results to be expected for the year ending December 31, 2015, or any other period. The accompanying consolidated balance sheet as of December 31, 2014 was derived from audited financial statements included in the Company's annual report on Form 10-K for the year ended December 31, 2014 (the "2014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2014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2—SIGNIFICANT ACCOUNTING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Estimates</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various other allowances, reserves and accruals; and assumptions related to the determination of stock-based compensation.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420"/>
          </w:cols>
          <w:pgMar w:left="240" w:top="123" w:right="23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Risks and Concentrations</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LendingTree's business is subject to certain risks and concentrations including dependence on third-party technology providers, exposure to risks associated with online commerce security and credit card fraud.</w:t>
      </w:r>
    </w:p>
    <w:p>
      <w:pPr>
        <w:spacing w:after="0" w:line="59"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 of credit risk at March 31, 2015,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marketplace lenders to maintain security deposits with the Company, which in the event of non-payment, would be applied against any accounts receivable outstanding.</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Due to the nature of the mortgage lending industry, interest rate increases may negatively impact future revenue from the Company's lender marketplace.</w:t>
      </w:r>
    </w:p>
    <w:p>
      <w:pPr>
        <w:spacing w:after="0" w:line="106"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the Company's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maintains operations solely in the United States.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Settlements and Contingencies</w:t>
      </w:r>
    </w:p>
    <w:p>
      <w:pPr>
        <w:spacing w:after="0" w:line="160" w:lineRule="exact"/>
        <w:rPr>
          <w:sz w:val="20"/>
          <w:szCs w:val="20"/>
          <w:color w:val="auto"/>
        </w:rPr>
      </w:pPr>
    </w:p>
    <w:p>
      <w:pPr>
        <w:ind w:right="320" w:firstLine="301"/>
        <w:spacing w:after="0" w:line="272" w:lineRule="auto"/>
        <w:rPr>
          <w:sz w:val="20"/>
          <w:szCs w:val="20"/>
          <w:color w:val="auto"/>
        </w:rPr>
      </w:pPr>
      <w:r>
        <w:rPr>
          <w:rFonts w:ascii="Times New Roman" w:cs="Times New Roman" w:eastAsia="Times New Roman" w:hAnsi="Times New Roman"/>
          <w:sz w:val="17"/>
          <w:szCs w:val="17"/>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0" w:lineRule="exact"/>
        <w:rPr>
          <w:sz w:val="20"/>
          <w:szCs w:val="20"/>
          <w:color w:val="auto"/>
        </w:rPr>
      </w:pPr>
    </w:p>
    <w:p>
      <w:pPr>
        <w:jc w:val="both"/>
        <w:ind w:firstLine="301"/>
        <w:spacing w:after="0" w:line="249" w:lineRule="auto"/>
        <w:rPr>
          <w:sz w:val="20"/>
          <w:szCs w:val="20"/>
          <w:color w:val="auto"/>
        </w:rPr>
      </w:pPr>
      <w:r>
        <w:rPr>
          <w:rFonts w:ascii="Times New Roman" w:cs="Times New Roman" w:eastAsia="Times New Roman" w:hAnsi="Times New Roman"/>
          <w:sz w:val="17"/>
          <w:szCs w:val="17"/>
          <w:color w:val="auto"/>
        </w:rPr>
        <w:t>In May 2014, the Financial Accounting Standards Board ("FASB") issued Accounting Standards Update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is set to be effective for annual reporting periods beginning after December 15, 2016. However, in April 2015, the FASB proposed a one-year deferral of this standard, such that it will be effective for annual reporting periods beginning after December 15, 2017. FASB's proposal has not yet been adopted. Early adoption is not permitted; however, under the proposed one-year deferral, early adoption would be permitted as of the original effective date of December 15, 2016.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no recently issued accounting pronouncements that were adopted during the three months ended March 31,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3—RESTRICTED CASH</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Restricted cash and cash equivalents consists of the following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Pr>
          <w:p>
            <w:pPr>
              <w:spacing w:after="0"/>
              <w:rPr>
                <w:sz w:val="12"/>
                <w:szCs w:val="12"/>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2"/>
        </w:trPr>
        <w:tc>
          <w:tcPr>
            <w:tcW w:w="8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49"/>
        </w:trPr>
        <w:tc>
          <w:tcPr>
            <w:tcW w:w="836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7"/>
                <w:szCs w:val="17"/>
                <w:color w:val="auto"/>
              </w:rPr>
              <w:t xml:space="preserve">Cash in escrow for surety bonds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2,453</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2,453</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in escrow for corporate purchasing card program</w:t>
            </w:r>
          </w:p>
        </w:tc>
        <w:tc>
          <w:tcPr>
            <w:tcW w:w="26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100</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1"/>
        </w:trPr>
        <w:tc>
          <w:tcPr>
            <w:tcW w:w="836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Cash in escrow from sale of LendingTree Loans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16,107</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16,106</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57</w:t>
            </w:r>
          </w:p>
        </w:tc>
        <w:tc>
          <w:tcPr>
            <w:tcW w:w="32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57</w:t>
            </w:r>
          </w:p>
        </w:tc>
      </w:tr>
      <w:tr>
        <w:trPr>
          <w:trHeight w:val="25"/>
        </w:trPr>
        <w:tc>
          <w:tcPr>
            <w:tcW w:w="8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restricted cash and cash equivalents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18,617</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18,716</w:t>
            </w:r>
          </w:p>
        </w:tc>
      </w:tr>
      <w:tr>
        <w:trPr>
          <w:trHeight w:val="25"/>
        </w:trPr>
        <w:tc>
          <w:tcPr>
            <w:tcW w:w="8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34" w:lineRule="exact"/>
        <w:rPr>
          <w:sz w:val="20"/>
          <w:szCs w:val="20"/>
          <w:color w:val="auto"/>
        </w:rPr>
      </w:pPr>
    </w:p>
    <w:p>
      <w:pPr>
        <w:ind w:left="600" w:hanging="299"/>
        <w:spacing w:after="0" w:line="272"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and regulations generally require businesses which engage in mortgage brokering activity to maintain a mortgage broker or similar license. Mortgage brokering activity is generally defined to include, among other things,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420"/>
          </w:cols>
          <w:pgMar w:left="240" w:top="123" w:right="23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jc w:val="both"/>
        <w:ind w:left="600"/>
        <w:spacing w:after="0" w:line="305" w:lineRule="auto"/>
        <w:rPr>
          <w:sz w:val="20"/>
          <w:szCs w:val="20"/>
          <w:color w:val="auto"/>
        </w:rPr>
      </w:pPr>
      <w:r>
        <w:rPr>
          <w:rFonts w:ascii="Times New Roman" w:cs="Times New Roman" w:eastAsia="Times New Roman" w:hAnsi="Times New Roman"/>
          <w:sz w:val="17"/>
          <w:szCs w:val="17"/>
          <w:color w:val="auto"/>
        </w:rPr>
        <w:t>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95" w:lineRule="exact"/>
        <w:rPr>
          <w:sz w:val="20"/>
          <w:szCs w:val="20"/>
          <w:color w:val="auto"/>
        </w:rPr>
      </w:pPr>
    </w:p>
    <w:p>
      <w:pPr>
        <w:ind w:left="600" w:hanging="299"/>
        <w:spacing w:after="0" w:line="272"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4—GOODWILL AND INTANGIBLE ASSETS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The balance of goodwill and intangible assets, net is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2"/>
                <w:szCs w:val="12"/>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2"/>
        </w:trPr>
        <w:tc>
          <w:tcPr>
            <w:tcW w:w="8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486,720</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486,720</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impairment losses</w:t>
            </w:r>
          </w:p>
        </w:tc>
        <w:tc>
          <w:tcPr>
            <w:tcW w:w="26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(483,088)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(483,088)</w:t>
            </w:r>
          </w:p>
        </w:tc>
      </w:tr>
      <w:tr>
        <w:trPr>
          <w:trHeight w:val="25"/>
        </w:trPr>
        <w:tc>
          <w:tcPr>
            <w:tcW w:w="8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goodwill</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3,632</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3,632</w:t>
            </w:r>
          </w:p>
        </w:tc>
      </w:tr>
      <w:tr>
        <w:trPr>
          <w:trHeight w:val="301"/>
        </w:trPr>
        <w:tc>
          <w:tcPr>
            <w:tcW w:w="8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with indefinite lives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10,142</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10,142</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260" w:type="dxa"/>
            <w:vAlign w:val="bottom"/>
          </w:tcPr>
          <w:p>
            <w:pPr>
              <w:spacing w:after="0"/>
              <w:rPr>
                <w:sz w:val="19"/>
                <w:szCs w:val="19"/>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rPr>
              <w:t>937</w:t>
            </w:r>
          </w:p>
        </w:tc>
        <w:tc>
          <w:tcPr>
            <w:tcW w:w="28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999</w:t>
            </w:r>
          </w:p>
        </w:tc>
      </w:tr>
      <w:tr>
        <w:trPr>
          <w:trHeight w:val="25"/>
        </w:trPr>
        <w:tc>
          <w:tcPr>
            <w:tcW w:w="8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 net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11,079</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11,141</w:t>
            </w:r>
          </w:p>
        </w:tc>
      </w:tr>
      <w:tr>
        <w:trPr>
          <w:trHeight w:val="25"/>
        </w:trPr>
        <w:tc>
          <w:tcPr>
            <w:tcW w:w="8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Indefinite-Lived Intangible Assets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Company's goodwill is associated with its one reportable segment, lending. Intangible assets with indefinite lives relate to the Company's trademarks.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with Definite Lives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Intangible assets with definite lives relate to the following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Cost</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20" w:type="dxa"/>
            <w:vAlign w:val="bottom"/>
          </w:tcPr>
          <w:p>
            <w:pPr>
              <w:spacing w:after="0"/>
              <w:rPr>
                <w:sz w:val="12"/>
                <w:szCs w:val="12"/>
                <w:color w:val="auto"/>
              </w:rPr>
            </w:pPr>
          </w:p>
        </w:tc>
        <w:tc>
          <w:tcPr>
            <w:tcW w:w="1020" w:type="dxa"/>
            <w:vAlign w:val="bottom"/>
            <w:vMerge w:val="restart"/>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lists</w:t>
            </w:r>
          </w:p>
        </w:tc>
        <w:tc>
          <w:tcPr>
            <w:tcW w:w="4020" w:type="dxa"/>
            <w:vAlign w:val="bottom"/>
            <w:tcBorders>
              <w:bottom w:val="single" w:sz="8" w:color="CCEEFF"/>
            </w:tcBorders>
            <w:gridSpan w:val="2"/>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1,049</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(112)</w:t>
            </w:r>
          </w:p>
        </w:tc>
        <w:tc>
          <w:tcPr>
            <w:tcW w:w="4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1,087</w:t>
            </w:r>
          </w:p>
        </w:tc>
        <w:tc>
          <w:tcPr>
            <w:tcW w:w="30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(1,087)</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9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2015</w:t>
            </w:r>
          </w:p>
        </w:tc>
        <w:tc>
          <w:tcPr>
            <w:tcW w:w="4020" w:type="dxa"/>
            <w:vAlign w:val="bottom"/>
            <w:tcBorders>
              <w:bottom w:val="single" w:sz="8" w:color="CCEEFF"/>
            </w:tcBorders>
            <w:gridSpan w:val="2"/>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2,136</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(1,199)</w:t>
            </w:r>
          </w:p>
        </w:tc>
        <w:tc>
          <w:tcPr>
            <w:tcW w:w="4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937</w:t>
            </w:r>
          </w:p>
        </w:tc>
        <w:tc>
          <w:tcPr>
            <w:tcW w:w="0" w:type="dxa"/>
            <w:vAlign w:val="bottom"/>
          </w:tcPr>
          <w:p>
            <w:pPr>
              <w:spacing w:after="0"/>
              <w:rPr>
                <w:sz w:val="1"/>
                <w:szCs w:val="1"/>
                <w:color w:val="auto"/>
              </w:rPr>
            </w:pPr>
          </w:p>
        </w:tc>
      </w:tr>
      <w:tr>
        <w:trPr>
          <w:trHeight w:val="264"/>
        </w:trPr>
        <w:tc>
          <w:tcPr>
            <w:tcW w:w="3920" w:type="dxa"/>
            <w:vAlign w:val="bottom"/>
            <w:tcBorders>
              <w:top w:val="single" w:sz="8" w:color="auto"/>
            </w:tcBorders>
          </w:tcPr>
          <w:p>
            <w:pPr>
              <w:spacing w:after="0"/>
              <w:rPr>
                <w:sz w:val="22"/>
                <w:szCs w:val="22"/>
                <w:color w:val="auto"/>
              </w:rPr>
            </w:pPr>
          </w:p>
        </w:tc>
        <w:tc>
          <w:tcPr>
            <w:tcW w:w="3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Cost</w:t>
            </w:r>
          </w:p>
        </w:tc>
        <w:tc>
          <w:tcPr>
            <w:tcW w:w="5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vMerge w:val="restart"/>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lists</w:t>
            </w:r>
          </w:p>
        </w:tc>
        <w:tc>
          <w:tcPr>
            <w:tcW w:w="4020" w:type="dxa"/>
            <w:vAlign w:val="bottom"/>
            <w:tcBorders>
              <w:bottom w:val="single" w:sz="8" w:color="CCEEFF"/>
            </w:tcBorders>
            <w:gridSpan w:val="2"/>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1,049</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(50)</w:t>
            </w:r>
          </w:p>
        </w:tc>
        <w:tc>
          <w:tcPr>
            <w:tcW w:w="4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1,087</w:t>
            </w:r>
          </w:p>
        </w:tc>
        <w:tc>
          <w:tcPr>
            <w:tcW w:w="30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(1,087)</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9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2014</w:t>
            </w:r>
          </w:p>
        </w:tc>
        <w:tc>
          <w:tcPr>
            <w:tcW w:w="4020" w:type="dxa"/>
            <w:vAlign w:val="bottom"/>
            <w:tcBorders>
              <w:bottom w:val="single" w:sz="8" w:color="CCEEFF"/>
            </w:tcBorders>
            <w:gridSpan w:val="2"/>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2,136</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(1,137)</w:t>
            </w:r>
          </w:p>
        </w:tc>
        <w:tc>
          <w:tcPr>
            <w:tcW w:w="4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999</w:t>
            </w:r>
          </w:p>
        </w:tc>
        <w:tc>
          <w:tcPr>
            <w:tcW w:w="0" w:type="dxa"/>
            <w:vAlign w:val="bottom"/>
          </w:tcPr>
          <w:p>
            <w:pPr>
              <w:spacing w:after="0"/>
              <w:rPr>
                <w:sz w:val="1"/>
                <w:szCs w:val="1"/>
                <w:color w:val="auto"/>
              </w:rPr>
            </w:pPr>
          </w:p>
        </w:tc>
      </w:tr>
      <w:tr>
        <w:trPr>
          <w:trHeight w:val="426"/>
        </w:trPr>
        <w:tc>
          <w:tcPr>
            <w:tcW w:w="392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tcPr>
          <w:p>
            <w:pPr>
              <w:jc w:val="right"/>
              <w:ind w:right="1236"/>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 xml:space="preserve">Amortization of intangible assets with definite lives is computed on a straight-line basis and, based on balances as of March 31, 2015, future amortization is estimated to be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Amortization Expense</w:t>
            </w: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current year</w:t>
            </w:r>
          </w:p>
        </w:tc>
        <w:tc>
          <w:tcPr>
            <w:tcW w:w="62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87</w:t>
            </w:r>
          </w:p>
        </w:tc>
      </w:tr>
      <w:tr>
        <w:trPr>
          <w:trHeight w:val="226"/>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ending December 31, 2016</w:t>
            </w:r>
          </w:p>
        </w:tc>
        <w:tc>
          <w:tcPr>
            <w:tcW w:w="62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r>
      <w:tr>
        <w:trPr>
          <w:trHeight w:val="25"/>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1"/>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 2017</w:t>
            </w: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ending December 31, 2018</w:t>
            </w:r>
          </w:p>
        </w:tc>
        <w:tc>
          <w:tcPr>
            <w:tcW w:w="62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r>
      <w:tr>
        <w:trPr>
          <w:trHeight w:val="25"/>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1"/>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 2019</w:t>
            </w: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2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450</w:t>
            </w:r>
          </w:p>
        </w:tc>
      </w:tr>
      <w:tr>
        <w:trPr>
          <w:trHeight w:val="25"/>
        </w:trPr>
        <w:tc>
          <w:tcPr>
            <w:tcW w:w="9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 with definite lives, net</w:t>
            </w:r>
          </w:p>
        </w:tc>
        <w:tc>
          <w:tcPr>
            <w:tcW w:w="62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937</w:t>
            </w:r>
          </w:p>
        </w:tc>
      </w:tr>
      <w:tr>
        <w:trPr>
          <w:trHeight w:val="25"/>
        </w:trPr>
        <w:tc>
          <w:tcPr>
            <w:tcW w:w="9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335"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On June 30, 2014, the Company acquired certain intangible assets to be used in its home services business for $0.6 million paid on the acquisition date, plus contingent consideration of $0 to $0.8 million. During the fourth quarter of 2014, the Company finalized the purchase price of $1.0 million, which included an estimated contingent consideration of $0.4 million. The entire purchase price was allocated to the customer lists acquired, which is being amortized on a straight-line basis over a useful life of 10 years. During the first quarter of 2015, the Company reduced its estimated contingent consideration by $0.1 million, which is included in general and administrative expense in the accompanying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5—ACCRUED EXPENSES AND OTHER CURRENT LIABILITIES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Accrued expenses and other current liabilities consist of the following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Pr>
          <w:p>
            <w:pPr>
              <w:spacing w:after="0"/>
              <w:rPr>
                <w:sz w:val="12"/>
                <w:szCs w:val="12"/>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2"/>
        </w:trPr>
        <w:tc>
          <w:tcPr>
            <w:tcW w:w="8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litigation liabilities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2,972</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2,786</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advertising expense</w:t>
            </w:r>
          </w:p>
        </w:tc>
        <w:tc>
          <w:tcPr>
            <w:tcW w:w="2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12,725</w:t>
            </w:r>
          </w:p>
        </w:tc>
        <w:tc>
          <w:tcPr>
            <w:tcW w:w="3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11,170</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2,491</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2,666</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864</w:t>
            </w:r>
          </w:p>
        </w:tc>
        <w:tc>
          <w:tcPr>
            <w:tcW w:w="3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337</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restructuring costs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103</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178</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deposits and escrows</w:t>
            </w:r>
          </w:p>
        </w:tc>
        <w:tc>
          <w:tcPr>
            <w:tcW w:w="2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4,619</w:t>
            </w:r>
          </w:p>
        </w:tc>
        <w:tc>
          <w:tcPr>
            <w:tcW w:w="3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4,560</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89</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162</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3,005</w:t>
            </w:r>
          </w:p>
        </w:tc>
        <w:tc>
          <w:tcPr>
            <w:tcW w:w="3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3,662</w:t>
            </w:r>
          </w:p>
        </w:tc>
      </w:tr>
      <w:tr>
        <w:trPr>
          <w:trHeight w:val="25"/>
        </w:trPr>
        <w:tc>
          <w:tcPr>
            <w:tcW w:w="8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26,868</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25,521</w:t>
            </w:r>
          </w:p>
        </w:tc>
      </w:tr>
      <w:tr>
        <w:trPr>
          <w:trHeight w:val="25"/>
        </w:trPr>
        <w:tc>
          <w:tcPr>
            <w:tcW w:w="8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6—SHAREHOLDERS' EQUITY</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Basic and diluted income (loss) per share was determined based on the following share data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24130</wp:posOffset>
            </wp:positionV>
            <wp:extent cx="1951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240" w:type="dxa"/>
            <w:vAlign w:val="bottom"/>
            <w:gridSpan w:val="2"/>
          </w:tcPr>
          <w:p>
            <w:pPr>
              <w:ind w:left="8960"/>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900" w:type="dxa"/>
            <w:vAlign w:val="bottom"/>
          </w:tcPr>
          <w:p>
            <w:pPr>
              <w:spacing w:after="0"/>
              <w:rPr>
                <w:sz w:val="15"/>
                <w:szCs w:val="15"/>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29"/>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basic common shares</w:t>
            </w: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98"/>
              </w:rPr>
              <w:t>11,304</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11,142</w:t>
            </w:r>
          </w:p>
        </w:tc>
      </w:tr>
      <w:tr>
        <w:trPr>
          <w:trHeight w:val="226"/>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 of stock options</w:t>
            </w: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693</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share awards</w:t>
            </w:r>
          </w:p>
        </w:tc>
        <w:tc>
          <w:tcPr>
            <w:tcW w:w="90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168</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9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diluted common shares</w:t>
            </w:r>
          </w:p>
        </w:tc>
        <w:tc>
          <w:tcPr>
            <w:tcW w:w="9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98"/>
              </w:rPr>
              <w:t>12,165</w:t>
            </w:r>
          </w:p>
        </w:tc>
        <w:tc>
          <w:tcPr>
            <w:tcW w:w="12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11,142</w:t>
            </w:r>
          </w:p>
        </w:tc>
      </w:tr>
      <w:tr>
        <w:trPr>
          <w:trHeight w:val="30"/>
        </w:trPr>
        <w:tc>
          <w:tcPr>
            <w:tcW w:w="8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For the three months ended March 31, 2014,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 period. For the three months ended March 31, 2014, approximately 0.7 million shares related to potentially dilutive securities were excluded from the calculation of diluted income (loss) per share, because their inclusion would have been anti-dilutive.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420"/>
          </w:cols>
          <w:pgMar w:left="240" w:top="123" w:right="23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Repurchases</w:t>
      </w:r>
    </w:p>
    <w:p>
      <w:pPr>
        <w:spacing w:after="0" w:line="16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In January 2010, the board of directors authorized and the Company announced the repurchase of up to $10.0 million of LendingTree's common stock. In May 2014, the board of directors authorized and the Company announced the repurchase of up to an additional $10.0 million of LendingTree's common stock. During the three months ended March 31, 2015, the Company purchased 5,250 shares of its common stock pursuant to this stock repurchase program. At March 31, 2015, approximately $7.3 million remains authorized for share repurchase.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7—STOCK-BASED COMPENSATION</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20</w:t>
            </w:r>
          </w:p>
        </w:tc>
        <w:tc>
          <w:tcPr>
            <w:tcW w:w="3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w:t>
            </w: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5"/>
              <w:spacing w:after="0"/>
              <w:rPr>
                <w:sz w:val="20"/>
                <w:szCs w:val="20"/>
                <w:color w:val="auto"/>
              </w:rPr>
            </w:pPr>
            <w:r>
              <w:rPr>
                <w:rFonts w:ascii="Times New Roman" w:cs="Times New Roman" w:eastAsia="Times New Roman" w:hAnsi="Times New Roman"/>
                <w:sz w:val="17"/>
                <w:szCs w:val="17"/>
                <w:color w:val="auto"/>
              </w:rPr>
              <w:t>270</w:t>
            </w:r>
          </w:p>
        </w:tc>
        <w:tc>
          <w:tcPr>
            <w:tcW w:w="360" w:type="dxa"/>
            <w:vAlign w:val="bottom"/>
          </w:tcPr>
          <w:p>
            <w:pPr>
              <w:spacing w:after="0"/>
              <w:rPr>
                <w:sz w:val="19"/>
                <w:szCs w:val="19"/>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1,606</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1,061</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5"/>
              <w:spacing w:after="0"/>
              <w:rPr>
                <w:sz w:val="20"/>
                <w:szCs w:val="20"/>
                <w:color w:val="auto"/>
              </w:rPr>
            </w:pPr>
            <w:r>
              <w:rPr>
                <w:rFonts w:ascii="Times New Roman" w:cs="Times New Roman" w:eastAsia="Times New Roman" w:hAnsi="Times New Roman"/>
                <w:sz w:val="17"/>
                <w:szCs w:val="17"/>
                <w:color w:val="auto"/>
              </w:rPr>
              <w:t>440</w:t>
            </w:r>
          </w:p>
        </w:tc>
        <w:tc>
          <w:tcPr>
            <w:tcW w:w="360" w:type="dxa"/>
            <w:vAlign w:val="bottom"/>
          </w:tcPr>
          <w:p>
            <w:pPr>
              <w:spacing w:after="0"/>
              <w:rPr>
                <w:sz w:val="19"/>
                <w:szCs w:val="19"/>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5"/>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non-cash compensation</w:t>
            </w: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b w:val="1"/>
                <w:bCs w:val="1"/>
                <w:color w:val="auto"/>
              </w:rPr>
              <w:t>2,336</w:t>
            </w:r>
          </w:p>
        </w:tc>
        <w:tc>
          <w:tcPr>
            <w:tcW w:w="3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1,616</w:t>
            </w:r>
          </w:p>
        </w:tc>
        <w:tc>
          <w:tcPr>
            <w:tcW w:w="0" w:type="dxa"/>
            <w:vAlign w:val="bottom"/>
          </w:tcPr>
          <w:p>
            <w:pPr>
              <w:spacing w:after="0"/>
              <w:rPr>
                <w:sz w:val="1"/>
                <w:szCs w:val="1"/>
                <w:color w:val="auto"/>
              </w:rPr>
            </w:pPr>
          </w:p>
        </w:tc>
      </w:tr>
      <w:tr>
        <w:trPr>
          <w:trHeight w:val="401"/>
        </w:trPr>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 summary of changes in outstanding stock options is as follows:</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30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300" w:type="dxa"/>
            <w:vAlign w:val="bottom"/>
          </w:tcPr>
          <w:p>
            <w:pPr>
              <w:jc w:val="center"/>
              <w:ind w:right="245"/>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360" w:type="dxa"/>
            <w:vAlign w:val="bottom"/>
          </w:tcPr>
          <w:p>
            <w:pPr>
              <w:spacing w:after="0"/>
              <w:rPr>
                <w:sz w:val="11"/>
                <w:szCs w:val="11"/>
                <w:color w:val="auto"/>
              </w:rPr>
            </w:pPr>
          </w:p>
        </w:tc>
        <w:tc>
          <w:tcPr>
            <w:tcW w:w="1160" w:type="dxa"/>
            <w:vAlign w:val="bottom"/>
            <w:vMerge w:val="restart"/>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60" w:type="dxa"/>
            <w:vAlign w:val="bottom"/>
          </w:tcPr>
          <w:p>
            <w:pPr>
              <w:jc w:val="center"/>
              <w:ind w:left="508"/>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245"/>
              <w:spacing w:after="0" w:line="13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40" w:type="dxa"/>
            <w:vAlign w:val="bottom"/>
            <w:vMerge w:val="restart"/>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060" w:type="dxa"/>
            <w:vAlign w:val="bottom"/>
          </w:tcPr>
          <w:p>
            <w:pPr>
              <w:jc w:val="center"/>
              <w:ind w:left="508"/>
              <w:spacing w:after="0" w:line="13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245"/>
              <w:spacing w:after="0" w:line="138"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360" w:type="dxa"/>
            <w:vAlign w:val="bottom"/>
          </w:tcPr>
          <w:p>
            <w:pPr>
              <w:spacing w:after="0"/>
              <w:rPr>
                <w:sz w:val="11"/>
                <w:szCs w:val="11"/>
                <w:color w:val="auto"/>
              </w:rPr>
            </w:pPr>
          </w:p>
        </w:tc>
        <w:tc>
          <w:tcPr>
            <w:tcW w:w="1160" w:type="dxa"/>
            <w:vAlign w:val="bottom"/>
          </w:tcPr>
          <w:p>
            <w:pPr>
              <w:jc w:val="center"/>
              <w:ind w:right="223"/>
              <w:spacing w:after="0" w:line="13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2"/>
        </w:trPr>
        <w:tc>
          <w:tcPr>
            <w:tcW w:w="51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jc w:val="center"/>
              <w:ind w:left="528"/>
              <w:spacing w:after="0"/>
              <w:rPr>
                <w:sz w:val="20"/>
                <w:szCs w:val="20"/>
                <w:color w:val="auto"/>
              </w:rPr>
            </w:pPr>
            <w:r>
              <w:rPr>
                <w:rFonts w:ascii="Times New Roman" w:cs="Times New Roman" w:eastAsia="Times New Roman" w:hAnsi="Times New Roman"/>
                <w:sz w:val="13"/>
                <w:szCs w:val="13"/>
                <w:b w:val="1"/>
                <w:bCs w:val="1"/>
                <w:color w:val="auto"/>
              </w:rPr>
              <w:t>Price</w:t>
            </w: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i w:val="1"/>
                <w:iCs w:val="1"/>
                <w:color w:val="auto"/>
              </w:rPr>
              <w:t>(per option)</w:t>
            </w:r>
          </w:p>
        </w:tc>
        <w:tc>
          <w:tcPr>
            <w:tcW w:w="1300" w:type="dxa"/>
            <w:vAlign w:val="bottom"/>
          </w:tcPr>
          <w:p>
            <w:pPr>
              <w:jc w:val="center"/>
              <w:ind w:right="225"/>
              <w:spacing w:after="0"/>
              <w:rPr>
                <w:sz w:val="20"/>
                <w:szCs w:val="20"/>
                <w:color w:val="auto"/>
              </w:rPr>
            </w:pPr>
            <w:r>
              <w:rPr>
                <w:rFonts w:ascii="Times New Roman" w:cs="Times New Roman" w:eastAsia="Times New Roman" w:hAnsi="Times New Roman"/>
                <w:sz w:val="13"/>
                <w:szCs w:val="13"/>
                <w:b w:val="1"/>
                <w:bCs w:val="1"/>
                <w:i w:val="1"/>
                <w:iCs w:val="1"/>
                <w:color w:val="auto"/>
              </w:rPr>
              <w:t>(in years)</w:t>
            </w:r>
          </w:p>
        </w:tc>
        <w:tc>
          <w:tcPr>
            <w:tcW w:w="360" w:type="dxa"/>
            <w:vAlign w:val="bottom"/>
          </w:tcPr>
          <w:p>
            <w:pPr>
              <w:spacing w:after="0"/>
              <w:rPr>
                <w:sz w:val="15"/>
                <w:szCs w:val="15"/>
                <w:color w:val="auto"/>
              </w:rPr>
            </w:pPr>
          </w:p>
        </w:tc>
        <w:tc>
          <w:tcPr>
            <w:tcW w:w="1160" w:type="dxa"/>
            <w:vAlign w:val="bottom"/>
          </w:tcPr>
          <w:p>
            <w:pPr>
              <w:jc w:val="center"/>
              <w:ind w:right="243"/>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0" w:type="dxa"/>
            <w:vAlign w:val="bottom"/>
          </w:tcPr>
          <w:p>
            <w:pPr>
              <w:spacing w:after="0"/>
              <w:rPr>
                <w:sz w:val="1"/>
                <w:szCs w:val="1"/>
                <w:color w:val="auto"/>
              </w:rPr>
            </w:pPr>
          </w:p>
        </w:tc>
      </w:tr>
      <w:tr>
        <w:trPr>
          <w:trHeight w:val="73"/>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January 1, 2015</w:t>
            </w:r>
          </w:p>
        </w:tc>
        <w:tc>
          <w:tcPr>
            <w:tcW w:w="15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2,136,679</w:t>
            </w:r>
          </w:p>
        </w:tc>
        <w:tc>
          <w:tcPr>
            <w:tcW w:w="10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93"/>
              </w:rPr>
              <w:t>18.16</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140" w:type="dxa"/>
            <w:vAlign w:val="bottom"/>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3"/>
                <w:szCs w:val="23"/>
                <w:color w:val="auto"/>
                <w:vertAlign w:val="superscript"/>
              </w:rPr>
              <w:t>(b)</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11,478</w:t>
            </w:r>
          </w:p>
        </w:tc>
        <w:tc>
          <w:tcPr>
            <w:tcW w:w="1060" w:type="dxa"/>
            <w:vAlign w:val="bottom"/>
          </w:tcPr>
          <w:p>
            <w:pPr>
              <w:spacing w:after="0"/>
              <w:rPr>
                <w:sz w:val="21"/>
                <w:szCs w:val="21"/>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53.24</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(898)</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8.62</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(611)</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7.32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March 31, 2015</w:t>
            </w:r>
          </w:p>
        </w:tc>
        <w:tc>
          <w:tcPr>
            <w:tcW w:w="15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2,146,648</w:t>
            </w: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93"/>
              </w:rPr>
              <w:t>18.35</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7"/>
                <w:szCs w:val="17"/>
                <w:b w:val="1"/>
                <w:bCs w:val="1"/>
                <w:color w:val="auto"/>
              </w:rPr>
              <w:t>6.21</w:t>
            </w:r>
          </w:p>
        </w:tc>
        <w:tc>
          <w:tcPr>
            <w:tcW w:w="3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80,839</w:t>
            </w:r>
          </w:p>
        </w:tc>
        <w:tc>
          <w:tcPr>
            <w:tcW w:w="0" w:type="dxa"/>
            <w:vAlign w:val="bottom"/>
          </w:tcPr>
          <w:p>
            <w:pPr>
              <w:spacing w:after="0"/>
              <w:rPr>
                <w:sz w:val="1"/>
                <w:szCs w:val="1"/>
                <w:color w:val="auto"/>
              </w:rPr>
            </w:pPr>
          </w:p>
        </w:tc>
      </w:tr>
      <w:tr>
        <w:trPr>
          <w:trHeight w:val="30"/>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exercisable at March 31, 2015</w:t>
            </w:r>
          </w:p>
        </w:tc>
        <w:tc>
          <w:tcPr>
            <w:tcW w:w="15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1,045,843</w:t>
            </w:r>
          </w:p>
        </w:tc>
        <w:tc>
          <w:tcPr>
            <w:tcW w:w="10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9.33</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b w:val="1"/>
                <w:bCs w:val="1"/>
                <w:color w:val="auto"/>
              </w:rPr>
              <w:t>3.63</w:t>
            </w:r>
          </w:p>
        </w:tc>
        <w:tc>
          <w:tcPr>
            <w:tcW w:w="3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48,819</w:t>
            </w:r>
          </w:p>
        </w:tc>
        <w:tc>
          <w:tcPr>
            <w:tcW w:w="0" w:type="dxa"/>
            <w:vAlign w:val="bottom"/>
          </w:tcPr>
          <w:p>
            <w:pPr>
              <w:spacing w:after="0"/>
              <w:rPr>
                <w:sz w:val="1"/>
                <w:szCs w:val="1"/>
                <w:color w:val="auto"/>
              </w:rPr>
            </w:pPr>
          </w:p>
        </w:tc>
      </w:tr>
      <w:tr>
        <w:trPr>
          <w:trHeight w:val="25"/>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00" w:hanging="299"/>
        <w:spacing w:after="0" w:line="255"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represents the total pre-tax intrinsic value (the difference between the Company's closing stock price of $56.01 on the last trading day of the quarter ended March 31, 2015 and the exercise price, multiplied by the number of shares covered by in-the-money options) that would have been received by the option holders had all option holders exercised their options on March 31, 2015. The intrinsic value changes based on the market value of the Company's common stock.</w:t>
      </w:r>
    </w:p>
    <w:p>
      <w:pPr>
        <w:spacing w:after="0" w:line="122" w:lineRule="exact"/>
        <w:rPr>
          <w:rFonts w:ascii="Times New Roman" w:cs="Times New Roman" w:eastAsia="Times New Roman" w:hAnsi="Times New Roman"/>
          <w:sz w:val="17"/>
          <w:szCs w:val="17"/>
          <w:color w:val="auto"/>
        </w:rPr>
      </w:pPr>
    </w:p>
    <w:p>
      <w:pPr>
        <w:ind w:left="600" w:hanging="299"/>
        <w:spacing w:after="0" w:line="272"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March 31, 2015, the Company granted stock options to certain employees with a weighted average grant date fair value per share of $20.78, which vest over a period of three years from the grant date.</w:t>
      </w:r>
    </w:p>
    <w:p>
      <w:pPr>
        <w:spacing w:after="0" w:line="108" w:lineRule="exact"/>
        <w:rPr>
          <w:rFonts w:ascii="Times New Roman" w:cs="Times New Roman" w:eastAsia="Times New Roman" w:hAnsi="Times New Roman"/>
          <w:sz w:val="17"/>
          <w:szCs w:val="17"/>
          <w:color w:val="auto"/>
        </w:rPr>
      </w:pPr>
    </w:p>
    <w:p>
      <w:pPr>
        <w:ind w:left="60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20"/>
          </w:cols>
          <w:pgMar w:left="240" w:top="123" w:right="23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8660" w:type="dxa"/>
            <w:vAlign w:val="bottom"/>
          </w:tcPr>
          <w:p>
            <w:pPr>
              <w:jc w:val="right"/>
              <w:ind w:right="3815"/>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tc>
      </w:tr>
      <w:tr>
        <w:trPr>
          <w:trHeight w:val="221"/>
        </w:trPr>
        <w:tc>
          <w:tcPr>
            <w:tcW w:w="1960" w:type="dxa"/>
            <w:vAlign w:val="bottom"/>
          </w:tcPr>
          <w:p>
            <w:pPr>
              <w:spacing w:after="0"/>
              <w:rPr>
                <w:sz w:val="19"/>
                <w:szCs w:val="19"/>
                <w:color w:val="auto"/>
              </w:rPr>
            </w:pPr>
          </w:p>
        </w:tc>
        <w:tc>
          <w:tcPr>
            <w:tcW w:w="8660" w:type="dxa"/>
            <w:vAlign w:val="bottom"/>
          </w:tcPr>
          <w:p>
            <w:pPr>
              <w:jc w:val="right"/>
              <w:ind w:right="297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tc>
      </w:tr>
      <w:tr>
        <w:trPr>
          <w:trHeight w:val="552"/>
        </w:trPr>
        <w:tc>
          <w:tcPr>
            <w:tcW w:w="196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51"/>
        </w:trPr>
        <w:tc>
          <w:tcPr>
            <w:tcW w:w="196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Expected term </w:t>
            </w:r>
            <w:r>
              <w:rPr>
                <w:rFonts w:ascii="Times New Roman" w:cs="Times New Roman" w:eastAsia="Times New Roman" w:hAnsi="Times New Roman"/>
                <w:sz w:val="23"/>
                <w:szCs w:val="23"/>
                <w:color w:val="auto"/>
                <w:vertAlign w:val="superscript"/>
              </w:rPr>
              <w:t>(1)</w:t>
            </w:r>
          </w:p>
        </w:tc>
        <w:tc>
          <w:tcPr>
            <w:tcW w:w="8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 years</w:t>
            </w:r>
          </w:p>
        </w:tc>
      </w:tr>
      <w:tr>
        <w:trPr>
          <w:trHeight w:val="251"/>
        </w:trPr>
        <w:tc>
          <w:tcPr>
            <w:tcW w:w="1960" w:type="dxa"/>
            <w:vAlign w:val="bottom"/>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Expected dividend </w:t>
            </w:r>
            <w:r>
              <w:rPr>
                <w:rFonts w:ascii="Times New Roman" w:cs="Times New Roman" w:eastAsia="Times New Roman" w:hAnsi="Times New Roman"/>
                <w:sz w:val="23"/>
                <w:szCs w:val="23"/>
                <w:color w:val="auto"/>
                <w:vertAlign w:val="superscript"/>
              </w:rPr>
              <w:t>(2)</w:t>
            </w:r>
          </w:p>
        </w:tc>
        <w:tc>
          <w:tcPr>
            <w:tcW w:w="8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196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3"/>
                <w:szCs w:val="23"/>
                <w:color w:val="auto"/>
                <w:vertAlign w:val="superscript"/>
              </w:rPr>
              <w:t>(3)</w:t>
            </w:r>
          </w:p>
        </w:tc>
        <w:tc>
          <w:tcPr>
            <w:tcW w:w="8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r>
      <w:tr>
        <w:trPr>
          <w:trHeight w:val="251"/>
        </w:trPr>
        <w:tc>
          <w:tcPr>
            <w:tcW w:w="1960" w:type="dxa"/>
            <w:vAlign w:val="bottom"/>
            <w:tcBorders>
              <w:bottom w:val="single" w:sz="8" w:color="999999"/>
            </w:tcBorders>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3"/>
                <w:szCs w:val="23"/>
                <w:color w:val="auto"/>
                <w:vertAlign w:val="superscript"/>
              </w:rPr>
              <w:t>(4)</w:t>
            </w:r>
          </w:p>
        </w:tc>
        <w:tc>
          <w:tcPr>
            <w:tcW w:w="8660" w:type="dxa"/>
            <w:vAlign w:val="bottom"/>
            <w:tcBorders>
              <w:bottom w:val="single" w:sz="8" w:color="999999"/>
            </w:tcBorders>
          </w:tcPr>
          <w:p>
            <w:pPr>
              <w:jc w:val="right"/>
              <w:ind w:right="15"/>
              <w:spacing w:after="0"/>
              <w:rPr>
                <w:sz w:val="20"/>
                <w:szCs w:val="20"/>
                <w:color w:val="auto"/>
              </w:rPr>
            </w:pPr>
            <w:r>
              <w:rPr>
                <w:rFonts w:ascii="Times New Roman" w:cs="Times New Roman" w:eastAsia="Times New Roman" w:hAnsi="Times New Roman"/>
                <w:sz w:val="17"/>
                <w:szCs w:val="17"/>
                <w:color w:val="auto"/>
              </w:rPr>
              <w:t>1.66% - 1.74%</w:t>
            </w:r>
          </w:p>
        </w:tc>
      </w:tr>
    </w:tbl>
    <w:p>
      <w:pPr>
        <w:spacing w:after="0" w:line="134" w:lineRule="exact"/>
        <w:rPr>
          <w:sz w:val="20"/>
          <w:szCs w:val="20"/>
          <w:color w:val="auto"/>
        </w:rPr>
      </w:pPr>
    </w:p>
    <w:p>
      <w:pPr>
        <w:jc w:val="both"/>
        <w:ind w:left="900" w:hanging="298"/>
        <w:spacing w:after="0" w:line="25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19" w:lineRule="exact"/>
        <w:rPr>
          <w:rFonts w:ascii="Times New Roman" w:cs="Times New Roman" w:eastAsia="Times New Roman" w:hAnsi="Times New Roman"/>
          <w:sz w:val="17"/>
          <w:szCs w:val="17"/>
          <w:color w:val="auto"/>
        </w:rPr>
      </w:pPr>
    </w:p>
    <w:p>
      <w:pPr>
        <w:ind w:left="900" w:hanging="298"/>
        <w:spacing w:after="0" w:line="272"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stock options granted in 2015, no dividends are expected to be paid over the contractual term of the stock options, resulting in a zero expected dividend rate.</w:t>
      </w:r>
    </w:p>
    <w:p>
      <w:pPr>
        <w:spacing w:after="0" w:line="108"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rate is based on the historical volatility of the Company's common stock.</w:t>
      </w:r>
    </w:p>
    <w:p>
      <w:pPr>
        <w:spacing w:after="0" w:line="155" w:lineRule="exact"/>
        <w:rPr>
          <w:rFonts w:ascii="Times New Roman" w:cs="Times New Roman" w:eastAsia="Times New Roman" w:hAnsi="Times New Roman"/>
          <w:sz w:val="17"/>
          <w:szCs w:val="17"/>
          <w:color w:val="auto"/>
        </w:rPr>
      </w:pPr>
    </w:p>
    <w:p>
      <w:pPr>
        <w:ind w:left="900" w:hanging="298"/>
        <w:spacing w:after="0" w:line="272"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specific to the date of grant. The risk-free interest rate is based on U.S. Treasury yields for notes with comparable expected terms as the awards, in effect at the grant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 and Restricted Stock</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summary of the changes in outstanding nonvested restricted stock units ("RSUs") and restricted stock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60" w:type="dxa"/>
            <w:vAlign w:val="bottom"/>
            <w:tcBorders>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RSUs</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1880" w:type="dxa"/>
            <w:vAlign w:val="bottom"/>
            <w:gridSpan w:val="2"/>
          </w:tcPr>
          <w:p>
            <w:pPr>
              <w:jc w:val="center"/>
              <w:ind w:left="2"/>
              <w:spacing w:after="0" w:line="137" w:lineRule="exact"/>
              <w:rPr>
                <w:sz w:val="20"/>
                <w:szCs w:val="20"/>
                <w:color w:val="auto"/>
              </w:rPr>
            </w:pPr>
            <w:r>
              <w:rPr>
                <w:rFonts w:ascii="Times New Roman" w:cs="Times New Roman" w:eastAsia="Times New Roman" w:hAnsi="Times New Roman"/>
                <w:sz w:val="13"/>
                <w:szCs w:val="13"/>
                <w:b w:val="1"/>
                <w:bCs w:val="1"/>
                <w:color w:val="auto"/>
              </w:rPr>
              <w:t>Weighted Average Grant Date</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i w:val="1"/>
                <w:iCs w:val="1"/>
                <w:color w:val="auto"/>
              </w:rPr>
              <w:t>(per unit)</w:t>
            </w:r>
          </w:p>
        </w:tc>
        <w:tc>
          <w:tcPr>
            <w:tcW w:w="0" w:type="dxa"/>
            <w:vAlign w:val="bottom"/>
          </w:tcPr>
          <w:p>
            <w:pPr>
              <w:spacing w:after="0"/>
              <w:rPr>
                <w:sz w:val="1"/>
                <w:szCs w:val="1"/>
                <w:color w:val="auto"/>
              </w:rPr>
            </w:pPr>
          </w:p>
        </w:tc>
      </w:tr>
      <w:tr>
        <w:trPr>
          <w:trHeight w:val="73"/>
        </w:trPr>
        <w:tc>
          <w:tcPr>
            <w:tcW w:w="388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January 1, 2015</w:t>
            </w:r>
          </w:p>
        </w:tc>
        <w:tc>
          <w:tcPr>
            <w:tcW w:w="5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rPr>
              <w:t>351,801</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22.83</w:t>
            </w: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56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65,422</w:t>
            </w:r>
          </w:p>
        </w:tc>
        <w:tc>
          <w:tcPr>
            <w:tcW w:w="5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53.08</w:t>
            </w: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5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(104,543)</w:t>
            </w: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22.43</w:t>
            </w: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566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color w:val="auto"/>
              </w:rPr>
              <w:t>(6,023)</w:t>
            </w:r>
          </w:p>
        </w:tc>
        <w:tc>
          <w:tcPr>
            <w:tcW w:w="5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24.84</w:t>
            </w:r>
          </w:p>
        </w:tc>
        <w:tc>
          <w:tcPr>
            <w:tcW w:w="0" w:type="dxa"/>
            <w:vAlign w:val="bottom"/>
          </w:tcPr>
          <w:p>
            <w:pPr>
              <w:spacing w:after="0"/>
              <w:rPr>
                <w:sz w:val="1"/>
                <w:szCs w:val="1"/>
                <w:color w:val="auto"/>
              </w:rPr>
            </w:pPr>
          </w:p>
        </w:tc>
      </w:tr>
      <w:tr>
        <w:trPr>
          <w:trHeight w:val="25"/>
        </w:trPr>
        <w:tc>
          <w:tcPr>
            <w:tcW w:w="38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March 31, 2015</w:t>
            </w:r>
          </w:p>
        </w:tc>
        <w:tc>
          <w:tcPr>
            <w:tcW w:w="5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rPr>
              <w:t>306,657</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29.38</w:t>
            </w:r>
          </w:p>
        </w:tc>
        <w:tc>
          <w:tcPr>
            <w:tcW w:w="0" w:type="dxa"/>
            <w:vAlign w:val="bottom"/>
          </w:tcPr>
          <w:p>
            <w:pPr>
              <w:spacing w:after="0"/>
              <w:rPr>
                <w:sz w:val="1"/>
                <w:szCs w:val="1"/>
                <w:color w:val="auto"/>
              </w:rPr>
            </w:pPr>
          </w:p>
        </w:tc>
      </w:tr>
      <w:tr>
        <w:trPr>
          <w:trHeight w:val="710"/>
        </w:trPr>
        <w:tc>
          <w:tcPr>
            <w:tcW w:w="38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24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13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80" w:type="dxa"/>
            <w:vAlign w:val="bottom"/>
            <w:gridSpan w:val="2"/>
          </w:tcPr>
          <w:p>
            <w:pPr>
              <w:jc w:val="center"/>
              <w:ind w:left="2"/>
              <w:spacing w:after="0" w:line="137" w:lineRule="exact"/>
              <w:rPr>
                <w:sz w:val="20"/>
                <w:szCs w:val="20"/>
                <w:color w:val="auto"/>
              </w:rPr>
            </w:pPr>
            <w:r>
              <w:rPr>
                <w:rFonts w:ascii="Times New Roman" w:cs="Times New Roman" w:eastAsia="Times New Roman" w:hAnsi="Times New Roman"/>
                <w:sz w:val="13"/>
                <w:szCs w:val="13"/>
                <w:b w:val="1"/>
                <w:bCs w:val="1"/>
                <w:color w:val="auto"/>
              </w:rPr>
              <w:t>Weighted Average Grant Date</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i w:val="1"/>
                <w:iCs w:val="1"/>
                <w:color w:val="auto"/>
              </w:rPr>
              <w:t>(per share)</w:t>
            </w:r>
          </w:p>
        </w:tc>
        <w:tc>
          <w:tcPr>
            <w:tcW w:w="0" w:type="dxa"/>
            <w:vAlign w:val="bottom"/>
          </w:tcPr>
          <w:p>
            <w:pPr>
              <w:spacing w:after="0"/>
              <w:rPr>
                <w:sz w:val="1"/>
                <w:szCs w:val="1"/>
                <w:color w:val="auto"/>
              </w:rPr>
            </w:pPr>
          </w:p>
        </w:tc>
      </w:tr>
      <w:tr>
        <w:trPr>
          <w:trHeight w:val="73"/>
        </w:trPr>
        <w:tc>
          <w:tcPr>
            <w:tcW w:w="3880" w:type="dxa"/>
            <w:vAlign w:val="bottom"/>
          </w:tcPr>
          <w:p>
            <w:pPr>
              <w:spacing w:after="0"/>
              <w:rPr>
                <w:sz w:val="6"/>
                <w:szCs w:val="6"/>
                <w:color w:val="auto"/>
              </w:rPr>
            </w:pPr>
          </w:p>
        </w:tc>
        <w:tc>
          <w:tcPr>
            <w:tcW w:w="5660" w:type="dxa"/>
            <w:vAlign w:val="bottom"/>
            <w:gridSpan w:val="2"/>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January 1, 2015</w:t>
            </w:r>
          </w:p>
        </w:tc>
        <w:tc>
          <w:tcPr>
            <w:tcW w:w="5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rPr>
              <w:t>123,057</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23.41</w:t>
            </w: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780" w:type="dxa"/>
            <w:vAlign w:val="bottom"/>
          </w:tcPr>
          <w:p>
            <w:pPr>
              <w:spacing w:after="0"/>
              <w:rPr>
                <w:sz w:val="19"/>
                <w:szCs w:val="19"/>
                <w:color w:val="auto"/>
              </w:rPr>
            </w:pPr>
          </w:p>
        </w:tc>
        <w:tc>
          <w:tcPr>
            <w:tcW w:w="1880" w:type="dxa"/>
            <w:vAlign w:val="bottom"/>
          </w:tcPr>
          <w:p>
            <w:pPr>
              <w:jc w:val="right"/>
              <w:ind w:right="8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5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(20,833)</w:t>
            </w: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17.49</w:t>
            </w: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780" w:type="dxa"/>
            <w:vAlign w:val="bottom"/>
          </w:tcPr>
          <w:p>
            <w:pPr>
              <w:spacing w:after="0"/>
              <w:rPr>
                <w:sz w:val="19"/>
                <w:szCs w:val="19"/>
                <w:color w:val="auto"/>
              </w:rPr>
            </w:pPr>
          </w:p>
        </w:tc>
        <w:tc>
          <w:tcPr>
            <w:tcW w:w="1880" w:type="dxa"/>
            <w:vAlign w:val="bottom"/>
          </w:tcPr>
          <w:p>
            <w:pPr>
              <w:jc w:val="right"/>
              <w:ind w:right="8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88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March 31, 2015</w:t>
            </w:r>
          </w:p>
        </w:tc>
        <w:tc>
          <w:tcPr>
            <w:tcW w:w="5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rPr>
              <w:t>102,224</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24.62</w:t>
            </w:r>
          </w:p>
        </w:tc>
        <w:tc>
          <w:tcPr>
            <w:tcW w:w="0" w:type="dxa"/>
            <w:vAlign w:val="bottom"/>
          </w:tcPr>
          <w:p>
            <w:pPr>
              <w:spacing w:after="0"/>
              <w:rPr>
                <w:sz w:val="1"/>
                <w:szCs w:val="1"/>
                <w:color w:val="auto"/>
              </w:rPr>
            </w:pPr>
          </w:p>
        </w:tc>
      </w:tr>
      <w:tr>
        <w:trPr>
          <w:trHeight w:val="426"/>
        </w:trPr>
        <w:tc>
          <w:tcPr>
            <w:tcW w:w="38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jc w:val="right"/>
              <w:ind w:right="1776"/>
              <w:spacing w:after="0"/>
              <w:rPr>
                <w:sz w:val="20"/>
                <w:szCs w:val="20"/>
                <w:color w:val="auto"/>
              </w:rPr>
            </w:pPr>
            <w:r>
              <w:rPr>
                <w:rFonts w:ascii="Times New Roman" w:cs="Times New Roman" w:eastAsia="Times New Roman" w:hAnsi="Times New Roman"/>
                <w:sz w:val="17"/>
                <w:szCs w:val="17"/>
                <w:color w:val="auto"/>
              </w:rPr>
              <w:t>12</w:t>
            </w:r>
          </w:p>
        </w:tc>
        <w:tc>
          <w:tcPr>
            <w:tcW w:w="1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8—INCOME TAXES</w:t>
      </w:r>
    </w:p>
    <w:p>
      <w:pPr>
        <w:spacing w:after="0" w:line="15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80" w:type="dxa"/>
            <w:vAlign w:val="bottom"/>
            <w:tcBorders>
              <w:bottom w:val="single" w:sz="8" w:color="auto"/>
            </w:tcBorders>
          </w:tcPr>
          <w:p>
            <w:pPr>
              <w:spacing w:after="0"/>
              <w:rPr>
                <w:sz w:val="14"/>
                <w:szCs w:val="14"/>
                <w:color w:val="auto"/>
              </w:rPr>
            </w:pPr>
          </w:p>
        </w:tc>
      </w:tr>
      <w:tr>
        <w:trPr>
          <w:trHeight w:val="238"/>
        </w:trPr>
        <w:tc>
          <w:tcPr>
            <w:tcW w:w="8220" w:type="dxa"/>
            <w:vAlign w:val="bottom"/>
          </w:tcPr>
          <w:p>
            <w:pPr>
              <w:spacing w:after="0"/>
              <w:rPr>
                <w:sz w:val="20"/>
                <w:szCs w:val="20"/>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2014</w:t>
            </w:r>
          </w:p>
        </w:tc>
        <w:tc>
          <w:tcPr>
            <w:tcW w:w="480" w:type="dxa"/>
            <w:vAlign w:val="bottom"/>
            <w:tcBorders>
              <w:bottom w:val="single" w:sz="8" w:color="auto"/>
            </w:tcBorders>
          </w:tcPr>
          <w:p>
            <w:pPr>
              <w:spacing w:after="0"/>
              <w:rPr>
                <w:sz w:val="20"/>
                <w:szCs w:val="20"/>
                <w:color w:val="auto"/>
              </w:rPr>
            </w:pPr>
          </w:p>
        </w:tc>
      </w:tr>
      <w:tr>
        <w:trPr>
          <w:trHeight w:val="176"/>
        </w:trPr>
        <w:tc>
          <w:tcPr>
            <w:tcW w:w="8220" w:type="dxa"/>
            <w:vAlign w:val="bottom"/>
          </w:tcPr>
          <w:p>
            <w:pPr>
              <w:spacing w:after="0"/>
              <w:rPr>
                <w:sz w:val="15"/>
                <w:szCs w:val="15"/>
                <w:color w:val="auto"/>
              </w:rPr>
            </w:pPr>
          </w:p>
        </w:tc>
        <w:tc>
          <w:tcPr>
            <w:tcW w:w="2720" w:type="dxa"/>
            <w:vAlign w:val="bottom"/>
            <w:gridSpan w:val="3"/>
          </w:tcPr>
          <w:p>
            <w:pPr>
              <w:jc w:val="right"/>
              <w:ind w:right="65"/>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percentages)</w:t>
            </w:r>
          </w:p>
        </w:tc>
        <w:tc>
          <w:tcPr>
            <w:tcW w:w="480" w:type="dxa"/>
            <w:vAlign w:val="bottom"/>
          </w:tcPr>
          <w:p>
            <w:pPr>
              <w:spacing w:after="0"/>
              <w:rPr>
                <w:sz w:val="15"/>
                <w:szCs w:val="15"/>
                <w:color w:val="auto"/>
              </w:rPr>
            </w:pPr>
          </w:p>
        </w:tc>
      </w:tr>
      <w:tr>
        <w:trPr>
          <w:trHeight w:val="60"/>
        </w:trPr>
        <w:tc>
          <w:tcPr>
            <w:tcW w:w="8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00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(307)</w:t>
            </w:r>
          </w:p>
        </w:tc>
        <w:tc>
          <w:tcPr>
            <w:tcW w:w="1120" w:type="dxa"/>
            <w:vAlign w:val="bottom"/>
            <w:tcBorders>
              <w:bottom w:val="single" w:sz="8" w:color="CCEEFF"/>
            </w:tcBorders>
            <w:shd w:val="clear" w:color="auto" w:fill="CCEEFF"/>
          </w:tcPr>
          <w:p>
            <w:pPr>
              <w:jc w:val="right"/>
              <w:ind w:right="86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100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7"/>
                <w:szCs w:val="17"/>
                <w:i w:val="1"/>
                <w:iCs w:val="1"/>
                <w:color w:val="auto"/>
              </w:rPr>
              <w:t>5.4%</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r>
      <w:tr>
        <w:trPr>
          <w:trHeight w:val="25"/>
        </w:trPr>
        <w:tc>
          <w:tcPr>
            <w:tcW w:w="822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0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480" w:type="dxa"/>
            <w:vAlign w:val="bottom"/>
            <w:tcBorders>
              <w:bottom w:val="single" w:sz="8" w:color="999999"/>
            </w:tcBorders>
          </w:tcPr>
          <w:p>
            <w:pPr>
              <w:spacing w:after="0"/>
              <w:rPr>
                <w:sz w:val="2"/>
                <w:szCs w:val="2"/>
                <w:color w:val="auto"/>
              </w:rPr>
            </w:pPr>
          </w:p>
        </w:tc>
      </w:tr>
    </w:tbl>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Tax expense for the three months ended March 31, 2015 is primarily comprised of the federal Alternative Minimum Tax and state taxes.</w:t>
      </w:r>
    </w:p>
    <w:p>
      <w:pPr>
        <w:spacing w:after="0" w:line="156"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For the three months ended March 31, 2015 and 2014, the effective tax rates varied from the statutory rate primarily due to the existence of a valuation allowance that has been provided to offset the Company's net deferred tax asset and state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Allowance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has been no change to the Company's valuation allowance assessment for the three months ended March 31,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firstLine="301"/>
        <w:spacing w:after="0" w:line="276" w:lineRule="auto"/>
        <w:rPr>
          <w:sz w:val="20"/>
          <w:szCs w:val="20"/>
          <w:color w:val="auto"/>
        </w:rPr>
      </w:pPr>
      <w:r>
        <w:rPr>
          <w:rFonts w:ascii="Times New Roman" w:cs="Times New Roman" w:eastAsia="Times New Roman" w:hAnsi="Times New Roman"/>
          <w:sz w:val="16"/>
          <w:szCs w:val="16"/>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9, unless otherwise indicated, the Company is unable to estimate the possible loss or range of losses that could potentially result from the application of such non-monetary remedies.</w:t>
      </w:r>
    </w:p>
    <w:p>
      <w:pPr>
        <w:spacing w:after="0" w:line="57"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As of March 31, 2015 and December 31, 2014, the Company had a litigation settlement accrual for its continuing operations of $3.0 million and $2.8 million, respectively. The litigation settlement accrual relates to litigation matters that were either settled or a firm offer for settlement was extended, thereby establishing an accrual amount that is both probable and reasonably estimable.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Matters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Intellectual Property Litigation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Zillow</w:t>
      </w:r>
    </w:p>
    <w:p>
      <w:pPr>
        <w:spacing w:after="0" w:line="156" w:lineRule="exact"/>
        <w:rPr>
          <w:sz w:val="20"/>
          <w:szCs w:val="20"/>
          <w:color w:val="auto"/>
        </w:rPr>
      </w:pPr>
    </w:p>
    <w:p>
      <w:pPr>
        <w:jc w:val="both"/>
        <w:ind w:firstLine="301"/>
        <w:spacing w:after="0" w:line="249" w:lineRule="auto"/>
        <w:rPr>
          <w:sz w:val="20"/>
          <w:szCs w:val="20"/>
          <w:color w:val="auto"/>
        </w:rPr>
      </w:pPr>
      <w:r>
        <w:rPr>
          <w:rFonts w:ascii="Times New Roman" w:cs="Times New Roman" w:eastAsia="Times New Roman" w:hAnsi="Times New Roman"/>
          <w:sz w:val="17"/>
          <w:szCs w:val="17"/>
          <w:i w:val="1"/>
          <w:iCs w:val="1"/>
          <w:color w:val="auto"/>
        </w:rPr>
        <w:t>LendingTree v. Zillow, Inc., et al. Civil Action No. 3:10-cv-439</w:t>
      </w:r>
      <w:r>
        <w:rPr>
          <w:rFonts w:ascii="Times New Roman" w:cs="Times New Roman" w:eastAsia="Times New Roman" w:hAnsi="Times New Roman"/>
          <w:sz w:val="17"/>
          <w:szCs w:val="17"/>
          <w:color w:val="auto"/>
        </w:rPr>
        <w:t>. On September 8, 2010, the Company filed an action for patent infringement in the US District Court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420"/>
          </w:cols>
          <w:pgMar w:left="240" w:top="123" w:right="23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 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review by such court of the laches defense in an unrelated patent infringement matter and ruled in favor of Zillow, Inc. on an immaterial amount of costs related to the trial process. In March 2015, the Company reached an oral settlement agreement with defendant NexTag, not yet reflected in a written, signed agreement, pursuant to which the Company would dismiss its appeal of the jury verdict and the award of attorney's fees concerning NexTag, and NexTag would dismiss its cross-appeal and claims relating to the jury verdict and the award of attorneys' fees. The Company's appeal with respect to the jury verdict concerning Zillow, Inc. remains stayed. A reserve of $2.4 million for this matter is included in the accompanying consolidated balance sheet as of March 31, 2015.</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Internet Patents Corp.</w:t>
      </w:r>
    </w:p>
    <w:p>
      <w:pPr>
        <w:spacing w:after="0" w:line="156" w:lineRule="exact"/>
        <w:rPr>
          <w:sz w:val="20"/>
          <w:szCs w:val="20"/>
          <w:color w:val="auto"/>
        </w:rPr>
      </w:pPr>
    </w:p>
    <w:p>
      <w:pPr>
        <w:jc w:val="both"/>
        <w:ind w:firstLine="301"/>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Internet Patents Corporation f/k/a InsWeb v. Tree.com, Inc., No. C-12-6505 (U.S. Dist. Ct., N.D. Cal.). </w:t>
      </w:r>
      <w:r>
        <w:rPr>
          <w:rFonts w:ascii="Times New Roman" w:cs="Times New Roman" w:eastAsia="Times New Roman" w:hAnsi="Times New Roman"/>
          <w:sz w:val="16"/>
          <w:szCs w:val="16"/>
          <w:color w:val="auto"/>
        </w:rPr>
        <w:t>In December 2012, the plaintiff filed a patent infringement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infringed upon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A hearing on the consolidated appeals was held in August 2014 and the order remains pending. The Company believes the plaintiff's allegations lack merit and intends to defend against this action vigorously.</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Money Suite</w:t>
      </w:r>
    </w:p>
    <w:p>
      <w:pPr>
        <w:spacing w:after="0" w:line="156" w:lineRule="exact"/>
        <w:rPr>
          <w:sz w:val="20"/>
          <w:szCs w:val="20"/>
          <w:color w:val="auto"/>
        </w:rPr>
      </w:pPr>
    </w:p>
    <w:p>
      <w:pPr>
        <w:jc w:val="both"/>
        <w:ind w:firstLine="301"/>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The Money Suite Company v. LendingTree, LLC, No. 1:13-ev-986 (U.S. Dist. Ct, D Del.). </w:t>
      </w:r>
      <w:r>
        <w:rPr>
          <w:rFonts w:ascii="Times New Roman" w:cs="Times New Roman" w:eastAsia="Times New Roman" w:hAnsi="Times New Roman"/>
          <w:sz w:val="16"/>
          <w:szCs w:val="16"/>
          <w:color w:val="auto"/>
        </w:rPr>
        <w:t>In June 2013, the plaintiff filed a patent infringement lawsuit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LendingTree, LLC seeking a judgment that it infringed a patent held by plaintiff. The plaintiff alleges that LendingTree, LLC infringes U.S. Patent No. 6,684,189 for "an apparatus and method using front-end network gateways 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In September 2014, LendingTree, LLC, together with defendants in related matters, requested that the stay be lifted and filed a motion to dismiss the case. In January 2015, the court granted defendants' motions for invalidity and dismissed the case. In February 2015, the plaintiff filed a notice of appeal to the U.S. Court of Appeals for the Federal Circuit. In March 2015, the Company and plaintiff executed a settlement agreement and the appeal was dismissed on March 26, 2015.</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AlphaCap Ventures</w:t>
      </w:r>
    </w:p>
    <w:p>
      <w:pPr>
        <w:spacing w:after="0" w:line="156" w:lineRule="exact"/>
        <w:rPr>
          <w:sz w:val="20"/>
          <w:szCs w:val="20"/>
          <w:color w:val="auto"/>
        </w:rPr>
      </w:pPr>
    </w:p>
    <w:p>
      <w:pPr>
        <w:jc w:val="both"/>
        <w:ind w:firstLine="301"/>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AlphaCap Ventures LLC v. LendingTree, LLC, No. 2:15CV00062 (U.S. Dist. Ct, E.D. Tex.). </w:t>
      </w:r>
      <w:r>
        <w:rPr>
          <w:rFonts w:ascii="Times New Roman" w:cs="Times New Roman" w:eastAsia="Times New Roman" w:hAnsi="Times New Roman"/>
          <w:sz w:val="17"/>
          <w:szCs w:val="17"/>
          <w:color w:val="auto"/>
        </w:rPr>
        <w:t>In January 2015, the plaintiff filed a patent infringement lawsuit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LendingTree, LLC seeking a judgment that Lendingtree, LLC infringed three patents held by the plaintiff. The plaintiff alleges that LendingTree, LLC infringes each of U.S. Patent No. 7,848,976, U.S. Patent No. 7,908,208 and U.S. Patent No. 8,433,630, each such patent entitled "Private Entity Profile Network" and relating generally to a computer-implemented method of collecting and managing information related to financing. The plaintiff seeks damages (including pre- and post-judgment interest thereon), injunctive relief and such other costs as the court may deem proper. In April 2015, the Company and plaintiff executed a settlement agreement and the case was dismissed on April 23, 2015.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20"/>
          </w:cols>
          <w:pgMar w:left="240" w:top="123" w:right="23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Litigation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Massachusetts Division of Banks</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78"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7"/>
          <w:szCs w:val="17"/>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March 31, 2015.</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Litigation Related to Discontinued Operations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Dijkstra</w:t>
      </w:r>
    </w:p>
    <w:p>
      <w:pPr>
        <w:spacing w:after="0" w:line="156" w:lineRule="exact"/>
        <w:rPr>
          <w:sz w:val="20"/>
          <w:szCs w:val="20"/>
          <w:color w:val="auto"/>
        </w:rPr>
      </w:pPr>
    </w:p>
    <w:p>
      <w:pPr>
        <w:jc w:val="both"/>
        <w:ind w:firstLine="301"/>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Lijkel Dijkstra v. Harry Carenbauer, Home Loan Center, Inc. et al., No. 5:11-cv-152-JPB (U.S. Dist. Ct., N.D.WV). </w:t>
      </w:r>
      <w:r>
        <w:rPr>
          <w:rFonts w:ascii="Times New Roman" w:cs="Times New Roman" w:eastAsia="Times New Roman" w:hAnsi="Times New Roman"/>
          <w:sz w:val="17"/>
          <w:szCs w:val="17"/>
          <w:color w:val="auto"/>
        </w:rPr>
        <w:t>In November 2008, the plaintiffs filed a putative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85"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In July 2014, the court awarded damages to plaintiffs in the amount of $2.8 million. A reserve of $2.8 million has been established for this matter in the accompanying consolidated balance sheet as of March 31, 2015, of which some or all may be covered by insurance.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HLC intends to renew its appeal following the issuance of a final order by the district court. The district court has stayed this matter pending plaintiffs' investigation and subsequent report to the district court as to whether any class members will seek trials on individual damages.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123" w:right="23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10—SEGMENT INFORMATION</w:t>
      </w:r>
    </w:p>
    <w:p>
      <w:pPr>
        <w:spacing w:after="0" w:line="11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During the first quarter of 2015, management made certain changes to its organizational structure that impacted its previous operating segments. As a result, management concluded it had one reportable segment at March 31, 2015, representing the Company's Lending activities. Previously reported segment results have been revised to conform to the Company's reportable segments at March 31, 2015.</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Mortgage and non-mortgage product revenue is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298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231"/>
        </w:trPr>
        <w:tc>
          <w:tcPr>
            <w:tcW w:w="77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2015</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2014</w:t>
            </w:r>
          </w:p>
        </w:tc>
        <w:tc>
          <w:tcPr>
            <w:tcW w:w="660" w:type="dxa"/>
            <w:vAlign w:val="bottom"/>
            <w:tcBorders>
              <w:bottom w:val="single" w:sz="8" w:color="auto"/>
            </w:tcBorders>
          </w:tcPr>
          <w:p>
            <w:pPr>
              <w:spacing w:after="0"/>
              <w:rPr>
                <w:sz w:val="20"/>
                <w:szCs w:val="20"/>
                <w:color w:val="auto"/>
              </w:rPr>
            </w:pPr>
          </w:p>
        </w:tc>
      </w:tr>
      <w:tr>
        <w:trPr>
          <w:trHeight w:val="22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products</w:t>
            </w:r>
          </w:p>
        </w:tc>
        <w:tc>
          <w:tcPr>
            <w:tcW w:w="1160" w:type="dxa"/>
            <w:vAlign w:val="bottom"/>
            <w:tcBorders>
              <w:bottom w:val="single" w:sz="8" w:color="CCEEFF"/>
            </w:tcBorders>
            <w:shd w:val="clear" w:color="auto" w:fill="CCEEFF"/>
          </w:tcPr>
          <w:p>
            <w:pPr>
              <w:jc w:val="right"/>
              <w:ind w:right="98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36,997</w:t>
            </w:r>
          </w:p>
        </w:tc>
        <w:tc>
          <w:tcPr>
            <w:tcW w:w="120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34,243</w:t>
            </w: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Non-mortgage products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13,938</w:t>
            </w:r>
          </w:p>
        </w:tc>
        <w:tc>
          <w:tcPr>
            <w:tcW w:w="120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5,793</w:t>
            </w:r>
          </w:p>
        </w:tc>
      </w:tr>
      <w:tr>
        <w:trPr>
          <w:trHeight w:val="25"/>
        </w:trPr>
        <w:tc>
          <w:tcPr>
            <w:tcW w:w="7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60" w:type="dxa"/>
            <w:vAlign w:val="bottom"/>
            <w:tcBorders>
              <w:bottom w:val="single" w:sz="8" w:color="CCEEFF"/>
            </w:tcBorders>
            <w:shd w:val="clear" w:color="auto" w:fill="CCEEFF"/>
          </w:tcPr>
          <w:p>
            <w:pPr>
              <w:jc w:val="right"/>
              <w:ind w:right="98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50,935</w:t>
            </w:r>
          </w:p>
        </w:tc>
        <w:tc>
          <w:tcPr>
            <w:tcW w:w="120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40,036</w:t>
            </w:r>
          </w:p>
        </w:tc>
      </w:tr>
      <w:tr>
        <w:trPr>
          <w:trHeight w:val="25"/>
        </w:trPr>
        <w:tc>
          <w:tcPr>
            <w:tcW w:w="77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11—RESTRUCTURING</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 xml:space="preserve">Accrued restructuring costs primarily relate to lease obligations for call center leases exited in 2010, which are expected to be completed in 2015, and severance for headcount reductions in corporate infrastructure departments. Restructuring expense and payments against liabilities are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Continuing Lease Obligations</w:t>
            </w:r>
          </w:p>
        </w:tc>
      </w:tr>
      <w:tr>
        <w:trPr>
          <w:trHeight w:val="229"/>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178</w:t>
            </w:r>
          </w:p>
        </w:tc>
      </w:tr>
      <w:tr>
        <w:trPr>
          <w:trHeight w:val="226"/>
        </w:trPr>
        <w:tc>
          <w:tcPr>
            <w:tcW w:w="9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Restructuring expense</w:t>
            </w:r>
          </w:p>
        </w:tc>
        <w:tc>
          <w:tcPr>
            <w:tcW w:w="140" w:type="dxa"/>
            <w:vAlign w:val="bottom"/>
          </w:tcPr>
          <w:p>
            <w:pPr>
              <w:spacing w:after="0"/>
              <w:rPr>
                <w:sz w:val="19"/>
                <w:szCs w:val="19"/>
                <w:color w:val="auto"/>
              </w:rPr>
            </w:pP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6"/>
        </w:trPr>
        <w:tc>
          <w:tcPr>
            <w:tcW w:w="9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8"/>
        </w:trPr>
        <w:tc>
          <w:tcPr>
            <w:tcW w:w="9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2015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103</w:t>
            </w:r>
          </w:p>
        </w:tc>
      </w:tr>
      <w:tr>
        <w:trPr>
          <w:trHeight w:val="30"/>
        </w:trPr>
        <w:tc>
          <w:tcPr>
            <w:tcW w:w="9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does not expect to incur significant additional costs related to the restructuring noted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12—DISCONTINUED OPERATIONS</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 xml:space="preserve">The revenue and net loss reported as discontinued operations in the accompanying consolidated statements of operations and comprehensive income are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40" w:type="dxa"/>
            <w:vAlign w:val="bottom"/>
            <w:tcBorders>
              <w:bottom w:val="single" w:sz="8" w:color="auto"/>
            </w:tcBorders>
          </w:tcPr>
          <w:p>
            <w:pPr>
              <w:spacing w:after="0"/>
              <w:rPr>
                <w:sz w:val="14"/>
                <w:szCs w:val="14"/>
                <w:color w:val="auto"/>
              </w:rPr>
            </w:pPr>
          </w:p>
        </w:tc>
      </w:tr>
      <w:tr>
        <w:trPr>
          <w:trHeight w:val="238"/>
        </w:trPr>
        <w:tc>
          <w:tcPr>
            <w:tcW w:w="83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2015</w:t>
            </w:r>
          </w:p>
        </w:tc>
        <w:tc>
          <w:tcPr>
            <w:tcW w:w="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5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294"/>
        </w:trPr>
        <w:tc>
          <w:tcPr>
            <w:tcW w:w="8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960" w:type="dxa"/>
            <w:vAlign w:val="bottom"/>
          </w:tcPr>
          <w:p>
            <w:pPr>
              <w:spacing w:after="0"/>
              <w:rPr>
                <w:sz w:val="19"/>
                <w:szCs w:val="19"/>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12</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8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(226)</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(574)</w:t>
            </w:r>
          </w:p>
        </w:tc>
      </w:tr>
      <w:tr>
        <w:trPr>
          <w:trHeight w:val="25"/>
        </w:trPr>
        <w:tc>
          <w:tcPr>
            <w:tcW w:w="8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LendingTree Loans</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On June 6, 2012, the Company sold substantially all of the operating assets of its LendingTree Loans business for $55.9 million in cash. The buyer, a wholly-owned subsidiary of Discover Financial Services ("Discover"), generally did not assume liabilities of the LendingTree Loans business that arose before the closing date, except for certain liabilities directly related to assets Discover acquired. Of the purchase price paid, as of March 31, 2015, $16.1 million is being held in escrow in accordance with the agreement with Discover for certain loan loss obligations that remain with the Company following the sale. As a result of a settlement agreement in 2014 with a secondary market purchaser of loans, $12.1 million of such amount is expected to be released from escrow in December 2015. The escrowed amount is recorded as restricted cash at March 31,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20"/>
          </w:cols>
          <w:pgMar w:left="240" w:top="123" w:right="2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Discover has participated as a marketplace lender since closing of the transaction.</w:t>
      </w:r>
    </w:p>
    <w:p>
      <w:pPr>
        <w:spacing w:after="0" w:line="156"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Significant Assets and Liabilities of LendingTree Loans</w:t>
      </w:r>
    </w:p>
    <w:p>
      <w:pPr>
        <w:spacing w:after="0" w:line="16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Loan Loss Obligations</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78"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March 31, 2015, approximately $16.1 million is being held in escrow pending resolution of certain of these contingent liabilities. As a result of a settlement agreement in 2014 with a secondary market purchaser of loans, $12.1 million of such amount is expected to be released from escrow in December 2015.</w:t>
      </w:r>
    </w:p>
    <w:p>
      <w:pPr>
        <w:spacing w:after="0" w:line="72"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Prior to the sale of substantially all of the operating assets of LendingTree Loans in June 2012, it originated approximately 234,000 loans with an original issue balance of $38.9 billion.</w:t>
      </w:r>
    </w:p>
    <w:p>
      <w:pPr>
        <w:spacing w:after="0" w:line="59" w:lineRule="exact"/>
        <w:rPr>
          <w:sz w:val="20"/>
          <w:szCs w:val="20"/>
          <w:color w:val="auto"/>
        </w:rPr>
      </w:pPr>
    </w:p>
    <w:p>
      <w:pPr>
        <w:jc w:val="both"/>
        <w:ind w:firstLine="301"/>
        <w:spacing w:after="0" w:line="270" w:lineRule="auto"/>
        <w:rPr>
          <w:sz w:val="20"/>
          <w:szCs w:val="20"/>
          <w:color w:val="auto"/>
        </w:rPr>
      </w:pPr>
      <w:r>
        <w:rPr>
          <w:rFonts w:ascii="Times New Roman" w:cs="Times New Roman" w:eastAsia="Times New Roman" w:hAnsi="Times New Roman"/>
          <w:sz w:val="16"/>
          <w:szCs w:val="16"/>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 The settlement was paid in the fourth quarter of 2014 with restricted cash of $3.1 million and cash on hand of $2.3 million. The settlement with this investor in the fourth quarter of 2014 and the impact this settlement had on the estimate of the remaining loan loss obligations resulted in income of $14.1 million, which was included in income from discontinued operations in the consolidated statements of operations and comprehensive income during the fourth quarter of 2014. The adjustment to the loan loss reserve did not result in tax expense recognition, due to the Company's full valuation allowance against its deferred tax assets.</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the second quarter of 2014, LendingTree Loans completed settlements with two buyers of previously purchased loans.</w:t>
      </w:r>
    </w:p>
    <w:p>
      <w:pPr>
        <w:spacing w:after="0" w:line="106"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420"/>
          </w:cols>
          <w:pgMar w:left="240" w:top="123" w:right="23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73"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The estimated range of remaining loan losses using this settlement discount framework was determined to be $6.5 million to $11.6 million at March 31, 2015. The reserve balance recorded as of March 31, 2015 was $8.8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72"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Additionally, LendingTree has guaranteed certain loans sold to two investors in the event that LendingTree Loans is unable to satisfy its repurchase and warranty obligations related to such loans.</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Based on historical experience, it is anticipated that LendingTree Loans will continue to receive repurchase requests and incur losses on loans sold in prior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activity related to loss reserves on previously sold loans is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243"/>
        </w:trPr>
        <w:tc>
          <w:tcPr>
            <w:tcW w:w="83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580" w:type="dxa"/>
            <w:vAlign w:val="bottom"/>
            <w:tcBorders>
              <w:bottom w:val="single" w:sz="8" w:color="auto"/>
            </w:tcBorders>
          </w:tcPr>
          <w:p>
            <w:pPr>
              <w:spacing w:after="0"/>
              <w:rPr>
                <w:sz w:val="21"/>
                <w:szCs w:val="21"/>
                <w:color w:val="auto"/>
              </w:rPr>
            </w:pP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Loan loss reserve, beginning of period</w:t>
            </w:r>
          </w:p>
        </w:tc>
        <w:tc>
          <w:tcPr>
            <w:tcW w:w="920" w:type="dxa"/>
            <w:vAlign w:val="bottom"/>
            <w:tcBorders>
              <w:bottom w:val="single" w:sz="8" w:color="CCEEFF"/>
            </w:tcBorders>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8,750</w:t>
            </w:r>
          </w:p>
        </w:tc>
        <w:tc>
          <w:tcPr>
            <w:tcW w:w="100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8"/>
              </w:rPr>
              <w:t>28,543</w:t>
            </w: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Provisions</w:t>
            </w:r>
          </w:p>
        </w:tc>
        <w:tc>
          <w:tcPr>
            <w:tcW w:w="92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Charge-offs to reserves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8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Loan loss reserve, end of period</w:t>
            </w:r>
          </w:p>
        </w:tc>
        <w:tc>
          <w:tcPr>
            <w:tcW w:w="920" w:type="dxa"/>
            <w:vAlign w:val="bottom"/>
            <w:tcBorders>
              <w:top w:val="single" w:sz="8" w:color="auto"/>
            </w:tcBorders>
          </w:tcPr>
          <w:p>
            <w:pPr>
              <w:jc w:val="right"/>
              <w:ind w:right="74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8,750</w:t>
            </w:r>
          </w:p>
        </w:tc>
        <w:tc>
          <w:tcPr>
            <w:tcW w:w="100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8"/>
              </w:rPr>
              <w:t>28,543</w:t>
            </w:r>
          </w:p>
        </w:tc>
      </w:tr>
      <w:tr>
        <w:trPr>
          <w:trHeight w:val="30"/>
        </w:trPr>
        <w:tc>
          <w:tcPr>
            <w:tcW w:w="8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The liability for losses on previously sold loans is presented as current liabilities of discontinued operations in the accompanying consolidated balance sheet as of March 31, 2015 and December 31, 2014.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420"/>
          </w:cols>
          <w:pgMar w:left="240" w:top="123" w:right="2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Information</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78" w:lineRule="exact"/>
        <w:rPr>
          <w:sz w:val="20"/>
          <w:szCs w:val="20"/>
          <w:color w:val="auto"/>
        </w:rPr>
      </w:pPr>
    </w:p>
    <w:p>
      <w:pPr>
        <w:jc w:val="both"/>
        <w:ind w:firstLine="301"/>
        <w:spacing w:after="0" w:line="304" w:lineRule="auto"/>
        <w:rPr>
          <w:sz w:val="20"/>
          <w:szCs w:val="20"/>
          <w:color w:val="auto"/>
        </w:rPr>
      </w:pPr>
      <w:r>
        <w:rPr>
          <w:rFonts w:ascii="Times New Roman" w:cs="Times New Roman" w:eastAsia="Times New Roman" w:hAnsi="Times New Roman"/>
          <w:sz w:val="16"/>
          <w:szCs w:val="16"/>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of the 2014 Annual Report.</w:t>
      </w:r>
    </w:p>
    <w:p>
      <w:pPr>
        <w:spacing w:after="0" w:line="36"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LendingTree, Inc., formerly known as Tree.com, Inc., is the parent of LendingTree, LLC and several companies owned by LendingTree, LLC.</w:t>
      </w:r>
    </w:p>
    <w:p>
      <w:pPr>
        <w:spacing w:after="0" w:line="15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LendingTree operates what we believe to be the leading online marketplace for consumers seeking a broad array of loan types and other credit-based offerings. We offer consumers tools and resources, including free credit scores, that help them to comparison-shop for mortgage loans, home equity loans and lines of credit, reverse mortgages, personal loans, auto loans, student loans, credit cards, small business loans and other related offerings. We seek to match in-market consumers with multiple lenders on our marketplace who can provide them with competing quotes for the loans or credit-based offerings they are seeking. We also serve as a valued partner to lenders seeking an efficient, scalable and flexible source of customer acquisition with directly measurable benefits, by matching the consumer loan inquiries we generate with these lenders.</w:t>
      </w:r>
    </w:p>
    <w:p>
      <w:pPr>
        <w:spacing w:after="0" w:line="128"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In June 2014, we re-launched My LendingTree, a platform that offers a personalized loan comparison-shopping experience, by providing free credit scores, credit score analysis and an in-depth view of a consumer's credit profile. We believe this new platform will enable us to provide consumers with measurable savings opportunities over their lifetimes, as we are able to observe their credit profiles and then identify loan and credit-based opportunities on our marketplace that may be more favorable than the loans they may have at a given point in time, which we can alert them to.</w:t>
      </w:r>
    </w:p>
    <w:p>
      <w:pPr>
        <w:spacing w:after="0" w:line="72"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Reportable and Operating Segments</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During the first quarter of 2015, management made certain changes to its organizational structure that impacted its previous operating segments. As a result, management concluded it had one reportable segment at March 31, 2015, representing our Lending activities. Previously reported segment results have been revised to conform to our reportable segments at March 31, 2015.</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Revenue is subject to the cyclical and seasonal trends of the U.S. housing and mortgage markets. Home sales typically rise during the spring and summer months and decline during the fall and winter months, while refinancing and home equity activity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420"/>
          </w:cols>
          <w:pgMar w:left="240" w:top="123" w:right="23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3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is principally driven by mortgage interest rates as well as real estate values. However, these trends in our businesses are not absolute and there have been exceptions to them. For example, in recent periods additional factors affecting the mortgage and real estate markets have impacted customary seasonal trends.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 in our personal loan and credit card businesses tends to be influenced by interest rates and availability of credit in the market.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Mortgage Interest Rate Trends</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92075</wp:posOffset>
            </wp:positionV>
            <wp:extent cx="4149725" cy="1887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4972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According to Freddie Mac, since the end of 2013, 30-year fixed mortgage interest rates have generally declined, reaching a monthly average of 3.67% in January 2015, its lowest since May 2013. On a quarterly basis, mortgage interest rates in the first quarter of 2015 averaged 3.72%, as compared to 3.97% in the fourth quarter of 2014 and 4.36% in the first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54610</wp:posOffset>
            </wp:positionV>
            <wp:extent cx="4022725" cy="1983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22725"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420"/>
          </w:cols>
          <w:pgMar w:left="240" w:top="123" w:right="23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331"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Typically, as mortgage interest rates drop, there are more consumers in the marketplace seeking refinancings and, accordingly, the mix of mortgage origination dollars moves towards refinance mortgages. According to Mortgage Bankers Association ("MBA") data, total refinance origination dollars increased to 52% of total mortgage origination dollars in the first quarter of 2015, as a result of declining average mortgage interest rates.</w:t>
      </w:r>
    </w:p>
    <w:p>
      <w:pPr>
        <w:spacing w:after="0" w:line="7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However, looking forward, MBA is projecting mortgage interest rates to climb during the remainder of 2015, to an average 3.8% on 30-year fixed rate mortgages in the second quarter of 2015 and an average 4.0% for the full-year 2015. According to MBA projections, as interest rates climb, the mix of mortgage origination dollars will move towards purchase mortgages, with the refinance share representing just 43% of the second quarter of 2015 and 41% of the full-year 2015.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U.S. Real Estate Market</w:t>
      </w:r>
    </w:p>
    <w:p>
      <w:pPr>
        <w:spacing w:after="0" w:line="160"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Over the last few years, the U.S. real estate market has been recovering, albeit slowly.</w:t>
      </w:r>
    </w:p>
    <w:p>
      <w:pPr>
        <w:spacing w:after="0" w:line="73"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Despite continued indications of economic recovery, in 2014, existing home sales nationwide declined approximately 3% over 2013, according to the National Association of Realtors ("NAR"), likely due to lessening housing affordability and higher mortgage interest rates. Sales of existing homes in the second half of 2014 were up 6% from the first half of the year, as economic growth accelerated, housing inventory increased and sales prices moderated. This momentum continued into the first quarter of 2015, with existing home sales nationwide up 5% over the first quarter of 2014, although down 3% from the fourth quarter of 2014.</w:t>
      </w:r>
    </w:p>
    <w:p>
      <w:pPr>
        <w:spacing w:after="0" w:line="72"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For the remainder of 2015, the NAR expects economic recovery to continue, with full-year 2015 existing home sales nationwide to increase over 6%, while supporting sales price growth of approximately 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20"/>
          </w:cols>
          <w:pgMar w:left="240" w:top="123" w:right="23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Months ended March 31, 2015 and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3"/>
          </w:tcPr>
          <w:p>
            <w:pPr>
              <w:jc w:val="right"/>
              <w:ind w:right="678"/>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right"/>
              <w:ind w:right="619"/>
              <w:spacing w:after="0"/>
              <w:rPr>
                <w:sz w:val="20"/>
                <w:szCs w:val="20"/>
                <w:color w:val="auto"/>
              </w:rPr>
            </w:pPr>
            <w:r>
              <w:rPr>
                <w:rFonts w:ascii="Times New Roman" w:cs="Times New Roman" w:eastAsia="Times New Roman" w:hAnsi="Times New Roman"/>
                <w:sz w:val="13"/>
                <w:szCs w:val="13"/>
                <w:b w:val="1"/>
                <w:bCs w:val="1"/>
                <w:color w:val="auto"/>
              </w:rPr>
              <w:t>2014</w:t>
            </w:r>
          </w:p>
        </w:tc>
        <w:tc>
          <w:tcPr>
            <w:tcW w:w="300" w:type="dxa"/>
            <w:vAlign w:val="bottom"/>
          </w:tcPr>
          <w:p>
            <w:pPr>
              <w:spacing w:after="0"/>
              <w:rPr>
                <w:sz w:val="11"/>
                <w:szCs w:val="11"/>
                <w:color w:val="auto"/>
              </w:rPr>
            </w:pPr>
          </w:p>
        </w:tc>
        <w:tc>
          <w:tcPr>
            <w:tcW w:w="1140" w:type="dxa"/>
            <w:vAlign w:val="bottom"/>
          </w:tcPr>
          <w:p>
            <w:pPr>
              <w:jc w:val="right"/>
              <w:ind w:right="678"/>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ind w:right="478"/>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16"/>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Mortgage products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36,997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34,243</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2,754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Non-mortgage products</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13,938</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5,793</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8,145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0" w:type="dxa"/>
            <w:vAlign w:val="bottom"/>
          </w:tcPr>
          <w:p>
            <w:pPr>
              <w:spacing w:after="0"/>
              <w:rPr>
                <w:sz w:val="1"/>
                <w:szCs w:val="1"/>
                <w:color w:val="auto"/>
              </w:rPr>
            </w:pPr>
          </w:p>
        </w:tc>
      </w:tr>
      <w:tr>
        <w:trPr>
          <w:trHeight w:val="25"/>
        </w:trPr>
        <w:tc>
          <w:tcPr>
            <w:tcW w:w="5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50,935</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40,036</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10,899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27 %</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17"/>
                <w:szCs w:val="17"/>
                <w:i w:val="1"/>
                <w:iCs w:val="1"/>
                <w:color w:val="auto"/>
              </w:rPr>
              <w:t>(exclusive of depreciation shown separately below)</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1,975</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1,665</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310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and marketing expense</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32,837</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27,449</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5,388</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7,228</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6,133</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1,095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Product development</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2,173</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1,932</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241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654</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755</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(101)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62</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34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Restructuring and severance</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202</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(196)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Litigation settlements and contingencies</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282</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7,707</w:t>
            </w:r>
          </w:p>
        </w:tc>
        <w:tc>
          <w:tcPr>
            <w:tcW w:w="300" w:type="dxa"/>
            <w:vAlign w:val="bottom"/>
          </w:tcPr>
          <w:p>
            <w:pPr>
              <w:spacing w:after="0"/>
              <w:rPr>
                <w:sz w:val="19"/>
                <w:szCs w:val="19"/>
                <w:color w:val="auto"/>
              </w:rPr>
            </w:pP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rPr>
              <w:t>(7,425)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5"/>
        </w:trPr>
        <w:tc>
          <w:tcPr>
            <w:tcW w:w="5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costs and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45,217</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45,871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(654)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18"/>
        </w:trPr>
        <w:tc>
          <w:tcPr>
            <w:tcW w:w="5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5,718</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(5,835)</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11,553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198 %</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5"/>
        </w:trPr>
        <w:tc>
          <w:tcPr>
            <w:tcW w:w="5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5,720</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(5,835)</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11,555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198 %</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6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(307)</w:t>
            </w:r>
          </w:p>
        </w:tc>
        <w:tc>
          <w:tcPr>
            <w:tcW w:w="2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19"/>
                <w:szCs w:val="19"/>
                <w:color w:val="auto"/>
              </w:rPr>
            </w:pP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rPr>
              <w:t>(308)</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(30,800)%</w:t>
            </w:r>
          </w:p>
        </w:tc>
        <w:tc>
          <w:tcPr>
            <w:tcW w:w="0" w:type="dxa"/>
            <w:vAlign w:val="bottom"/>
          </w:tcPr>
          <w:p>
            <w:pPr>
              <w:spacing w:after="0"/>
              <w:rPr>
                <w:sz w:val="1"/>
                <w:szCs w:val="1"/>
                <w:color w:val="auto"/>
              </w:rPr>
            </w:pPr>
          </w:p>
        </w:tc>
      </w:tr>
      <w:tr>
        <w:trPr>
          <w:trHeight w:val="25"/>
        </w:trPr>
        <w:tc>
          <w:tcPr>
            <w:tcW w:w="5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5,413</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(5,834)</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11,247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193 %</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discontinued operations, net of tax</w:t>
            </w:r>
          </w:p>
        </w:tc>
        <w:tc>
          <w:tcPr>
            <w:tcW w:w="96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(226)</w:t>
            </w: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(574)</w:t>
            </w:r>
          </w:p>
        </w:tc>
        <w:tc>
          <w:tcPr>
            <w:tcW w:w="300" w:type="dxa"/>
            <w:vAlign w:val="bottom"/>
          </w:tcPr>
          <w:p>
            <w:pPr>
              <w:spacing w:after="0"/>
              <w:rPr>
                <w:sz w:val="19"/>
                <w:szCs w:val="19"/>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348</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5"/>
        </w:trPr>
        <w:tc>
          <w:tcPr>
            <w:tcW w:w="5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and comprehensive income (loss)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5,187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(6,408)</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11,595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181 %</w:t>
            </w:r>
          </w:p>
        </w:tc>
        <w:tc>
          <w:tcPr>
            <w:tcW w:w="0" w:type="dxa"/>
            <w:vAlign w:val="bottom"/>
          </w:tcPr>
          <w:p>
            <w:pPr>
              <w:spacing w:after="0"/>
              <w:rPr>
                <w:sz w:val="1"/>
                <w:szCs w:val="1"/>
                <w:color w:val="auto"/>
              </w:rPr>
            </w:pPr>
          </w:p>
        </w:tc>
      </w:tr>
      <w:tr>
        <w:trPr>
          <w:trHeight w:val="25"/>
        </w:trPr>
        <w:tc>
          <w:tcPr>
            <w:tcW w:w="55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1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Revenue increased in the first quarter of 2015, compared to the first quarter of 2014, due to increases in our non-mortgage products of $8.1 million and in our mortgage products of $2.8 million.</w:t>
      </w:r>
    </w:p>
    <w:p>
      <w:pPr>
        <w:spacing w:after="0" w:line="59"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Our non-mortgage products include the following non-mortgage lending products: personal loans, home equity, reverse mortgage, credit cards, auto loans, student loans and small business loans. Our non-mortgage products also include home improvement referrals and education enrollment referrals. The increase in revenue from our non-mortgage products is primarily due to an increase in revenue from our personal loans product. Our growth in personal loans is due to growing awareness in the market of the product, an increase in lenders on our exchange, increases in revenue earned per matched consumer and increased marketing efforts. In addition, revenue from each of our non-mortgage lending products increased in the first quarter of 2015 compared to the first quarter of 2014.</w:t>
      </w:r>
    </w:p>
    <w:p>
      <w:pPr>
        <w:spacing w:after="0" w:line="73"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The increase in revenue from our mortgage products is primarily due to an increase in revenue from our refinance product, partially offset by a decrease in revenue from our purchase product. On a quarterly basis, mortgage interest rates in the first quarter of 2015 averaged 3.72%, as compared to 4.36% in the first quarter of 2014, causing the increase in sales of the refinance product.</w:t>
      </w:r>
    </w:p>
    <w:p>
      <w:pPr>
        <w:spacing w:after="0" w:line="7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The number of consumers matched on our lending marketplace increased by 90% in the first quarter of 2015 compared to the first quarter of 2014, while our average revenue earned from marketplace lenders per matched consumer decreased by 32% in the first quarter of 2015 compared to the first quarter of 2014. The decrease in revenue earned per matched consumer was primarily due to the increased relative contribution of our non-mortgage lending products, which have lower revenue per matched consumer rates than our mortgage products, as well as a reduction in revenue per matched consumer in our mortgage products.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420"/>
          </w:cols>
          <w:pgMar w:left="240" w:top="123" w:right="2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Cost of revenue</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and website network hosting and server fees.</w:t>
      </w:r>
    </w:p>
    <w:p>
      <w:pPr>
        <w:spacing w:after="0" w:line="109"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Cost of revenue increased in the first quarter of 2015 from the first quarter of 2014, primarily due to increases of $0.1 million in compensation and benefits, $0.1 million in third-party call center fees and $0.1 million in credit card fees.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Cost of revenue as a percentage of revenue remained consistent at 4% in the first quarter of 2015 and the first quarter of 2014.</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Selling and marketing expense</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The increase in selling and marketing expense in the first quarter of 2015 compared to the first quarter of 2014 was primarily due to increases in advertising and promotional expense of $4.9 million, as discussed below, and an increase in compensation expense and benefits of $0.5 million.</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Advertising and promotional expense is the largest component of selling and marketing expense, and is comprised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Pr>
          <w:p>
            <w:pPr>
              <w:spacing w:after="0"/>
              <w:rPr>
                <w:sz w:val="11"/>
                <w:szCs w:val="11"/>
                <w:color w:val="auto"/>
              </w:rPr>
            </w:pPr>
          </w:p>
        </w:tc>
        <w:tc>
          <w:tcPr>
            <w:tcW w:w="860" w:type="dxa"/>
            <w:vAlign w:val="bottom"/>
            <w:vMerge w:val="restart"/>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2014</w:t>
            </w:r>
          </w:p>
        </w:tc>
        <w:tc>
          <w:tcPr>
            <w:tcW w:w="300" w:type="dxa"/>
            <w:vAlign w:val="bottom"/>
          </w:tcPr>
          <w:p>
            <w:pPr>
              <w:spacing w:after="0"/>
              <w:rPr>
                <w:sz w:val="11"/>
                <w:szCs w:val="11"/>
                <w:color w:val="auto"/>
              </w:rPr>
            </w:pPr>
          </w:p>
        </w:tc>
        <w:tc>
          <w:tcPr>
            <w:tcW w:w="1020" w:type="dxa"/>
            <w:vAlign w:val="bottom"/>
          </w:tcPr>
          <w:p>
            <w:pPr>
              <w:jc w:val="right"/>
              <w:ind w:right="602"/>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422"/>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2"/>
        </w:trPr>
        <w:tc>
          <w:tcPr>
            <w:tcW w:w="6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3"/>
          </w:tcPr>
          <w:p>
            <w:pPr>
              <w:jc w:val="right"/>
              <w:ind w:right="502"/>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Online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24,374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rPr>
              <w:t>20,880</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rPr>
              <w:t>3,494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6"/>
        </w:trPr>
        <w:tc>
          <w:tcPr>
            <w:tcW w:w="6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Broadcast</w:t>
            </w:r>
          </w:p>
        </w:tc>
        <w:tc>
          <w:tcPr>
            <w:tcW w:w="2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4,180</w:t>
            </w:r>
          </w:p>
        </w:tc>
        <w:tc>
          <w:tcPr>
            <w:tcW w:w="28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7"/>
                <w:szCs w:val="17"/>
                <w:color w:val="auto"/>
              </w:rPr>
              <w:t>2,628</w:t>
            </w:r>
          </w:p>
        </w:tc>
        <w:tc>
          <w:tcPr>
            <w:tcW w:w="300" w:type="dxa"/>
            <w:vAlign w:val="bottom"/>
          </w:tcPr>
          <w:p>
            <w:pPr>
              <w:spacing w:after="0"/>
              <w:rPr>
                <w:sz w:val="19"/>
                <w:szCs w:val="19"/>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7"/>
                <w:szCs w:val="17"/>
                <w:color w:val="auto"/>
              </w:rPr>
              <w:t>1,552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5"/>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rPr>
              <w:t>1,285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(112)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8"/>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advertising expense</w:t>
            </w: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29,727</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24,793</w:t>
            </w:r>
          </w:p>
        </w:tc>
        <w:tc>
          <w:tcPr>
            <w:tcW w:w="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7"/>
                <w:szCs w:val="17"/>
                <w:b w:val="1"/>
                <w:bCs w:val="1"/>
                <w:color w:val="auto"/>
              </w:rPr>
              <w:t>4,934</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20 %</w:t>
            </w:r>
          </w:p>
        </w:tc>
        <w:tc>
          <w:tcPr>
            <w:tcW w:w="0" w:type="dxa"/>
            <w:vAlign w:val="bottom"/>
          </w:tcPr>
          <w:p>
            <w:pPr>
              <w:spacing w:after="0"/>
              <w:rPr>
                <w:sz w:val="1"/>
                <w:szCs w:val="1"/>
                <w:color w:val="auto"/>
              </w:rPr>
            </w:pPr>
          </w:p>
        </w:tc>
      </w:tr>
      <w:tr>
        <w:trPr>
          <w:trHeight w:val="30"/>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We increased our online advertising expenditures and our broadcast expenditures in the first quarter of 2015 compared to the first quarter of 2014, in order to generate additional lending lead volume to meet the increased demand of lenders on our marketplace.</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will continue to adjust selling and marketing expenditures dynamically in relation to anticipated revenue opportunities.</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0" w:lineRule="exact"/>
        <w:rPr>
          <w:sz w:val="20"/>
          <w:szCs w:val="20"/>
          <w:color w:val="auto"/>
        </w:rPr>
      </w:pPr>
    </w:p>
    <w:p>
      <w:pPr>
        <w:jc w:val="both"/>
        <w:ind w:firstLine="351"/>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 increased in the first quarter of 2015 from the first quarter of 2014, primarily due to increases in compensation and benefits of $1.1 million and increases in professional fees of $0.3 million, partially offset by a decrease of $0.1 million from a reduction in contingent consideration from a previous acquisition.</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General and administrative expense as a percentage of revenue of 14% in the first quarter of 2015 remained relatively consistent with the first quarter of 2014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20"/>
          </w:cols>
          <w:pgMar w:left="240" w:top="123" w:right="23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382" w:lineRule="exact"/>
        <w:rPr>
          <w:sz w:val="20"/>
          <w:szCs w:val="20"/>
          <w:color w:val="auto"/>
        </w:rPr>
      </w:pPr>
    </w:p>
    <w:p>
      <w:pPr>
        <w:jc w:val="both"/>
        <w:ind w:firstLine="301"/>
        <w:spacing w:after="0" w:line="304" w:lineRule="auto"/>
        <w:rPr>
          <w:sz w:val="20"/>
          <w:szCs w:val="20"/>
          <w:color w:val="auto"/>
        </w:rPr>
      </w:pPr>
      <w:r>
        <w:rPr>
          <w:rFonts w:ascii="Times New Roman" w:cs="Times New Roman" w:eastAsia="Times New Roman" w:hAnsi="Times New Roman"/>
          <w:sz w:val="16"/>
          <w:szCs w:val="16"/>
          <w:color w:val="auto"/>
        </w:rPr>
        <w:t>Product development expense increased in the first quarter of 2015 as compared to the first quarter of 2014, primarily due to increases in compensation and other employee-related costs. We increased headcount in the first quarter of 2015 compared to the first quarter of 2014, in order to support planned product launches for 2015.</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Depreciation</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Depreciation expense has remained relatively consistent during the first quarter of 2014 compared to the first quarter of 2014.</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Litigation settlements and contingencies</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Litigation settlements and contingencies consists of expenses related to actual or anticipated litigation settlements, in addition to legal fees incurred in connection with various patent litigation claims we are pursuing.</w:t>
      </w:r>
    </w:p>
    <w:p>
      <w:pPr>
        <w:spacing w:after="0" w:line="109"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During the first quarter of 2014, we participated in a jury trial for the Zillow litigation, described in Note 9—Contingencies to the consolidated financial statements included elsewhere in this report. The legal expenses associated with this jury trial and post-trial motions increased our litigation settlements and contingencies expense for the three months ended March 31, 2014.</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Tax expense for the first quarter of 2015 is primarily comprised of the federal Alternative Minimum Tax and state tax.</w:t>
      </w:r>
    </w:p>
    <w:p>
      <w:pPr>
        <w:spacing w:after="0" w:line="156"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For the first quarter of 2015 and the first quarter of 2014, the effective tax rates varied from the statutory rate primarily due to the existence of a valuation allowance that has been provided to offset our net deferred tax asset and state taxes.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have been no changes to our valuation allowance assessment for the first quarter of 2015.</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Losses from discontinued operations are attributable to losses associated with the LendingTree Loans business, the sale of which was completed on June 6, 2012. Losses from discontinued operations of $0.2 million and $0.6 million in the first quarter of 2015 and the first quarter of 2014, respectively, were primarily due to legal fees associated with ongoing legal proceedings.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160"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Definition of Adjusted EBITDA</w:t>
      </w:r>
    </w:p>
    <w:p>
      <w:pPr>
        <w:spacing w:after="0" w:line="160" w:lineRule="exact"/>
        <w:rPr>
          <w:sz w:val="20"/>
          <w:szCs w:val="20"/>
          <w:color w:val="auto"/>
        </w:rPr>
      </w:pPr>
    </w:p>
    <w:p>
      <w:pPr>
        <w:jc w:val="both"/>
        <w:ind w:firstLine="301"/>
        <w:spacing w:after="0" w:line="250" w:lineRule="auto"/>
        <w:rPr>
          <w:sz w:val="20"/>
          <w:szCs w:val="20"/>
          <w:color w:val="auto"/>
        </w:rPr>
      </w:pPr>
      <w:r>
        <w:rPr>
          <w:rFonts w:ascii="Times New Roman" w:cs="Times New Roman" w:eastAsia="Times New Roman" w:hAnsi="Times New Roman"/>
          <w:sz w:val="17"/>
          <w:szCs w:val="17"/>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 (4) 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One-Time Items</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420"/>
          </w:cols>
          <w:pgMar w:left="240" w:top="123" w:right="23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Non-Cash Expenses that are Excluded from Adjusted EBITDA</w:t>
      </w:r>
    </w:p>
    <w:p>
      <w:pPr>
        <w:spacing w:after="0" w:line="16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2"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is a reconciliation of Adjusted EBITDA to net income (loss) from continuing operations.</w:t>
      </w:r>
    </w:p>
    <w:p>
      <w:pPr>
        <w:spacing w:after="0" w:line="21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24130</wp:posOffset>
            </wp:positionV>
            <wp:extent cx="2103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94" w:lineRule="exact"/>
        <w:rPr>
          <w:sz w:val="20"/>
          <w:szCs w:val="20"/>
          <w:color w:val="auto"/>
        </w:rPr>
      </w:pPr>
    </w:p>
    <w:p>
      <w:pPr>
        <w:ind w:left="8780"/>
        <w:spacing w:after="0"/>
        <w:tabs>
          <w:tab w:leader="none" w:pos="10480" w:val="left"/>
        </w:tabs>
        <w:rPr>
          <w:sz w:val="20"/>
          <w:szCs w:val="20"/>
          <w:color w:val="auto"/>
        </w:rPr>
      </w:pPr>
      <w:r>
        <w:rPr>
          <w:rFonts w:ascii="Times New Roman" w:cs="Times New Roman" w:eastAsia="Times New Roman" w:hAnsi="Times New Roman"/>
          <w:sz w:val="13"/>
          <w:szCs w:val="13"/>
          <w:b w:val="1"/>
          <w:bCs w:val="1"/>
          <w:color w:val="auto"/>
        </w:rPr>
        <w:t>2015</w:t>
      </w:r>
      <w:r>
        <w:rPr>
          <w:sz w:val="20"/>
          <w:szCs w:val="20"/>
          <w:color w:val="auto"/>
        </w:rPr>
        <w:tab/>
      </w:r>
      <w:r>
        <w:rPr>
          <w:rFonts w:ascii="Times New Roman" w:cs="Times New Roman" w:eastAsia="Times New Roman" w:hAnsi="Times New Roman"/>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24130</wp:posOffset>
            </wp:positionV>
            <wp:extent cx="2103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1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8,936</w:t>
            </w:r>
          </w:p>
        </w:tc>
        <w:tc>
          <w:tcPr>
            <w:tcW w:w="6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4,481</w:t>
            </w:r>
          </w:p>
        </w:tc>
      </w:t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to net income (loss) from continuing operations:</w:t>
            </w: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(62)</w:t>
            </w:r>
          </w:p>
        </w:tc>
        <w:tc>
          <w:tcPr>
            <w:tcW w:w="6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6"/>
        </w:trPr>
        <w:tc>
          <w:tcPr>
            <w:tcW w:w="6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w:t>
            </w:r>
          </w:p>
        </w:tc>
        <w:tc>
          <w:tcPr>
            <w:tcW w:w="214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(654)</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5"/>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Restructuring and severance</w:t>
            </w:r>
          </w:p>
        </w:tc>
        <w:tc>
          <w:tcPr>
            <w:tcW w:w="2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6"/>
        </w:trPr>
        <w:tc>
          <w:tcPr>
            <w:tcW w:w="6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214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5"/>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compensation</w:t>
            </w:r>
          </w:p>
        </w:tc>
        <w:tc>
          <w:tcPr>
            <w:tcW w:w="2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(2,336)</w:t>
            </w:r>
          </w:p>
        </w:tc>
        <w:tc>
          <w:tcPr>
            <w:tcW w:w="6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r>
      <w:tr>
        <w:trPr>
          <w:trHeight w:val="226"/>
        </w:trPr>
        <w:tc>
          <w:tcPr>
            <w:tcW w:w="6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expense</w:t>
            </w:r>
          </w:p>
        </w:tc>
        <w:tc>
          <w:tcPr>
            <w:tcW w:w="2140" w:type="dxa"/>
            <w:vAlign w:val="bottom"/>
          </w:tcPr>
          <w:p>
            <w:pPr>
              <w:spacing w:after="0"/>
              <w:rPr>
                <w:sz w:val="19"/>
                <w:szCs w:val="19"/>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150</w:t>
            </w:r>
          </w:p>
        </w:tc>
        <w:tc>
          <w:tcPr>
            <w:tcW w:w="6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Litigation settlements and contingencies</w:t>
            </w:r>
          </w:p>
        </w:tc>
        <w:tc>
          <w:tcPr>
            <w:tcW w:w="2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(282)</w:t>
            </w:r>
          </w:p>
        </w:tc>
        <w:tc>
          <w:tcPr>
            <w:tcW w:w="6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(7,707)</w:t>
            </w:r>
          </w:p>
        </w:tc>
      </w:tr>
      <w:tr>
        <w:trPr>
          <w:trHeight w:val="226"/>
        </w:trPr>
        <w:tc>
          <w:tcPr>
            <w:tcW w:w="6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 (expense)</w:t>
            </w:r>
          </w:p>
        </w:tc>
        <w:tc>
          <w:tcPr>
            <w:tcW w:w="2140" w:type="dxa"/>
            <w:vAlign w:val="bottom"/>
          </w:tcPr>
          <w:p>
            <w:pPr>
              <w:spacing w:after="0"/>
              <w:rPr>
                <w:sz w:val="19"/>
                <w:szCs w:val="19"/>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w:t>
            </w:r>
          </w:p>
        </w:tc>
        <w:tc>
          <w:tcPr>
            <w:tcW w:w="6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(307)</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r>
      <w:tr>
        <w:trPr>
          <w:trHeight w:val="218"/>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21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5,413</w:t>
            </w:r>
          </w:p>
        </w:tc>
        <w:tc>
          <w:tcPr>
            <w:tcW w:w="6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(5,834)</w:t>
            </w:r>
          </w:p>
        </w:tc>
      </w:tr>
      <w:tr>
        <w:trPr>
          <w:trHeight w:val="30"/>
        </w:trPr>
        <w:tc>
          <w:tcPr>
            <w:tcW w:w="6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 Liquidity and Capital Resources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We expect our cash and cash equivalents and cash flows from operations to be sufficient to fund our operating and other needs for the next twelve months and beyond. Except for cash and cash equivalents and $12.1 million of restricted cash expected to be released from escrow in December 2015, we have no material sources of liquidity.</w:t>
      </w:r>
    </w:p>
    <w:p>
      <w:pPr>
        <w:spacing w:after="0" w:line="7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As of March 31, 2015, we had $88.5 million of cash and cash equivalents and $18.6 million of restricted cash and cash equivalents, compared to $86.2 million of cash and cash equivalents and $18.7 million of restricted cash and cash equivalents as of December 31, 2014.</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 from Continuing Operations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cash flows attributable to continuing operations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243"/>
        </w:trPr>
        <w:tc>
          <w:tcPr>
            <w:tcW w:w="4500" w:type="dxa"/>
            <w:vAlign w:val="bottom"/>
          </w:tcPr>
          <w:p>
            <w:pPr>
              <w:spacing w:after="0"/>
              <w:rPr>
                <w:sz w:val="21"/>
                <w:szCs w:val="21"/>
                <w:color w:val="auto"/>
              </w:rPr>
            </w:pPr>
          </w:p>
        </w:tc>
        <w:tc>
          <w:tcPr>
            <w:tcW w:w="4740" w:type="dxa"/>
            <w:vAlign w:val="bottom"/>
            <w:gridSpan w:val="2"/>
          </w:tcPr>
          <w:p>
            <w:pPr>
              <w:ind w:left="4440"/>
              <w:spacing w:after="0"/>
              <w:rPr>
                <w:sz w:val="20"/>
                <w:szCs w:val="20"/>
                <w:color w:val="auto"/>
              </w:rPr>
            </w:pPr>
            <w:r>
              <w:rPr>
                <w:rFonts w:ascii="Times New Roman" w:cs="Times New Roman" w:eastAsia="Times New Roman" w:hAnsi="Times New Roman"/>
                <w:sz w:val="13"/>
                <w:szCs w:val="13"/>
                <w:b w:val="1"/>
                <w:bCs w:val="1"/>
                <w:color w:val="auto"/>
              </w:rPr>
              <w:t>2015</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560" w:type="dxa"/>
            <w:vAlign w:val="bottom"/>
          </w:tcPr>
          <w:p>
            <w:pPr>
              <w:spacing w:after="0"/>
              <w:rPr>
                <w:sz w:val="21"/>
                <w:szCs w:val="21"/>
                <w:color w:val="auto"/>
              </w:rPr>
            </w:pPr>
          </w:p>
        </w:tc>
      </w:tr>
      <w:tr>
        <w:trPr>
          <w:trHeight w:val="181"/>
        </w:trPr>
        <w:tc>
          <w:tcPr>
            <w:tcW w:w="45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right"/>
              <w:ind w:right="485"/>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560" w:type="dxa"/>
            <w:vAlign w:val="bottom"/>
            <w:tcBorders>
              <w:top w:val="single" w:sz="8" w:color="auto"/>
            </w:tcBorders>
          </w:tcPr>
          <w:p>
            <w:pPr>
              <w:spacing w:after="0"/>
              <w:rPr>
                <w:sz w:val="15"/>
                <w:szCs w:val="15"/>
                <w:color w:val="auto"/>
              </w:rPr>
            </w:pPr>
          </w:p>
        </w:tc>
      </w:tr>
      <w:tr>
        <w:trPr>
          <w:trHeight w:val="23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740" w:type="dxa"/>
            <w:vAlign w:val="bottom"/>
            <w:tcBorders>
              <w:bottom w:val="single" w:sz="8" w:color="CCEEFF"/>
            </w:tcBorders>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5,340</w:t>
            </w:r>
          </w:p>
        </w:tc>
        <w:tc>
          <w:tcPr>
            <w:tcW w:w="980" w:type="dxa"/>
            <w:vAlign w:val="bottom"/>
            <w:tcBorders>
              <w:bottom w:val="single" w:sz="8" w:color="CCEEFF"/>
            </w:tcBorders>
            <w:shd w:val="clear" w:color="auto" w:fill="CCEEFF"/>
          </w:tcPr>
          <w:p>
            <w:pPr>
              <w:jc w:val="right"/>
              <w:ind w:right="72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244</w:t>
            </w: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(1,091)</w:t>
            </w:r>
          </w:p>
        </w:tc>
        <w:tc>
          <w:tcPr>
            <w:tcW w:w="98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885</w:t>
            </w:r>
          </w:p>
        </w:tc>
      </w:tr>
      <w:tr>
        <w:trPr>
          <w:trHeight w:val="25"/>
        </w:trPr>
        <w:tc>
          <w:tcPr>
            <w:tcW w:w="4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8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(1,785)</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(2,958)</w:t>
            </w:r>
          </w:p>
        </w:tc>
      </w:tr>
      <w:tr>
        <w:trPr>
          <w:trHeight w:val="419"/>
        </w:trPr>
        <w:tc>
          <w:tcPr>
            <w:tcW w:w="4500" w:type="dxa"/>
            <w:vAlign w:val="bottom"/>
            <w:tcBorders>
              <w:top w:val="single" w:sz="8" w:color="999999"/>
            </w:tcBorders>
          </w:tcPr>
          <w:p>
            <w:pPr>
              <w:spacing w:after="0"/>
              <w:rPr>
                <w:sz w:val="24"/>
                <w:szCs w:val="24"/>
                <w:color w:val="auto"/>
              </w:rPr>
            </w:pPr>
          </w:p>
        </w:tc>
        <w:tc>
          <w:tcPr>
            <w:tcW w:w="3820" w:type="dxa"/>
            <w:vAlign w:val="bottom"/>
            <w:tcBorders>
              <w:top w:val="single" w:sz="8" w:color="999999"/>
            </w:tcBorders>
          </w:tcPr>
          <w:p>
            <w:pPr>
              <w:jc w:val="right"/>
              <w:ind w:right="2442"/>
              <w:spacing w:after="0"/>
              <w:rPr>
                <w:sz w:val="20"/>
                <w:szCs w:val="20"/>
                <w:color w:val="auto"/>
              </w:rPr>
            </w:pPr>
            <w:r>
              <w:rPr>
                <w:rFonts w:ascii="Times New Roman" w:cs="Times New Roman" w:eastAsia="Times New Roman" w:hAnsi="Times New Roman"/>
                <w:sz w:val="17"/>
                <w:szCs w:val="17"/>
                <w:color w:val="auto"/>
              </w:rPr>
              <w:t>25</w:t>
            </w:r>
          </w:p>
        </w:tc>
        <w:tc>
          <w:tcPr>
            <w:tcW w:w="920" w:type="dxa"/>
            <w:vAlign w:val="bottom"/>
            <w:tcBorders>
              <w:top w:val="single" w:sz="8" w:color="999999"/>
            </w:tcBorders>
          </w:tcPr>
          <w:p>
            <w:pPr>
              <w:spacing w:after="0"/>
              <w:rPr>
                <w:sz w:val="24"/>
                <w:szCs w:val="24"/>
                <w:color w:val="auto"/>
              </w:rPr>
            </w:pPr>
          </w:p>
        </w:tc>
        <w:tc>
          <w:tcPr>
            <w:tcW w:w="620" w:type="dxa"/>
            <w:vAlign w:val="bottom"/>
            <w:tcBorders>
              <w:top w:val="single" w:sz="8" w:color="999999"/>
            </w:tcBorders>
          </w:tcPr>
          <w:p>
            <w:pPr>
              <w:spacing w:after="0"/>
              <w:rPr>
                <w:sz w:val="24"/>
                <w:szCs w:val="24"/>
                <w:color w:val="auto"/>
              </w:rPr>
            </w:pPr>
          </w:p>
        </w:tc>
        <w:tc>
          <w:tcPr>
            <w:tcW w:w="980" w:type="dxa"/>
            <w:vAlign w:val="bottom"/>
            <w:tcBorders>
              <w:top w:val="single" w:sz="8" w:color="999999"/>
            </w:tcBorders>
          </w:tcPr>
          <w:p>
            <w:pPr>
              <w:spacing w:after="0"/>
              <w:rPr>
                <w:sz w:val="24"/>
                <w:szCs w:val="24"/>
                <w:color w:val="auto"/>
              </w:rPr>
            </w:pPr>
          </w:p>
        </w:tc>
        <w:tc>
          <w:tcPr>
            <w:tcW w:w="560" w:type="dxa"/>
            <w:vAlign w:val="bottom"/>
            <w:tcBorders>
              <w:top w:val="single" w:sz="8" w:color="999999"/>
            </w:tcBorders>
          </w:tcPr>
          <w:p>
            <w:pPr>
              <w:spacing w:after="0"/>
              <w:rPr>
                <w:sz w:val="24"/>
                <w:szCs w:val="24"/>
                <w:color w:val="auto"/>
              </w:rPr>
            </w:pPr>
          </w:p>
        </w:tc>
      </w:tr>
    </w:tbl>
    <w:p>
      <w:pPr>
        <w:sectPr>
          <w:pgSz w:w="11900" w:h="16838" w:orient="portrait"/>
          <w:cols w:equalWidth="0" w:num="1">
            <w:col w:w="11420"/>
          </w:cols>
          <w:pgMar w:left="240" w:top="123" w:right="23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60"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Net cash provided by operating activities attributable to continuing operations in the first three months of 2015 was $5.3 million and consisted primarily of income from continuing operations of $5.4 million and net positive adjustments for non-cash items of $3.1 million, partially offset by cash used for working capital of $3.2 million. Adjustments for non-cash items primarily consisted of $2.3 million in non-cash compensation expense and $0.7 million of depreciation. Accounts receivable increased $6.2 million primarily due to increases in revenue. Accounts payable, accrued expenses and other current liabilities increased $2.9 million, primarily due to increased marketing expenses.</w:t>
      </w:r>
    </w:p>
    <w:p>
      <w:pPr>
        <w:spacing w:after="0" w:line="73"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Net cash provided by operating activities attributable to continuing operations in the first three months of 2014 was $0.2 million and consisted primarily of losses from continuing operations of $5.8 million, offset by positive adjustments for non-cash items of $2.6 million and cash provided by working capital of $3.5 million. Adjustments for non-cash items primarily consisted of $1.6 million in non-cash compensation expense and $0.8 million of depreciation. Accounts receivable increased $1.0 million due to increases in revenue. Accounts payable, accrued expenses and other current liabilities increased by $4.5 million, primarily due to legal fees associated with the jury trial for the Zillow patent litigation.</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Net cash used in investing activities attributable to continuing operations in the first three months of 2015 of $1.1 million consisted primarily of capital expenditures of $1.2 million, offset by a $0.1 million decrease in restricted cash.</w:t>
      </w:r>
    </w:p>
    <w:p>
      <w:pPr>
        <w:spacing w:after="0" w:line="59"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Net cash provided by investing activities attributable to continuing operations in the first three months of 2014 of $0.9 million consisted primarily of a decrease in restricted cash of $2.0 million, which was partially offset by capital expenditures of $1.1 million. During the first quarter of 2014, the Company reached and executed a settlement with the disputing party on the earnout related to an acquisition, upon which $2.0 million of cash previously held in escrow was released.</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Net cash used in financing activities attributable to continuing operations in the first three months of 2015 of $1.8 million consisted primarily of $1.6 million in employee withholding taxes paid by us upon employees' surrender of shares to satisfy obligations on equity awards and the repurchase of our stock of $0.2 million.</w:t>
      </w:r>
    </w:p>
    <w:p>
      <w:pPr>
        <w:spacing w:after="0" w:line="59"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Net cash used in financing activities attributable to continuing operations in the first three months of 2014 of $3.0 million consisted primarily of $2.9 million in employee withholding taxes paid by us upon employees' surrender of shares to satisfy obligations on equity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have no off-balance sheet arrangements other than our operating lease obligations and funding commitments pursuant to our surety bonds.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60" w:lineRule="exact"/>
        <w:rPr>
          <w:sz w:val="20"/>
          <w:szCs w:val="20"/>
          <w:color w:val="auto"/>
        </w:rPr>
      </w:pPr>
    </w:p>
    <w:p>
      <w:pPr>
        <w:jc w:val="both"/>
        <w:ind w:firstLine="301"/>
        <w:spacing w:after="0" w:line="250" w:lineRule="auto"/>
        <w:rPr>
          <w:sz w:val="20"/>
          <w:szCs w:val="20"/>
          <w:color w:val="auto"/>
        </w:rPr>
      </w:pPr>
      <w:r>
        <w:rPr>
          <w:rFonts w:ascii="Times New Roman" w:cs="Times New Roman" w:eastAsia="Times New Roman" w:hAnsi="Times New Roman"/>
          <w:sz w:val="17"/>
          <w:szCs w:val="17"/>
          <w:color w:val="auto"/>
        </w:rPr>
        <w:t>In May 2014, FASB issued ASU 2014-09 related to revenue recognition. This ASU was initiated as a joint project between the FASB and the IASB to clarify the principles for recognizing revenue and to develop a common revenue standard for GAAP and IFRS. This guidance will supersede the existing revenue recognition requirements in ASC Topic 605, Revenue Recognition and is effective for annual reporting periods beginning after December 15, 2016. However, in April 2015, the FASB proposed a one-year deferral of this standard, such that it will be effective for annual reporting periods beginning after December 15, 2017. FASB's proposal has not yet been adopted. Early adoption is not permitted; however, under the proposed one-year deferral, early adoption would be permitted as of the original effective date of December 15, 2016. The ASU can be applied (i) retrospectively to each prior period presented or (ii) retrospectively with the cumulative effect of initially adopting the ASU recognized at the date of initial application. We are evaluating the impact this ASU will have on our consolidated financial statements.</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no recently issued accounting pronouncements that were adopted during the quarter ended March 31, 2015.</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123" w:right="2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60" w:lineRule="exact"/>
        <w:rPr>
          <w:sz w:val="20"/>
          <w:szCs w:val="20"/>
          <w:color w:val="auto"/>
        </w:rPr>
      </w:pPr>
    </w:p>
    <w:p>
      <w:pPr>
        <w:jc w:val="both"/>
        <w:ind w:firstLine="301"/>
        <w:spacing w:after="0" w:line="259" w:lineRule="auto"/>
        <w:rPr>
          <w:sz w:val="20"/>
          <w:szCs w:val="20"/>
          <w:color w:val="auto"/>
        </w:rPr>
      </w:pPr>
      <w:r>
        <w:rPr>
          <w:rFonts w:ascii="Times New Roman" w:cs="Times New Roman" w:eastAsia="Times New Roman" w:hAnsi="Times New Roman"/>
          <w:sz w:val="17"/>
          <w:szCs w:val="17"/>
          <w:color w:val="auto"/>
        </w:rPr>
        <w:t>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results of operations or cash flows.</w:t>
      </w:r>
    </w:p>
    <w:p>
      <w:pPr>
        <w:spacing w:after="0" w:line="120" w:lineRule="exact"/>
        <w:rPr>
          <w:sz w:val="20"/>
          <w:szCs w:val="20"/>
          <w:color w:val="auto"/>
        </w:rPr>
      </w:pPr>
    </w:p>
    <w:p>
      <w:pPr>
        <w:jc w:val="both"/>
        <w:ind w:firstLine="301"/>
        <w:spacing w:after="0" w:line="276" w:lineRule="auto"/>
        <w:rPr>
          <w:sz w:val="20"/>
          <w:szCs w:val="20"/>
          <w:color w:val="auto"/>
        </w:rPr>
      </w:pPr>
      <w:r>
        <w:rPr>
          <w:rFonts w:ascii="Times New Roman" w:cs="Times New Roman" w:eastAsia="Times New Roman" w:hAnsi="Times New Roman"/>
          <w:sz w:val="16"/>
          <w:szCs w:val="16"/>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7"/>
          <w:szCs w:val="17"/>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2015,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60" w:lineRule="exact"/>
        <w:rPr>
          <w:sz w:val="20"/>
          <w:szCs w:val="20"/>
          <w:color w:val="auto"/>
        </w:rPr>
      </w:pPr>
    </w:p>
    <w:p>
      <w:pPr>
        <w:jc w:val="both"/>
        <w:ind w:firstLine="301"/>
        <w:spacing w:after="0" w:line="272"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our first fiscal quarter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420"/>
          </w:cols>
          <w:pgMar w:left="240" w:top="123" w:right="23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160"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7"/>
          <w:szCs w:val="17"/>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7"/>
          <w:szCs w:val="17"/>
          <w:i w:val="1"/>
          <w:iCs w:val="1"/>
          <w:color w:val="auto"/>
        </w:rPr>
        <w:t xml:space="preserve">Legal Proceedings </w:t>
      </w:r>
      <w:r>
        <w:rPr>
          <w:rFonts w:ascii="Times New Roman" w:cs="Times New Roman" w:eastAsia="Times New Roman" w:hAnsi="Times New Roman"/>
          <w:sz w:val="17"/>
          <w:szCs w:val="17"/>
          <w:color w:val="auto"/>
        </w:rPr>
        <w:t>of our 2014 Annual Report and updated that information in Note 9—Contingencies to the consolidated financial statements included elsewhere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included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our 2014 Annual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60" w:lineRule="exact"/>
        <w:rPr>
          <w:sz w:val="20"/>
          <w:szCs w:val="20"/>
          <w:color w:val="auto"/>
        </w:rPr>
      </w:pPr>
    </w:p>
    <w:p>
      <w:pPr>
        <w:jc w:val="both"/>
        <w:ind w:firstLine="301"/>
        <w:spacing w:after="0" w:line="270" w:lineRule="auto"/>
        <w:rPr>
          <w:sz w:val="20"/>
          <w:szCs w:val="20"/>
          <w:color w:val="auto"/>
        </w:rPr>
      </w:pPr>
      <w:r>
        <w:rPr>
          <w:rFonts w:ascii="Times New Roman" w:cs="Times New Roman" w:eastAsia="Times New Roman" w:hAnsi="Times New Roman"/>
          <w:sz w:val="16"/>
          <w:szCs w:val="16"/>
          <w:color w:val="auto"/>
        </w:rPr>
        <w:t>In January 2010, the board of directors approved and we announced a stock repurchase program which allowed for the repurchase of up to $10.0 million of our common stock. In May 2014, the board of directors authorized and we announced an additional $10.0 million to the stock repurchase program. At March 31, 2015, approximately $7.3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We repurchased 5,250 shares of common stock under the stock repurchase program during the quarter ended March 31, 2015.</w:t>
      </w:r>
    </w:p>
    <w:p>
      <w:pPr>
        <w:spacing w:after="0" w:line="63"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March 31, 2015, 39,433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information about the company's purchases of equity securities during the quarter ended March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20" w:type="dxa"/>
            <w:vAlign w:val="bottom"/>
          </w:tcPr>
          <w:p>
            <w:pPr>
              <w:spacing w:after="0"/>
              <w:rPr>
                <w:sz w:val="12"/>
                <w:szCs w:val="12"/>
                <w:color w:val="auto"/>
              </w:rPr>
            </w:pPr>
          </w:p>
        </w:tc>
        <w:tc>
          <w:tcPr>
            <w:tcW w:w="170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Shares Purchased as</w:t>
            </w:r>
          </w:p>
        </w:tc>
        <w:tc>
          <w:tcPr>
            <w:tcW w:w="220" w:type="dxa"/>
            <w:vAlign w:val="bottom"/>
          </w:tcPr>
          <w:p>
            <w:pPr>
              <w:spacing w:after="0"/>
              <w:rPr>
                <w:sz w:val="11"/>
                <w:szCs w:val="11"/>
                <w:color w:val="auto"/>
              </w:rPr>
            </w:pPr>
          </w:p>
        </w:tc>
        <w:tc>
          <w:tcPr>
            <w:tcW w:w="1700" w:type="dxa"/>
            <w:vAlign w:val="bottom"/>
          </w:tcPr>
          <w:p>
            <w:pPr>
              <w:jc w:val="center"/>
              <w:ind w:right="146"/>
              <w:spacing w:after="0" w:line="138" w:lineRule="exact"/>
              <w:rPr>
                <w:sz w:val="20"/>
                <w:szCs w:val="20"/>
                <w:color w:val="auto"/>
              </w:rPr>
            </w:pPr>
            <w:r>
              <w:rPr>
                <w:rFonts w:ascii="Times New Roman" w:cs="Times New Roman" w:eastAsia="Times New Roman" w:hAnsi="Times New Roman"/>
                <w:sz w:val="13"/>
                <w:szCs w:val="13"/>
                <w:b w:val="1"/>
                <w:bCs w:val="1"/>
                <w:color w:val="auto"/>
              </w:rPr>
              <w:t>Dollar Value of Shares</w:t>
            </w: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80" w:type="dxa"/>
            <w:vAlign w:val="bottom"/>
          </w:tcPr>
          <w:p>
            <w:pPr>
              <w:spacing w:after="0"/>
              <w:rPr>
                <w:sz w:val="11"/>
                <w:szCs w:val="11"/>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19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Part of Publicly</w:t>
            </w:r>
          </w:p>
        </w:tc>
        <w:tc>
          <w:tcPr>
            <w:tcW w:w="220" w:type="dxa"/>
            <w:vAlign w:val="bottom"/>
          </w:tcPr>
          <w:p>
            <w:pPr>
              <w:spacing w:after="0"/>
              <w:rPr>
                <w:sz w:val="11"/>
                <w:szCs w:val="11"/>
                <w:color w:val="auto"/>
              </w:rPr>
            </w:pPr>
          </w:p>
        </w:tc>
        <w:tc>
          <w:tcPr>
            <w:tcW w:w="1700" w:type="dxa"/>
            <w:vAlign w:val="bottom"/>
          </w:tcPr>
          <w:p>
            <w:pPr>
              <w:jc w:val="center"/>
              <w:ind w:right="146"/>
              <w:spacing w:after="0" w:line="138" w:lineRule="exact"/>
              <w:rPr>
                <w:sz w:val="20"/>
                <w:szCs w:val="20"/>
                <w:color w:val="auto"/>
              </w:rPr>
            </w:pPr>
            <w:r>
              <w:rPr>
                <w:rFonts w:ascii="Times New Roman" w:cs="Times New Roman" w:eastAsia="Times New Roman" w:hAnsi="Times New Roman"/>
                <w:sz w:val="13"/>
                <w:szCs w:val="13"/>
                <w:b w:val="1"/>
                <w:bCs w:val="1"/>
                <w:color w:val="auto"/>
              </w:rPr>
              <w:t>that May Yet be</w:t>
            </w:r>
          </w:p>
        </w:tc>
        <w:tc>
          <w:tcPr>
            <w:tcW w:w="0" w:type="dxa"/>
            <w:vAlign w:val="bottom"/>
          </w:tcPr>
          <w:p>
            <w:pPr>
              <w:spacing w:after="0"/>
              <w:rPr>
                <w:sz w:val="1"/>
                <w:szCs w:val="1"/>
                <w:color w:val="auto"/>
              </w:rPr>
            </w:pPr>
          </w:p>
        </w:tc>
      </w:tr>
      <w:tr>
        <w:trPr>
          <w:trHeight w:val="13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9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Announced Plans or</w:t>
            </w:r>
          </w:p>
        </w:tc>
        <w:tc>
          <w:tcPr>
            <w:tcW w:w="220" w:type="dxa"/>
            <w:vAlign w:val="bottom"/>
          </w:tcPr>
          <w:p>
            <w:pPr>
              <w:spacing w:after="0"/>
              <w:rPr>
                <w:sz w:val="11"/>
                <w:szCs w:val="11"/>
                <w:color w:val="auto"/>
              </w:rPr>
            </w:pPr>
          </w:p>
        </w:tc>
        <w:tc>
          <w:tcPr>
            <w:tcW w:w="1700" w:type="dxa"/>
            <w:vAlign w:val="bottom"/>
          </w:tcPr>
          <w:p>
            <w:pPr>
              <w:jc w:val="center"/>
              <w:ind w:right="146"/>
              <w:spacing w:after="0" w:line="138" w:lineRule="exact"/>
              <w:rPr>
                <w:sz w:val="20"/>
                <w:szCs w:val="20"/>
                <w:color w:val="auto"/>
              </w:rPr>
            </w:pPr>
            <w:r>
              <w:rPr>
                <w:rFonts w:ascii="Times New Roman" w:cs="Times New Roman" w:eastAsia="Times New Roman" w:hAnsi="Times New Roman"/>
                <w:sz w:val="13"/>
                <w:szCs w:val="13"/>
                <w:b w:val="1"/>
                <w:bCs w:val="1"/>
                <w:color w:val="auto"/>
              </w:rPr>
              <w:t>Purchased Under the</w:t>
            </w:r>
          </w:p>
        </w:tc>
        <w:tc>
          <w:tcPr>
            <w:tcW w:w="0" w:type="dxa"/>
            <w:vAlign w:val="bottom"/>
          </w:tcPr>
          <w:p>
            <w:pPr>
              <w:spacing w:after="0"/>
              <w:rPr>
                <w:sz w:val="1"/>
                <w:szCs w:val="1"/>
                <w:color w:val="auto"/>
              </w:rPr>
            </w:pPr>
          </w:p>
        </w:tc>
      </w:tr>
      <w:tr>
        <w:trPr>
          <w:trHeight w:val="182"/>
        </w:trPr>
        <w:tc>
          <w:tcPr>
            <w:tcW w:w="390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Paid per Share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 xml:space="preserve">Programs </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5"/>
                <w:szCs w:val="15"/>
                <w:color w:val="auto"/>
              </w:rPr>
            </w:pPr>
          </w:p>
        </w:tc>
        <w:tc>
          <w:tcPr>
            <w:tcW w:w="170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Plans or Programs</w:t>
            </w:r>
          </w:p>
        </w:tc>
        <w:tc>
          <w:tcPr>
            <w:tcW w:w="0" w:type="dxa"/>
            <w:vAlign w:val="bottom"/>
          </w:tcPr>
          <w:p>
            <w:pPr>
              <w:spacing w:after="0"/>
              <w:rPr>
                <w:sz w:val="1"/>
                <w:szCs w:val="1"/>
                <w:color w:val="auto"/>
              </w:rPr>
            </w:pPr>
          </w:p>
        </w:tc>
      </w:tr>
      <w:tr>
        <w:trPr>
          <w:trHeight w:val="176"/>
        </w:trPr>
        <w:tc>
          <w:tcPr>
            <w:tcW w:w="3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center"/>
              <w:ind w:right="146"/>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0" w:type="dxa"/>
            <w:vAlign w:val="bottom"/>
          </w:tcPr>
          <w:p>
            <w:pPr>
              <w:spacing w:after="0"/>
              <w:rPr>
                <w:sz w:val="1"/>
                <w:szCs w:val="1"/>
                <w:color w:val="auto"/>
              </w:rPr>
            </w:pPr>
          </w:p>
        </w:tc>
      </w:tr>
      <w:tr>
        <w:trPr>
          <w:trHeight w:val="73"/>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2015</w:t>
            </w:r>
          </w:p>
        </w:tc>
        <w:tc>
          <w:tcPr>
            <w:tcW w:w="17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3,166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42.13</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2,750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7,377</w:t>
            </w:r>
          </w:p>
        </w:tc>
        <w:tc>
          <w:tcPr>
            <w:tcW w:w="0" w:type="dxa"/>
            <w:vAlign w:val="bottom"/>
          </w:tcPr>
          <w:p>
            <w:pPr>
              <w:spacing w:after="0"/>
              <w:rPr>
                <w:sz w:val="1"/>
                <w:szCs w:val="1"/>
                <w:color w:val="auto"/>
              </w:rPr>
            </w:pPr>
          </w:p>
        </w:tc>
      </w:tr>
      <w:tr>
        <w:trPr>
          <w:trHeight w:val="22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2015</w:t>
            </w: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rPr>
              <w:t>41,247</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41.40</w:t>
            </w:r>
          </w:p>
        </w:tc>
        <w:tc>
          <w:tcPr>
            <w:tcW w:w="10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26"/>
              <w:spacing w:after="0"/>
              <w:rPr>
                <w:sz w:val="20"/>
                <w:szCs w:val="20"/>
                <w:color w:val="auto"/>
              </w:rPr>
            </w:pPr>
            <w:r>
              <w:rPr>
                <w:rFonts w:ascii="Times New Roman" w:cs="Times New Roman" w:eastAsia="Times New Roman" w:hAnsi="Times New Roman"/>
                <w:sz w:val="17"/>
                <w:szCs w:val="17"/>
                <w:color w:val="auto"/>
              </w:rPr>
              <w:t>7,273</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2015</w:t>
            </w:r>
          </w:p>
        </w:tc>
        <w:tc>
          <w:tcPr>
            <w:tcW w:w="17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56.35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7,273</w:t>
            </w:r>
          </w:p>
        </w:tc>
        <w:tc>
          <w:tcPr>
            <w:tcW w:w="0" w:type="dxa"/>
            <w:vAlign w:val="bottom"/>
          </w:tcPr>
          <w:p>
            <w:pPr>
              <w:spacing w:after="0"/>
              <w:rPr>
                <w:sz w:val="1"/>
                <w:szCs w:val="1"/>
                <w:color w:val="auto"/>
              </w:rPr>
            </w:pPr>
          </w:p>
        </w:tc>
      </w:tr>
      <w:tr>
        <w:trPr>
          <w:trHeight w:val="218"/>
        </w:trPr>
        <w:tc>
          <w:tcPr>
            <w:tcW w:w="3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rPr>
              <w:t>44,683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41.54</w:t>
            </w: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rPr>
              <w:t>5,250</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rPr>
              <w:t>7,273</w:t>
            </w:r>
          </w:p>
        </w:tc>
        <w:tc>
          <w:tcPr>
            <w:tcW w:w="0" w:type="dxa"/>
            <w:vAlign w:val="bottom"/>
          </w:tcPr>
          <w:p>
            <w:pPr>
              <w:spacing w:after="0"/>
              <w:rPr>
                <w:sz w:val="1"/>
                <w:szCs w:val="1"/>
                <w:color w:val="auto"/>
              </w:rPr>
            </w:pPr>
          </w:p>
        </w:tc>
      </w:tr>
      <w:tr>
        <w:trPr>
          <w:trHeight w:val="30"/>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600" w:hanging="299"/>
        <w:spacing w:after="0" w:line="255"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January 2015, February 2015 and March 2015, 416 shares, 38,747 shares and 270 shares, respectively (totaling 39,433 shares), were purchased to satisfy federal and state withholding obligations of our employees upon the settlement of restricted stock unit awards, all in accordance with our Fourth Amended and Restated 2008 Stock and Award Incentive Plan, as described above. The balance of the shares in each period were repurchased pursuant to our stock repurchase program.</w:t>
      </w:r>
    </w:p>
    <w:p>
      <w:pPr>
        <w:spacing w:after="0" w:line="122"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the narrative disclosure above the table for further description of our publicly announced stock repurchase program.</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420"/>
          </w:cols>
          <w:pgMar w:left="240" w:top="123" w:right="2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5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8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3"/>
                <w:szCs w:val="13"/>
                <w:b w:val="1"/>
                <w:bCs w:val="1"/>
                <w:color w:val="auto"/>
              </w:rPr>
              <w:t>Location</w:t>
            </w:r>
          </w:p>
        </w:tc>
      </w:tr>
      <w:tr>
        <w:trPr>
          <w:trHeight w:val="111"/>
        </w:trPr>
        <w:tc>
          <w:tcPr>
            <w:tcW w:w="10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820" w:type="dxa"/>
            <w:vAlign w:val="bottom"/>
          </w:tcPr>
          <w:p>
            <w:pPr>
              <w:spacing w:after="0"/>
              <w:rPr>
                <w:sz w:val="9"/>
                <w:szCs w:val="9"/>
                <w:color w:val="auto"/>
              </w:rPr>
            </w:pPr>
          </w:p>
        </w:tc>
      </w:tr>
      <w:tr>
        <w:trPr>
          <w:trHeight w:val="209"/>
        </w:trPr>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3.1</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Amended and Restated Certificate of Incorporation of LendingTree, Inc.</w:t>
            </w:r>
          </w:p>
        </w:tc>
        <w:tc>
          <w:tcPr>
            <w:tcW w:w="3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3.1 to the Registrant's Current Report on Form</w:t>
            </w:r>
          </w:p>
        </w:tc>
      </w:tr>
      <w:tr>
        <w:trPr>
          <w:trHeight w:val="222"/>
        </w:trPr>
        <w:tc>
          <w:tcPr>
            <w:tcW w:w="1040" w:type="dxa"/>
            <w:vAlign w:val="bottom"/>
            <w:tcBorders>
              <w:bottom w:val="single" w:sz="8" w:color="CCEEFF"/>
            </w:tcBorders>
            <w:shd w:val="clear" w:color="auto" w:fill="CCEEFF"/>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8-K filed August 25, 2008</w:t>
            </w:r>
          </w:p>
        </w:tc>
      </w:tr>
      <w:tr>
        <w:trPr>
          <w:trHeight w:val="209"/>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Third Amended and Restated By-laws of LendingTree, Inc.</w:t>
            </w:r>
          </w:p>
        </w:tc>
        <w:tc>
          <w:tcPr>
            <w:tcW w:w="3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Exhibit 3.2 to the Registrant's Current Report on Form</w:t>
            </w:r>
          </w:p>
        </w:tc>
      </w:tr>
      <w:tr>
        <w:trPr>
          <w:trHeight w:val="217"/>
        </w:trPr>
        <w:tc>
          <w:tcPr>
            <w:tcW w:w="10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 filed December 31, 2014</w:t>
            </w: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1"/>
        </w:trPr>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10.1</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Letter Agreement between LendingTree, Inc. and Carla Shumate, dated March 11, 2015 *</w:t>
            </w:r>
          </w:p>
        </w:tc>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10.2</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2011 Deferred Compensation Plan for Non-Employee Directors *</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09"/>
        </w:trPr>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31.1</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Certification of the Chief Executive Officer pursuant to Rule 13a-14(a) or Rule 15d-14(a) of</w:t>
            </w: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1040" w:type="dxa"/>
            <w:vAlign w:val="bottom"/>
            <w:shd w:val="clear" w:color="auto" w:fill="CCEEFF"/>
          </w:tcPr>
          <w:p>
            <w:pPr>
              <w:spacing w:after="0"/>
              <w:rPr>
                <w:sz w:val="17"/>
                <w:szCs w:val="17"/>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Securities Exchange Act of 1934 as adopted pursuant to Section 302 of the Sarbanes-</w:t>
            </w:r>
          </w:p>
        </w:tc>
        <w:tc>
          <w:tcPr>
            <w:tcW w:w="3820" w:type="dxa"/>
            <w:vAlign w:val="bottom"/>
            <w:shd w:val="clear" w:color="auto" w:fill="CCEEFF"/>
          </w:tcPr>
          <w:p>
            <w:pPr>
              <w:spacing w:after="0"/>
              <w:rPr>
                <w:sz w:val="17"/>
                <w:szCs w:val="17"/>
                <w:color w:val="auto"/>
              </w:rPr>
            </w:pPr>
          </w:p>
        </w:tc>
      </w:tr>
      <w:tr>
        <w:trPr>
          <w:trHeight w:val="222"/>
        </w:trPr>
        <w:tc>
          <w:tcPr>
            <w:tcW w:w="1040" w:type="dxa"/>
            <w:vAlign w:val="bottom"/>
            <w:tcBorders>
              <w:bottom w:val="single" w:sz="8" w:color="CCEEFF"/>
            </w:tcBorders>
            <w:shd w:val="clear" w:color="auto" w:fill="CCEEFF"/>
          </w:tcPr>
          <w:p>
            <w:pPr>
              <w:spacing w:after="0"/>
              <w:rPr>
                <w:sz w:val="19"/>
                <w:szCs w:val="19"/>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Oxley Act of 2002.</w:t>
            </w:r>
          </w:p>
        </w:tc>
        <w:tc>
          <w:tcPr>
            <w:tcW w:w="3820" w:type="dxa"/>
            <w:vAlign w:val="bottom"/>
            <w:tcBorders>
              <w:bottom w:val="single" w:sz="8" w:color="CCEEFF"/>
            </w:tcBorders>
            <w:shd w:val="clear" w:color="auto" w:fill="CCEEFF"/>
          </w:tcPr>
          <w:p>
            <w:pPr>
              <w:spacing w:after="0"/>
              <w:rPr>
                <w:sz w:val="19"/>
                <w:szCs w:val="19"/>
                <w:color w:val="auto"/>
              </w:rPr>
            </w:pPr>
          </w:p>
        </w:tc>
      </w:tr>
      <w:tr>
        <w:trPr>
          <w:trHeight w:val="209"/>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31.2</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Chief Financial Officer pursuant to Rule 13a-14(a) or Rule 15d-14(a) of</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1040" w:type="dxa"/>
            <w:vAlign w:val="bottom"/>
          </w:tcPr>
          <w:p>
            <w:pPr>
              <w:spacing w:after="0"/>
              <w:rPr>
                <w:sz w:val="17"/>
                <w:szCs w:val="17"/>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Securities Exchange Act of 1934 as adopted pursuant to Section 302 of the Sarbanes-</w:t>
            </w:r>
          </w:p>
        </w:tc>
        <w:tc>
          <w:tcPr>
            <w:tcW w:w="38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Oxley Act of 2002.</w:t>
            </w:r>
          </w:p>
        </w:tc>
        <w:tc>
          <w:tcPr>
            <w:tcW w:w="3820" w:type="dxa"/>
            <w:vAlign w:val="bottom"/>
          </w:tcPr>
          <w:p>
            <w:pPr>
              <w:spacing w:after="0"/>
              <w:rPr>
                <w:sz w:val="18"/>
                <w:szCs w:val="18"/>
                <w:color w:val="auto"/>
              </w:rPr>
            </w:pP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09"/>
        </w:trPr>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32.1</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Certification of the Chief Executive Officer pursuant to 18 U.S.C. Section 1350 as adopted</w:t>
            </w: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1040" w:type="dxa"/>
            <w:vAlign w:val="bottom"/>
            <w:tcBorders>
              <w:bottom w:val="single" w:sz="8" w:color="CCEEFF"/>
            </w:tcBorders>
            <w:shd w:val="clear" w:color="auto" w:fill="CCEEFF"/>
          </w:tcPr>
          <w:p>
            <w:pPr>
              <w:spacing w:after="0"/>
              <w:rPr>
                <w:sz w:val="19"/>
                <w:szCs w:val="19"/>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w:t>
            </w:r>
          </w:p>
        </w:tc>
        <w:tc>
          <w:tcPr>
            <w:tcW w:w="3820" w:type="dxa"/>
            <w:vAlign w:val="bottom"/>
            <w:tcBorders>
              <w:bottom w:val="single" w:sz="8" w:color="CCEEFF"/>
            </w:tcBorders>
            <w:shd w:val="clear" w:color="auto" w:fill="CCEEFF"/>
          </w:tcPr>
          <w:p>
            <w:pPr>
              <w:spacing w:after="0"/>
              <w:rPr>
                <w:sz w:val="19"/>
                <w:szCs w:val="19"/>
                <w:color w:val="auto"/>
              </w:rPr>
            </w:pPr>
          </w:p>
        </w:tc>
      </w:tr>
      <w:tr>
        <w:trPr>
          <w:trHeight w:val="209"/>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32.2</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Chief Financial Officer pursuant to 18 U.S.C. Section 1350 as adopted</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104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w:t>
            </w:r>
          </w:p>
        </w:tc>
        <w:tc>
          <w:tcPr>
            <w:tcW w:w="3820" w:type="dxa"/>
            <w:vAlign w:val="bottom"/>
          </w:tcPr>
          <w:p>
            <w:pPr>
              <w:spacing w:after="0"/>
              <w:rPr>
                <w:sz w:val="18"/>
                <w:szCs w:val="18"/>
                <w:color w:val="auto"/>
              </w:rPr>
            </w:pP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1"/>
        </w:trPr>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XBRL Instance Document</w:t>
            </w:r>
          </w:p>
        </w:tc>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101.SCH</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1"/>
        </w:trPr>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101.DEF</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1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1"/>
        </w:trPr>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0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101.PRE</w:t>
            </w: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3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131" w:lineRule="exact"/>
        <w:rPr>
          <w:sz w:val="20"/>
          <w:szCs w:val="20"/>
          <w:color w:val="auto"/>
        </w:rPr>
      </w:pPr>
    </w:p>
    <w:p>
      <w:pPr>
        <w:jc w:val="both"/>
        <w:spacing w:after="0" w:line="259" w:lineRule="auto"/>
        <w:tabs>
          <w:tab w:leader="none" w:pos="24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95" w:lineRule="exact"/>
        <w:rPr>
          <w:sz w:val="20"/>
          <w:szCs w:val="20"/>
          <w:color w:val="auto"/>
        </w:rPr>
      </w:pPr>
    </w:p>
    <w:p>
      <w:pPr>
        <w:jc w:val="both"/>
        <w:spacing w:after="0" w:line="259" w:lineRule="auto"/>
        <w:tabs>
          <w:tab w:leader="none" w:pos="30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compensation plan or arrangement.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420"/>
          </w:cols>
          <w:pgMar w:left="240" w:top="123" w:right="23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0" w:lineRule="exact"/>
        <w:rPr>
          <w:sz w:val="20"/>
          <w:szCs w:val="20"/>
          <w:color w:val="auto"/>
        </w:rPr>
      </w:pPr>
    </w:p>
    <w:p>
      <w:pPr>
        <w:ind w:firstLine="301"/>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2015</w:t>
      </w:r>
    </w:p>
    <w:p>
      <w:pPr>
        <w:spacing w:after="0" w:line="3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LENDINGTREE, INC.</w:t>
      </w:r>
    </w:p>
    <w:p>
      <w:pPr>
        <w:spacing w:after="0" w:line="302" w:lineRule="exact"/>
        <w:rPr>
          <w:sz w:val="20"/>
          <w:szCs w:val="20"/>
          <w:color w:val="auto"/>
        </w:rPr>
      </w:pPr>
    </w:p>
    <w:p>
      <w:pPr>
        <w:ind w:left="4700"/>
        <w:spacing w:after="0"/>
        <w:tabs>
          <w:tab w:leader="none" w:pos="5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32385</wp:posOffset>
            </wp:positionV>
            <wp:extent cx="3831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Alexander Mandel</w:t>
      </w:r>
    </w:p>
    <w:p>
      <w:pPr>
        <w:spacing w:after="0" w:line="5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i w:val="1"/>
          <w:iCs w:val="1"/>
          <w:color w:val="auto"/>
        </w:rPr>
        <w:t>(principal financial officer and duly authorized officer)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420"/>
          </w:cols>
          <w:pgMar w:left="240" w:top="12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111760</wp:posOffset>
            </wp:positionV>
            <wp:extent cx="1975485" cy="732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75485"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2015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Carla Shumate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Chief Accounting Officer &amp; Treasurer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Carla,</w:t>
      </w:r>
    </w:p>
    <w:p>
      <w:pPr>
        <w:spacing w:after="0" w:line="20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This letter confirms our understanding that in the event your employment with LendingTree, Inc. or any of its subsidiaries (collectively, the “Company”) is terminated by the Company for a reason other than (i) Cause (as defined below) or (ii) unacceptable performance (as such may be determined by the Company in its sole discretion, provided that such performance shall be reasonably documented by the Company), the Company will pay you severance pay in an amount equal to the sum of six (6) months of your annual base salary upon your executing a waiver and release document provided by the Company. This severance will be paid on regularly scheduled pay dates for six (6) months following the effective date of the waiver and release and will be discontinued should you find other employment.</w:t>
      </w:r>
    </w:p>
    <w:p>
      <w:pPr>
        <w:spacing w:after="0" w:line="17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xml:space="preserve"> shall mean gross negligence in carrying out your duties for the Company or any breach of fiduciary duties to the Company, conviction of, or plea of guilty or no contest to any felony, any act of fraud or embezzlement, material violation of a Company policy or any unauthorized use or disclosure of confidential information or trade secrets of the Company or its affiliates, or failure to cooperate in any Company investigation.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Claudette Parham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Human Resources &amp; Administration</w:t>
      </w:r>
    </w:p>
    <w:p>
      <w:pPr>
        <w:sectPr>
          <w:pgSz w:w="11900" w:h="16838" w:orient="portrait"/>
          <w:cols w:equalWidth="0" w:num="1">
            <w:col w:w="11420"/>
          </w:cols>
          <w:pgMar w:left="240" w:top="84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2011 Deferred Compensation Plan for Non-Employee Directors</w:t>
      </w:r>
    </w:p>
    <w:p>
      <w:pPr>
        <w:spacing w:after="0" w:line="210" w:lineRule="exact"/>
        <w:rPr>
          <w:sz w:val="20"/>
          <w:szCs w:val="20"/>
          <w:color w:val="auto"/>
        </w:rPr>
      </w:pPr>
    </w:p>
    <w:p>
      <w:pPr>
        <w:jc w:val="both"/>
        <w:ind w:firstLine="602"/>
        <w:spacing w:after="0" w:line="250" w:lineRule="auto"/>
        <w:tabs>
          <w:tab w:leader="none" w:pos="94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end of each calendar year, each non-employee member of the Board of Directors may elect to receive his or her cash compensation for Board or committee service, exclusive of reimbursed expenses, that becomes payable in the following calendar year, in the form of restricted stock unit awards (</w:t>
      </w:r>
      <w:r>
        <w:rPr>
          <w:rFonts w:ascii="Times New Roman" w:cs="Times New Roman" w:eastAsia="Times New Roman" w:hAnsi="Times New Roman"/>
          <w:sz w:val="17"/>
          <w:szCs w:val="17"/>
          <w:b w:val="1"/>
          <w:b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RSU Awards”</w:t>
      </w:r>
      <w:r>
        <w:rPr>
          <w:rFonts w:ascii="Times New Roman" w:cs="Times New Roman" w:eastAsia="Times New Roman" w:hAnsi="Times New Roman"/>
          <w:sz w:val="17"/>
          <w:szCs w:val="17"/>
          <w:color w:val="auto"/>
        </w:rPr>
        <w:t>) issued under the Second Amended and Restated Tree.com, Inc. 2008 Stock and Annual Incentive Plan (the</w:t>
      </w:r>
      <w:r>
        <w:rPr>
          <w:rFonts w:ascii="Times New Roman" w:cs="Times New Roman" w:eastAsia="Times New Roman" w:hAnsi="Times New Roman"/>
          <w:sz w:val="17"/>
          <w:szCs w:val="17"/>
          <w:b w:val="1"/>
          <w:bCs w:val="1"/>
          <w:color w:val="auto"/>
        </w:rPr>
        <w:t xml:space="preserve"> “Plan”</w:t>
      </w:r>
      <w:r>
        <w:rPr>
          <w:rFonts w:ascii="Times New Roman" w:cs="Times New Roman" w:eastAsia="Times New Roman" w:hAnsi="Times New Roman"/>
          <w:sz w:val="17"/>
          <w:szCs w:val="17"/>
          <w:color w:val="auto"/>
        </w:rPr>
        <w:t>) or any successor thereto.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election must be in writing and received by the Secretary of the Company no later than 5 p.m. Eastern time on the last business day of a calendar year, and once made, such election will be irrevocable for the following calendar year. For the avoidance of doubt, neither making nor declining to make the election described above will affect the portion of non-employee director compensation payable generally in the form of restricted stock unit awards. Each such election will affect only the immediately following calendar year, and a further election will be required for subsequent calendar years (in each case, received as set forth above on or before the last business day of the immediately prior calendar year).</w:t>
      </w:r>
    </w:p>
    <w:p>
      <w:pPr>
        <w:spacing w:after="0" w:line="177" w:lineRule="exact"/>
        <w:rPr>
          <w:rFonts w:ascii="Times New Roman" w:cs="Times New Roman" w:eastAsia="Times New Roman" w:hAnsi="Times New Roman"/>
          <w:sz w:val="17"/>
          <w:szCs w:val="17"/>
          <w:color w:val="auto"/>
        </w:rPr>
      </w:pPr>
    </w:p>
    <w:p>
      <w:pPr>
        <w:jc w:val="both"/>
        <w:ind w:firstLine="602"/>
        <w:spacing w:after="0" w:line="251" w:lineRule="auto"/>
        <w:tabs>
          <w:tab w:leader="none" w:pos="93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newly elected or appointed non-employee member of the Board (excluding any member of the Board that may change status from employee to non-employee) may make the election described above for the same calendar year during which his or her appointment occurs, provided such election is in writing and received by the Secretary of the Company no later than 5 p.m. Eastern time on the last business day that is no more than thirty (30) days after the date of election or appointment. Once given, such election will be irrevocable for the calendar year in which it is made and each such election will affect only such calendar year. A further election will be required for subsequent calendar years (in each case, received as set forth in the paragraph above on or before the last business day of the immediately prior calendar year).</w:t>
      </w:r>
    </w:p>
    <w:p>
      <w:pPr>
        <w:spacing w:after="0" w:line="178" w:lineRule="exact"/>
        <w:rPr>
          <w:rFonts w:ascii="Times New Roman" w:cs="Times New Roman" w:eastAsia="Times New Roman" w:hAnsi="Times New Roman"/>
          <w:sz w:val="17"/>
          <w:szCs w:val="17"/>
          <w:color w:val="auto"/>
        </w:rPr>
      </w:pPr>
    </w:p>
    <w:p>
      <w:pPr>
        <w:ind w:firstLine="602"/>
        <w:spacing w:after="0" w:line="272" w:lineRule="auto"/>
        <w:tabs>
          <w:tab w:leader="none" w:pos="92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neither making nor declining to make an election to receive Special RSU Awards in lieu of cash will affect the portion of non-employee director compensation payable generally in the form of restricted stock unit awards.</w:t>
      </w:r>
    </w:p>
    <w:p>
      <w:pPr>
        <w:spacing w:after="0" w:line="159" w:lineRule="exact"/>
        <w:rPr>
          <w:rFonts w:ascii="Times New Roman" w:cs="Times New Roman" w:eastAsia="Times New Roman" w:hAnsi="Times New Roman"/>
          <w:sz w:val="17"/>
          <w:szCs w:val="17"/>
          <w:color w:val="auto"/>
        </w:rPr>
      </w:pPr>
    </w:p>
    <w:p>
      <w:pPr>
        <w:jc w:val="both"/>
        <w:ind w:firstLine="602"/>
        <w:spacing w:after="0" w:line="249" w:lineRule="auto"/>
        <w:tabs>
          <w:tab w:leader="none" w:pos="95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non-employee director makes the election described above, such director will be entitled to receive on the date of the Company’s annual meeting of shareholders during the following calendar year (the “</w:t>
      </w:r>
      <w:r>
        <w:rPr>
          <w:rFonts w:ascii="Times New Roman" w:cs="Times New Roman" w:eastAsia="Times New Roman" w:hAnsi="Times New Roman"/>
          <w:sz w:val="17"/>
          <w:szCs w:val="17"/>
          <w:b w:val="1"/>
          <w:bCs w:val="1"/>
          <w:color w:val="auto"/>
        </w:rPr>
        <w:t>Reference Date</w:t>
      </w:r>
      <w:r>
        <w:rPr>
          <w:rFonts w:ascii="Times New Roman" w:cs="Times New Roman" w:eastAsia="Times New Roman" w:hAnsi="Times New Roman"/>
          <w:sz w:val="17"/>
          <w:szCs w:val="17"/>
          <w:color w:val="auto"/>
        </w:rPr>
        <w:t>”), a Special RSU Award for a number of shares equal to the amount of the cash compensation otherwise due to such director on the Reference Date divided by the closing price of the Company’s common stock reported on NASDAQ, or if the Company’s common stock is not traded on NASDAQ, the closing price reported on another trading market determined by the Compensation Committee to be appropriate, on the Reference Date. If no closing price is reported on the Reference Date, the last closing price reported prior to such date shall be used for the foregoing calculation. Such Special RSU Award shall vest in full on the Reference Date; provided that such Special RSU Award shall be not be granted if recipient has terminated his or her service with the Board prior to or effective on the Reference Date; provided further that the vesting of each such Special RSU Award shall be accelerated in full upon a Change in Control as defined in the Plan, as interpreted by the Compensation Committee. Each Special RSU Award shall otherwise be subject to the terms of the Notice of Restricted Stock Unit Award Granted Under the Plan in the form previously approved by the Compensation Committee, or any successor form intended for awards to non-employee directors that the Compensation Committee may approve in the future.</w:t>
      </w:r>
    </w:p>
    <w:p>
      <w:pPr>
        <w:spacing w:after="0" w:line="179" w:lineRule="exact"/>
        <w:rPr>
          <w:rFonts w:ascii="Times New Roman" w:cs="Times New Roman" w:eastAsia="Times New Roman" w:hAnsi="Times New Roman"/>
          <w:sz w:val="17"/>
          <w:szCs w:val="17"/>
          <w:color w:val="auto"/>
        </w:rPr>
      </w:pPr>
    </w:p>
    <w:p>
      <w:pPr>
        <w:ind w:left="940" w:hanging="33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will approve Special RSU Awards no later than its first regularly scheduled meeting on or after each applicable Reference</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ectPr>
          <w:pgSz w:w="11900" w:h="16838" w:orient="portrait"/>
          <w:cols w:equalWidth="0" w:num="1">
            <w:col w:w="11420"/>
          </w:cols>
          <w:pgMar w:left="240" w:top="546" w:right="239" w:bottom="1440" w:gutter="0" w:footer="0" w:header="0"/>
        </w:sectPr>
      </w:pPr>
    </w:p>
    <w:bookmarkStart w:id="32" w:name="page33"/>
    <w:bookmarkEnd w:id="32"/>
    <w:p>
      <w:pPr>
        <w:jc w:val="both"/>
        <w:spacing w:after="0" w:line="259" w:lineRule="auto"/>
        <w:rPr>
          <w:sz w:val="20"/>
          <w:szCs w:val="20"/>
          <w:color w:val="auto"/>
        </w:rPr>
      </w:pPr>
      <w:r>
        <w:rPr>
          <w:rFonts w:ascii="Times New Roman" w:cs="Times New Roman" w:eastAsia="Times New Roman" w:hAnsi="Times New Roman"/>
          <w:sz w:val="17"/>
          <w:szCs w:val="17"/>
          <w:color w:val="auto"/>
        </w:rPr>
        <w:t>The undersigned do hereby consent that the actions set forth in the foregoing preambles and resolutions shall have the same force and effect as though unanimously adopted at a duly called and convened meeting on the last date indicated below, and the undersigned do hereby direct that a copy hereof be filed as part of the permanent records of the Company. Facsimile signatures hereto shall have the same force and effect as original signatures, and may be provided in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221615</wp:posOffset>
            </wp:positionV>
            <wp:extent cx="1379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440"/>
              <w:spacing w:after="0"/>
              <w:rPr>
                <w:sz w:val="20"/>
                <w:szCs w:val="20"/>
                <w:color w:val="auto"/>
              </w:rPr>
            </w:pPr>
            <w:r>
              <w:rPr>
                <w:rFonts w:ascii="Times New Roman" w:cs="Times New Roman" w:eastAsia="Times New Roman" w:hAnsi="Times New Roman"/>
                <w:sz w:val="17"/>
                <w:szCs w:val="17"/>
                <w:color w:val="auto"/>
              </w:rPr>
              <w:t>Peter Horan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12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2340"/>
              <w:spacing w:after="0"/>
              <w:rPr>
                <w:sz w:val="20"/>
                <w:szCs w:val="20"/>
                <w:color w:val="auto"/>
              </w:rPr>
            </w:pPr>
            <w:r>
              <w:rPr>
                <w:rFonts w:ascii="Times New Roman" w:cs="Times New Roman" w:eastAsia="Times New Roman" w:hAnsi="Times New Roman"/>
                <w:sz w:val="17"/>
                <w:szCs w:val="17"/>
                <w:color w:val="auto"/>
              </w:rPr>
              <w:t>W. Mac Lackey (Member of Compensation Committee)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1240" w:type="dxa"/>
            <w:vAlign w:val="bottom"/>
          </w:tcPr>
          <w:p>
            <w:pPr>
              <w:spacing w:after="0"/>
              <w:rPr>
                <w:sz w:val="24"/>
                <w:szCs w:val="24"/>
                <w:color w:val="auto"/>
              </w:rPr>
            </w:pPr>
          </w:p>
        </w:tc>
        <w:tc>
          <w:tcPr>
            <w:tcW w:w="7800" w:type="dxa"/>
            <w:vAlign w:val="bottom"/>
            <w:gridSpan w:val="2"/>
          </w:tcPr>
          <w:p>
            <w:pPr>
              <w:spacing w:after="0"/>
              <w:rPr>
                <w:sz w:val="24"/>
                <w:szCs w:val="24"/>
                <w:color w:val="auto"/>
              </w:rPr>
            </w:pPr>
          </w:p>
        </w:tc>
        <w:tc>
          <w:tcPr>
            <w:tcW w:w="82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440"/>
              <w:spacing w:after="0"/>
              <w:rPr>
                <w:sz w:val="20"/>
                <w:szCs w:val="20"/>
                <w:color w:val="auto"/>
              </w:rPr>
            </w:pPr>
            <w:r>
              <w:rPr>
                <w:rFonts w:ascii="Times New Roman" w:cs="Times New Roman" w:eastAsia="Times New Roman" w:hAnsi="Times New Roman"/>
                <w:sz w:val="17"/>
                <w:szCs w:val="17"/>
                <w:color w:val="auto"/>
              </w:rPr>
              <w:t>Douglas Lebda</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2"/>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Levin</w:t>
            </w:r>
          </w:p>
        </w:tc>
        <w:tc>
          <w:tcPr>
            <w:tcW w:w="7180" w:type="dxa"/>
            <w:vAlign w:val="bottom"/>
          </w:tcPr>
          <w:p>
            <w:pPr>
              <w:spacing w:after="0"/>
              <w:rPr>
                <w:sz w:val="24"/>
                <w:szCs w:val="24"/>
                <w:color w:val="auto"/>
              </w:rPr>
            </w:pPr>
          </w:p>
        </w:tc>
        <w:tc>
          <w:tcPr>
            <w:tcW w:w="218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auto"/>
              </w:rPr>
              <w:t>Date signed</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w w:val="94"/>
              </w:rPr>
              <w:t>Joseph</w:t>
            </w:r>
          </w:p>
        </w:tc>
        <w:tc>
          <w:tcPr>
            <w:tcW w:w="0" w:type="dxa"/>
            <w:vAlign w:val="bottom"/>
          </w:tcPr>
          <w:p>
            <w:pPr>
              <w:spacing w:after="0"/>
              <w:rPr>
                <w:sz w:val="1"/>
                <w:szCs w:val="1"/>
                <w:color w:val="auto"/>
              </w:rPr>
            </w:pPr>
          </w:p>
        </w:tc>
      </w:tr>
      <w:tr>
        <w:trPr>
          <w:trHeight w:val="201"/>
        </w:trPr>
        <w:tc>
          <w:tcPr>
            <w:tcW w:w="1240" w:type="dxa"/>
            <w:vAlign w:val="bottom"/>
            <w:vMerge w:val="continue"/>
          </w:tcPr>
          <w:p>
            <w:pPr>
              <w:spacing w:after="0"/>
              <w:rPr>
                <w:sz w:val="17"/>
                <w:szCs w:val="17"/>
                <w:color w:val="auto"/>
              </w:rPr>
            </w:pPr>
          </w:p>
        </w:tc>
        <w:tc>
          <w:tcPr>
            <w:tcW w:w="7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1240" w:type="dxa"/>
            <w:vAlign w:val="bottom"/>
          </w:tcPr>
          <w:p>
            <w:pPr>
              <w:spacing w:after="0"/>
              <w:rPr>
                <w:sz w:val="24"/>
                <w:szCs w:val="24"/>
                <w:color w:val="auto"/>
              </w:rPr>
            </w:pPr>
          </w:p>
        </w:tc>
        <w:tc>
          <w:tcPr>
            <w:tcW w:w="7800" w:type="dxa"/>
            <w:vAlign w:val="bottom"/>
            <w:gridSpan w:val="2"/>
          </w:tcPr>
          <w:p>
            <w:pPr>
              <w:spacing w:after="0"/>
              <w:rPr>
                <w:sz w:val="24"/>
                <w:szCs w:val="24"/>
                <w:color w:val="auto"/>
              </w:rPr>
            </w:pPr>
          </w:p>
        </w:tc>
        <w:tc>
          <w:tcPr>
            <w:tcW w:w="82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2340"/>
              <w:spacing w:after="0"/>
              <w:rPr>
                <w:sz w:val="20"/>
                <w:szCs w:val="20"/>
                <w:color w:val="auto"/>
              </w:rPr>
            </w:pPr>
            <w:r>
              <w:rPr>
                <w:rFonts w:ascii="Times New Roman" w:cs="Times New Roman" w:eastAsia="Times New Roman" w:hAnsi="Times New Roman"/>
                <w:sz w:val="17"/>
                <w:szCs w:val="17"/>
                <w:color w:val="auto"/>
              </w:rPr>
              <w:t>Patrick L. McCrory (Member of Nominating and Compensation Committees)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1240" w:type="dxa"/>
            <w:vAlign w:val="bottom"/>
          </w:tcPr>
          <w:p>
            <w:pPr>
              <w:spacing w:after="0"/>
              <w:rPr>
                <w:sz w:val="24"/>
                <w:szCs w:val="24"/>
                <w:color w:val="auto"/>
              </w:rPr>
            </w:pPr>
          </w:p>
        </w:tc>
        <w:tc>
          <w:tcPr>
            <w:tcW w:w="7800" w:type="dxa"/>
            <w:vAlign w:val="bottom"/>
            <w:gridSpan w:val="2"/>
          </w:tcPr>
          <w:p>
            <w:pPr>
              <w:spacing w:after="0"/>
              <w:rPr>
                <w:sz w:val="24"/>
                <w:szCs w:val="24"/>
                <w:color w:val="auto"/>
              </w:rPr>
            </w:pPr>
          </w:p>
        </w:tc>
        <w:tc>
          <w:tcPr>
            <w:tcW w:w="82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2340"/>
              <w:spacing w:after="0"/>
              <w:rPr>
                <w:sz w:val="20"/>
                <w:szCs w:val="20"/>
                <w:color w:val="auto"/>
              </w:rPr>
            </w:pPr>
            <w:r>
              <w:rPr>
                <w:rFonts w:ascii="Times New Roman" w:cs="Times New Roman" w:eastAsia="Times New Roman" w:hAnsi="Times New Roman"/>
                <w:sz w:val="17"/>
                <w:szCs w:val="17"/>
                <w:color w:val="auto"/>
              </w:rPr>
              <w:t>Lance C. Melber (Member of Nominating and Compensation Committees)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1240" w:type="dxa"/>
            <w:vAlign w:val="bottom"/>
          </w:tcPr>
          <w:p>
            <w:pPr>
              <w:spacing w:after="0"/>
              <w:rPr>
                <w:sz w:val="24"/>
                <w:szCs w:val="24"/>
                <w:color w:val="auto"/>
              </w:rPr>
            </w:pPr>
          </w:p>
        </w:tc>
        <w:tc>
          <w:tcPr>
            <w:tcW w:w="7800" w:type="dxa"/>
            <w:vAlign w:val="bottom"/>
            <w:gridSpan w:val="2"/>
          </w:tcPr>
          <w:p>
            <w:pPr>
              <w:spacing w:after="0"/>
              <w:rPr>
                <w:sz w:val="24"/>
                <w:szCs w:val="24"/>
                <w:color w:val="auto"/>
              </w:rPr>
            </w:pPr>
          </w:p>
        </w:tc>
        <w:tc>
          <w:tcPr>
            <w:tcW w:w="82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Date signed</w:t>
            </w:r>
          </w:p>
        </w:tc>
        <w:tc>
          <w:tcPr>
            <w:tcW w:w="9360" w:type="dxa"/>
            <w:vAlign w:val="bottom"/>
            <w:gridSpan w:val="7"/>
          </w:tcPr>
          <w:p>
            <w:pPr>
              <w:ind w:left="440"/>
              <w:spacing w:after="0"/>
              <w:rPr>
                <w:sz w:val="20"/>
                <w:szCs w:val="20"/>
                <w:color w:val="auto"/>
              </w:rPr>
            </w:pPr>
            <w:r>
              <w:rPr>
                <w:rFonts w:ascii="Times New Roman" w:cs="Times New Roman" w:eastAsia="Times New Roman" w:hAnsi="Times New Roman"/>
                <w:sz w:val="17"/>
                <w:szCs w:val="17"/>
                <w:color w:val="auto"/>
              </w:rPr>
              <w:t>Steven Ozonian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R. Lebda, certify that:</w:t>
      </w:r>
    </w:p>
    <w:p>
      <w:pPr>
        <w:spacing w:after="0" w:line="156" w:lineRule="exact"/>
        <w:rPr>
          <w:sz w:val="20"/>
          <w:szCs w:val="20"/>
          <w:color w:val="auto"/>
        </w:rPr>
      </w:pPr>
    </w:p>
    <w:p>
      <w:pPr>
        <w:ind w:left="300" w:hanging="300"/>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ended March 31, 2015 of Tree.com, Inc.;</w:t>
      </w:r>
    </w:p>
    <w:p>
      <w:pPr>
        <w:spacing w:after="0" w:line="155" w:lineRule="exact"/>
        <w:rPr>
          <w:rFonts w:ascii="Times New Roman" w:cs="Times New Roman" w:eastAsia="Times New Roman" w:hAnsi="Times New Roman"/>
          <w:sz w:val="17"/>
          <w:szCs w:val="17"/>
          <w:color w:val="auto"/>
        </w:rPr>
      </w:pPr>
    </w:p>
    <w:p>
      <w:pPr>
        <w:ind w:left="300" w:right="20" w:hanging="300"/>
        <w:spacing w:after="0" w:line="272"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7"/>
          <w:szCs w:val="17"/>
          <w:color w:val="auto"/>
        </w:rPr>
      </w:pPr>
    </w:p>
    <w:p>
      <w:pPr>
        <w:ind w:left="300" w:right="20" w:hanging="300"/>
        <w:spacing w:after="0" w:line="272"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ind w:left="300" w:right="140" w:hanging="300"/>
        <w:spacing w:after="0" w:line="304" w:lineRule="auto"/>
        <w:tabs>
          <w:tab w:leader="none" w:pos="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Times New Roman" w:cs="Times New Roman" w:eastAsia="Times New Roman" w:hAnsi="Times New Roman"/>
          <w:sz w:val="16"/>
          <w:szCs w:val="16"/>
          <w:color w:val="auto"/>
        </w:rPr>
      </w:pPr>
    </w:p>
    <w:p>
      <w:pPr>
        <w:ind w:left="600" w:right="80" w:hanging="299"/>
        <w:spacing w:after="0" w:line="259"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Times New Roman" w:cs="Times New Roman" w:eastAsia="Times New Roman" w:hAnsi="Times New Roman"/>
          <w:sz w:val="17"/>
          <w:szCs w:val="17"/>
          <w:color w:val="auto"/>
        </w:rPr>
      </w:pPr>
    </w:p>
    <w:p>
      <w:pPr>
        <w:ind w:left="600" w:right="20" w:hanging="299"/>
        <w:spacing w:after="0" w:line="259"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Times New Roman" w:cs="Times New Roman" w:eastAsia="Times New Roman" w:hAnsi="Times New Roman"/>
          <w:sz w:val="17"/>
          <w:szCs w:val="17"/>
          <w:color w:val="auto"/>
        </w:rPr>
      </w:pPr>
    </w:p>
    <w:p>
      <w:pPr>
        <w:ind w:left="600" w:right="460" w:hanging="299"/>
        <w:spacing w:after="0" w:line="272"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ind w:left="600" w:right="100" w:hanging="299"/>
        <w:spacing w:after="0" w:line="259"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7"/>
          <w:szCs w:val="17"/>
          <w:color w:val="auto"/>
        </w:rPr>
      </w:pPr>
    </w:p>
    <w:p>
      <w:pPr>
        <w:ind w:left="300" w:right="320" w:hanging="300"/>
        <w:spacing w:after="0" w:line="272"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7"/>
          <w:szCs w:val="17"/>
          <w:color w:val="auto"/>
        </w:rPr>
      </w:pPr>
    </w:p>
    <w:p>
      <w:pPr>
        <w:ind w:left="600" w:right="640" w:hanging="299"/>
        <w:spacing w:after="0" w:line="272"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2015</w:t>
      </w:r>
    </w:p>
    <w:p>
      <w:pPr>
        <w:spacing w:after="0" w:line="2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29845</wp:posOffset>
            </wp:positionV>
            <wp:extent cx="3910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965" cy="8255"/>
                    </a:xfrm>
                    <a:prstGeom prst="rect">
                      <a:avLst/>
                    </a:prstGeom>
                    <a:noFill/>
                  </pic:spPr>
                </pic:pic>
              </a:graphicData>
            </a:graphic>
          </wp:anchor>
        </w:drawing>
      </w:r>
    </w:p>
    <w:p>
      <w:pPr>
        <w:spacing w:after="0" w:line="48"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Douglas R. Lebda</w:t>
      </w:r>
    </w:p>
    <w:p>
      <w:pPr>
        <w:spacing w:after="0" w:line="5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420"/>
          </w:cols>
          <w:pgMar w:left="240" w:top="621"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Alexander Mandel, certify that:</w:t>
      </w:r>
    </w:p>
    <w:p>
      <w:pPr>
        <w:spacing w:after="0" w:line="156" w:lineRule="exact"/>
        <w:rPr>
          <w:sz w:val="20"/>
          <w:szCs w:val="20"/>
          <w:color w:val="auto"/>
        </w:rPr>
      </w:pPr>
    </w:p>
    <w:p>
      <w:pPr>
        <w:ind w:left="300" w:hanging="300"/>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ended March 31, 2015 of Tree.com, Inc.;</w:t>
      </w:r>
    </w:p>
    <w:p>
      <w:pPr>
        <w:spacing w:after="0" w:line="155" w:lineRule="exact"/>
        <w:rPr>
          <w:rFonts w:ascii="Times New Roman" w:cs="Times New Roman" w:eastAsia="Times New Roman" w:hAnsi="Times New Roman"/>
          <w:sz w:val="17"/>
          <w:szCs w:val="17"/>
          <w:color w:val="auto"/>
        </w:rPr>
      </w:pPr>
    </w:p>
    <w:p>
      <w:pPr>
        <w:ind w:left="300" w:right="20" w:hanging="300"/>
        <w:spacing w:after="0" w:line="272"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7"/>
          <w:szCs w:val="17"/>
          <w:color w:val="auto"/>
        </w:rPr>
      </w:pPr>
    </w:p>
    <w:p>
      <w:pPr>
        <w:ind w:left="300" w:right="20" w:hanging="300"/>
        <w:spacing w:after="0" w:line="272"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ind w:left="300" w:right="140" w:hanging="300"/>
        <w:spacing w:after="0" w:line="304" w:lineRule="auto"/>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Times New Roman" w:cs="Times New Roman" w:eastAsia="Times New Roman" w:hAnsi="Times New Roman"/>
          <w:sz w:val="16"/>
          <w:szCs w:val="16"/>
          <w:color w:val="auto"/>
        </w:rPr>
      </w:pPr>
    </w:p>
    <w:p>
      <w:pPr>
        <w:ind w:left="600" w:right="80" w:hanging="299"/>
        <w:spacing w:after="0" w:line="259"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Times New Roman" w:cs="Times New Roman" w:eastAsia="Times New Roman" w:hAnsi="Times New Roman"/>
          <w:sz w:val="17"/>
          <w:szCs w:val="17"/>
          <w:color w:val="auto"/>
        </w:rPr>
      </w:pPr>
    </w:p>
    <w:p>
      <w:pPr>
        <w:ind w:left="600" w:right="20" w:hanging="299"/>
        <w:spacing w:after="0" w:line="259"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Times New Roman" w:cs="Times New Roman" w:eastAsia="Times New Roman" w:hAnsi="Times New Roman"/>
          <w:sz w:val="17"/>
          <w:szCs w:val="17"/>
          <w:color w:val="auto"/>
        </w:rPr>
      </w:pPr>
    </w:p>
    <w:p>
      <w:pPr>
        <w:ind w:left="600" w:right="460" w:hanging="299"/>
        <w:spacing w:after="0" w:line="272"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ind w:left="600" w:right="100" w:hanging="299"/>
        <w:spacing w:after="0" w:line="259"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7"/>
          <w:szCs w:val="17"/>
          <w:color w:val="auto"/>
        </w:rPr>
      </w:pPr>
    </w:p>
    <w:p>
      <w:pPr>
        <w:ind w:left="300" w:right="320" w:hanging="300"/>
        <w:spacing w:after="0" w:line="272"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7"/>
          <w:szCs w:val="17"/>
          <w:color w:val="auto"/>
        </w:rPr>
      </w:pPr>
    </w:p>
    <w:p>
      <w:pPr>
        <w:ind w:left="600" w:right="640" w:hanging="299"/>
        <w:spacing w:after="0" w:line="272"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2015</w:t>
      </w:r>
    </w:p>
    <w:p>
      <w:pPr>
        <w:spacing w:after="0" w:line="2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29845</wp:posOffset>
            </wp:positionV>
            <wp:extent cx="3910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965" cy="8255"/>
                    </a:xfrm>
                    <a:prstGeom prst="rect">
                      <a:avLst/>
                    </a:prstGeom>
                    <a:noFill/>
                  </pic:spPr>
                </pic:pic>
              </a:graphicData>
            </a:graphic>
          </wp:anchor>
        </w:drawing>
      </w:r>
    </w:p>
    <w:p>
      <w:pPr>
        <w:spacing w:after="0" w:line="48"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Alexander Mandel</w:t>
      </w:r>
    </w:p>
    <w:p>
      <w:pPr>
        <w:spacing w:after="0" w:line="5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420"/>
          </w:cols>
          <w:pgMar w:left="240" w:top="621"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R. Lebda, certify, pursuant to 18 U.S.C. Section 1350, as adopted pursuant to Section 906 of the Sarbanes-Oxley Act of 2002, that to my knowledge:</w:t>
      </w:r>
    </w:p>
    <w:p>
      <w:pPr>
        <w:spacing w:after="0" w:line="156" w:lineRule="exact"/>
        <w:rPr>
          <w:sz w:val="20"/>
          <w:szCs w:val="20"/>
          <w:color w:val="auto"/>
        </w:rPr>
      </w:pPr>
    </w:p>
    <w:p>
      <w:pPr>
        <w:ind w:left="300" w:right="280" w:hanging="300"/>
        <w:spacing w:after="0" w:line="272"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March 31, 2015 of Tree.com, Inc. (the “Report”) which this statement accompanies fully complies with the requirements of Section 13(a) or 15(d) of the Securities Exchange Act of 1934 (15 U.S.C. 78m or 78o(d)); and</w:t>
      </w:r>
    </w:p>
    <w:p>
      <w:pPr>
        <w:spacing w:after="0" w:line="108"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Tree.com,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2015</w:t>
      </w:r>
    </w:p>
    <w:p>
      <w:pPr>
        <w:spacing w:after="0" w:line="2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29845</wp:posOffset>
            </wp:positionV>
            <wp:extent cx="3910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0965" cy="8255"/>
                    </a:xfrm>
                    <a:prstGeom prst="rect">
                      <a:avLst/>
                    </a:prstGeom>
                    <a:noFill/>
                  </pic:spPr>
                </pic:pic>
              </a:graphicData>
            </a:graphic>
          </wp:anchor>
        </w:drawing>
      </w:r>
    </w:p>
    <w:p>
      <w:pPr>
        <w:spacing w:after="0" w:line="48"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Douglas R. Lebda</w:t>
      </w:r>
    </w:p>
    <w:p>
      <w:pPr>
        <w:spacing w:after="0" w:line="5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420"/>
          </w:cols>
          <w:pgMar w:left="240" w:top="621"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Alexander Mandel, certify, pursuant to 18 U.S.C. Section 1350, as adopted pursuant to Section 906 of the Sarbanes-Oxley Act of 2002, that to my knowledge:</w:t>
      </w:r>
    </w:p>
    <w:p>
      <w:pPr>
        <w:spacing w:after="0" w:line="156" w:lineRule="exact"/>
        <w:rPr>
          <w:sz w:val="20"/>
          <w:szCs w:val="20"/>
          <w:color w:val="auto"/>
        </w:rPr>
      </w:pPr>
    </w:p>
    <w:p>
      <w:pPr>
        <w:ind w:left="300" w:right="280" w:hanging="300"/>
        <w:spacing w:after="0" w:line="272"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March 31, 2015 of Tree.com, Inc. (the “Report”) which this statement accompanies fully complies with the requirements of Section 13(a) or 15(d) of the Securities Exchange Act of 1934 (15 U.S.C. 78m or 78o(d)); and</w:t>
      </w:r>
    </w:p>
    <w:p>
      <w:pPr>
        <w:spacing w:after="0" w:line="108"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Tree.com,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2015</w:t>
      </w:r>
    </w:p>
    <w:p>
      <w:pPr>
        <w:spacing w:after="0" w:line="2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29845</wp:posOffset>
            </wp:positionV>
            <wp:extent cx="3910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965" cy="8255"/>
                    </a:xfrm>
                    <a:prstGeom prst="rect">
                      <a:avLst/>
                    </a:prstGeom>
                    <a:noFill/>
                  </pic:spPr>
                </pic:pic>
              </a:graphicData>
            </a:graphic>
          </wp:anchor>
        </w:drawing>
      </w:r>
    </w:p>
    <w:p>
      <w:pPr>
        <w:spacing w:after="0" w:line="48"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color w:val="auto"/>
        </w:rPr>
        <w:t>Alexander Mandel</w:t>
      </w:r>
    </w:p>
    <w:p>
      <w:pPr>
        <w:spacing w:after="0" w:line="5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2019-12-29T17:01:30Z</dcterms:created>
  <dcterms:modified xsi:type="dcterms:W3CDTF">2019-12-29T17:01:30Z</dcterms:modified>
</cp:coreProperties>
</file>