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169545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5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183515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left="3940" w:right="1160" w:hanging="3561"/>
        <w:spacing w:after="0" w:line="266" w:lineRule="auto"/>
        <w:tabs>
          <w:tab w:leader="none" w:pos="9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7"/>
          <w:szCs w:val="17"/>
          <w:b w:val="1"/>
          <w:bCs w:val="1"/>
          <w:color w:val="auto"/>
        </w:rPr>
        <w:t>For the Quarterly Period Ended June 30, 2020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55" w:lineRule="exact"/>
        <w:rPr>
          <w:sz w:val="24"/>
          <w:szCs w:val="24"/>
          <w:color w:val="auto"/>
        </w:rPr>
      </w:pPr>
    </w:p>
    <w:p>
      <w:pPr>
        <w:ind w:left="940" w:hanging="561"/>
        <w:spacing w:after="0"/>
        <w:tabs>
          <w:tab w:leader="none" w:pos="9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104140</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335280</wp:posOffset>
            </wp:positionV>
            <wp:extent cx="10801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1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2080" w:type="dxa"/>
            <w:vAlign w:val="bottom"/>
            <w:gridSpan w:val="3"/>
          </w:tcPr>
          <w:p>
            <w:pPr>
              <w:ind w:left="1100"/>
              <w:spacing w:after="0"/>
              <w:rPr>
                <w:sz w:val="20"/>
                <w:szCs w:val="20"/>
                <w:color w:val="auto"/>
              </w:rPr>
            </w:pPr>
            <w:r>
              <w:rPr>
                <w:rFonts w:ascii="Arial" w:cs="Arial" w:eastAsia="Arial" w:hAnsi="Arial"/>
                <w:sz w:val="16"/>
                <w:szCs w:val="16"/>
                <w:b w:val="1"/>
                <w:bCs w:val="1"/>
                <w:color w:val="auto"/>
              </w:rPr>
              <w:t>Delaware</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0" w:type="dxa"/>
            <w:vAlign w:val="bottom"/>
            <w:gridSpan w:val="3"/>
          </w:tcPr>
          <w:p>
            <w:pPr>
              <w:jc w:val="right"/>
              <w:ind w:right="1620"/>
              <w:spacing w:after="0"/>
              <w:rPr>
                <w:sz w:val="20"/>
                <w:szCs w:val="20"/>
                <w:color w:val="auto"/>
              </w:rPr>
            </w:pPr>
            <w:r>
              <w:rPr>
                <w:rFonts w:ascii="Arial" w:cs="Arial" w:eastAsia="Arial" w:hAnsi="Arial"/>
                <w:sz w:val="16"/>
                <w:szCs w:val="16"/>
                <w:b w:val="1"/>
                <w:bCs w:val="1"/>
                <w:color w:val="auto"/>
              </w:rPr>
              <w:t>26-2414818</w:t>
            </w:r>
          </w:p>
        </w:tc>
      </w:tr>
      <w:tr>
        <w:trPr>
          <w:trHeight w:val="270"/>
        </w:trPr>
        <w:tc>
          <w:tcPr>
            <w:tcW w:w="7420" w:type="dxa"/>
            <w:vAlign w:val="bottom"/>
            <w:gridSpan w:val="7"/>
          </w:tcPr>
          <w:p>
            <w:pPr>
              <w:ind w:left="820"/>
              <w:spacing w:after="0"/>
              <w:rPr>
                <w:sz w:val="20"/>
                <w:szCs w:val="20"/>
                <w:color w:val="auto"/>
              </w:rPr>
            </w:pPr>
            <w:r>
              <w:rPr>
                <w:rFonts w:ascii="Arial" w:cs="Arial" w:eastAsia="Arial" w:hAnsi="Arial"/>
                <w:sz w:val="16"/>
                <w:szCs w:val="16"/>
                <w:color w:val="auto"/>
              </w:rPr>
              <w:t>(State or other jurisdiction of incorporation or organization)</w:t>
            </w:r>
          </w:p>
        </w:tc>
        <w:tc>
          <w:tcPr>
            <w:tcW w:w="3200" w:type="dxa"/>
            <w:vAlign w:val="bottom"/>
            <w:gridSpan w:val="3"/>
          </w:tcPr>
          <w:p>
            <w:pPr>
              <w:jc w:val="center"/>
              <w:ind w:right="840"/>
              <w:spacing w:after="0"/>
              <w:rPr>
                <w:sz w:val="20"/>
                <w:szCs w:val="20"/>
                <w:color w:val="auto"/>
              </w:rPr>
            </w:pPr>
            <w:r>
              <w:rPr>
                <w:rFonts w:ascii="Arial" w:cs="Arial" w:eastAsia="Arial" w:hAnsi="Arial"/>
                <w:sz w:val="16"/>
                <w:szCs w:val="16"/>
                <w:color w:val="auto"/>
                <w:w w:val="95"/>
              </w:rPr>
              <w:t>(I.R.S. Employer Identification No.)</w:t>
            </w:r>
          </w:p>
        </w:tc>
      </w:tr>
      <w:tr>
        <w:trPr>
          <w:trHeight w:val="339"/>
        </w:trPr>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80" w:type="dxa"/>
            <w:vAlign w:val="bottom"/>
            <w:gridSpan w:val="6"/>
          </w:tcPr>
          <w:p>
            <w:pPr>
              <w:ind w:left="40"/>
              <w:spacing w:after="0"/>
              <w:rPr>
                <w:sz w:val="20"/>
                <w:szCs w:val="20"/>
                <w:color w:val="auto"/>
              </w:rPr>
            </w:pPr>
            <w:r>
              <w:rPr>
                <w:rFonts w:ascii="Arial" w:cs="Arial" w:eastAsia="Arial" w:hAnsi="Arial"/>
                <w:sz w:val="18"/>
                <w:szCs w:val="18"/>
                <w:b w:val="1"/>
                <w:bCs w:val="1"/>
                <w:color w:val="auto"/>
              </w:rPr>
              <w:t>11115 Rushmore Drive, Charlotte, North Carolina 28277</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80" w:type="dxa"/>
            <w:vAlign w:val="bottom"/>
            <w:gridSpan w:val="3"/>
          </w:tcPr>
          <w:p>
            <w:pPr>
              <w:jc w:val="center"/>
              <w:ind w:left="312"/>
              <w:spacing w:after="0"/>
              <w:rPr>
                <w:sz w:val="20"/>
                <w:szCs w:val="20"/>
                <w:color w:val="auto"/>
              </w:rPr>
            </w:pPr>
            <w:r>
              <w:rPr>
                <w:rFonts w:ascii="Arial" w:cs="Arial" w:eastAsia="Arial" w:hAnsi="Arial"/>
                <w:sz w:val="17"/>
                <w:szCs w:val="17"/>
                <w:color w:val="auto"/>
                <w:w w:val="93"/>
              </w:rPr>
              <w:t>(Address of principal executive offices)(Zip Code)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0"/>
        </w:trPr>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80" w:type="dxa"/>
            <w:vAlign w:val="bottom"/>
            <w:gridSpan w:val="3"/>
          </w:tcPr>
          <w:p>
            <w:pPr>
              <w:jc w:val="center"/>
              <w:ind w:left="292"/>
              <w:spacing w:after="0"/>
              <w:rPr>
                <w:sz w:val="20"/>
                <w:szCs w:val="20"/>
                <w:color w:val="auto"/>
              </w:rPr>
            </w:pPr>
            <w:r>
              <w:rPr>
                <w:rFonts w:ascii="Arial" w:cs="Arial" w:eastAsia="Arial" w:hAnsi="Arial"/>
                <w:sz w:val="18"/>
                <w:szCs w:val="18"/>
                <w:b w:val="1"/>
                <w:bCs w:val="1"/>
                <w:color w:val="auto"/>
                <w:w w:val="90"/>
              </w:rPr>
              <w:t>(704) 541-5351</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80" w:type="dxa"/>
            <w:vAlign w:val="bottom"/>
            <w:gridSpan w:val="3"/>
          </w:tcPr>
          <w:p>
            <w:pPr>
              <w:jc w:val="center"/>
              <w:ind w:left="292"/>
              <w:spacing w:after="0"/>
              <w:rPr>
                <w:sz w:val="20"/>
                <w:szCs w:val="20"/>
                <w:color w:val="auto"/>
              </w:rPr>
            </w:pPr>
            <w:r>
              <w:rPr>
                <w:rFonts w:ascii="Arial" w:cs="Arial" w:eastAsia="Arial" w:hAnsi="Arial"/>
                <w:sz w:val="17"/>
                <w:szCs w:val="17"/>
                <w:color w:val="auto"/>
                <w:w w:val="90"/>
              </w:rPr>
              <w:t>(Registrant's telephone number, including area code)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46"/>
        </w:trPr>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Borders>
              <w:bottom w:val="single" w:sz="8" w:color="auto"/>
            </w:tcBorders>
            <w:gridSpan w:val="2"/>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40" w:type="dxa"/>
            <w:vAlign w:val="bottom"/>
          </w:tcPr>
          <w:p>
            <w:pPr>
              <w:spacing w:after="0"/>
              <w:rPr>
                <w:sz w:val="12"/>
                <w:szCs w:val="12"/>
                <w:color w:val="auto"/>
              </w:rPr>
            </w:pPr>
          </w:p>
        </w:tc>
      </w:tr>
      <w:tr>
        <w:trPr>
          <w:trHeight w:val="320"/>
        </w:trPr>
        <w:tc>
          <w:tcPr>
            <w:tcW w:w="7420" w:type="dxa"/>
            <w:vAlign w:val="bottom"/>
            <w:gridSpan w:val="7"/>
          </w:tcPr>
          <w:p>
            <w:pPr>
              <w:jc w:val="center"/>
              <w:ind w:right="348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8"/>
        </w:trPr>
        <w:tc>
          <w:tcPr>
            <w:tcW w:w="13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Title of each class</w:t>
            </w:r>
          </w:p>
        </w:tc>
        <w:tc>
          <w:tcPr>
            <w:tcW w:w="84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2600" w:type="dxa"/>
            <w:vAlign w:val="bottom"/>
            <w:gridSpan w:val="2"/>
          </w:tcPr>
          <w:p>
            <w:pPr>
              <w:jc w:val="center"/>
              <w:ind w:right="1320"/>
              <w:spacing w:after="0"/>
              <w:rPr>
                <w:sz w:val="20"/>
                <w:szCs w:val="20"/>
                <w:color w:val="auto"/>
              </w:rPr>
            </w:pPr>
            <w:r>
              <w:rPr>
                <w:rFonts w:ascii="Arial" w:cs="Arial" w:eastAsia="Arial" w:hAnsi="Arial"/>
                <w:sz w:val="17"/>
                <w:szCs w:val="17"/>
                <w:color w:val="auto"/>
                <w:w w:val="92"/>
              </w:rPr>
              <w:t>Trading Symbol(s)</w:t>
            </w:r>
          </w:p>
        </w:tc>
        <w:tc>
          <w:tcPr>
            <w:tcW w:w="180" w:type="dxa"/>
            <w:vAlign w:val="bottom"/>
          </w:tcPr>
          <w:p>
            <w:pPr>
              <w:spacing w:after="0"/>
              <w:rPr>
                <w:sz w:val="24"/>
                <w:szCs w:val="24"/>
                <w:color w:val="auto"/>
              </w:rPr>
            </w:pPr>
          </w:p>
        </w:tc>
        <w:tc>
          <w:tcPr>
            <w:tcW w:w="3020" w:type="dxa"/>
            <w:vAlign w:val="bottom"/>
            <w:gridSpan w:val="2"/>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273"/>
        </w:trPr>
        <w:tc>
          <w:tcPr>
            <w:tcW w:w="3440" w:type="dxa"/>
            <w:vAlign w:val="bottom"/>
            <w:gridSpan w:val="4"/>
          </w:tcPr>
          <w:p>
            <w:pPr>
              <w:jc w:val="center"/>
              <w:ind w:left="436"/>
              <w:spacing w:after="0"/>
              <w:rPr>
                <w:sz w:val="20"/>
                <w:szCs w:val="20"/>
                <w:color w:val="auto"/>
              </w:rPr>
            </w:pPr>
            <w:r>
              <w:rPr>
                <w:rFonts w:ascii="Arial" w:cs="Arial" w:eastAsia="Arial" w:hAnsi="Arial"/>
                <w:sz w:val="17"/>
                <w:szCs w:val="17"/>
                <w:color w:val="auto"/>
                <w:w w:val="90"/>
              </w:rPr>
              <w:t>Common Stock, $0.01 par value per share</w:t>
            </w:r>
          </w:p>
        </w:tc>
        <w:tc>
          <w:tcPr>
            <w:tcW w:w="1380" w:type="dxa"/>
            <w:vAlign w:val="bottom"/>
          </w:tcPr>
          <w:p>
            <w:pPr>
              <w:spacing w:after="0"/>
              <w:rPr>
                <w:sz w:val="23"/>
                <w:szCs w:val="23"/>
                <w:color w:val="auto"/>
              </w:rPr>
            </w:pPr>
          </w:p>
        </w:tc>
        <w:tc>
          <w:tcPr>
            <w:tcW w:w="2600" w:type="dxa"/>
            <w:vAlign w:val="bottom"/>
            <w:gridSpan w:val="2"/>
          </w:tcPr>
          <w:p>
            <w:pPr>
              <w:jc w:val="center"/>
              <w:ind w:right="1320"/>
              <w:spacing w:after="0"/>
              <w:rPr>
                <w:sz w:val="20"/>
                <w:szCs w:val="20"/>
                <w:color w:val="auto"/>
              </w:rPr>
            </w:pPr>
            <w:r>
              <w:rPr>
                <w:rFonts w:ascii="Arial" w:cs="Arial" w:eastAsia="Arial" w:hAnsi="Arial"/>
                <w:sz w:val="17"/>
                <w:szCs w:val="17"/>
                <w:color w:val="auto"/>
                <w:w w:val="96"/>
              </w:rPr>
              <w:t>TREE</w:t>
            </w:r>
          </w:p>
        </w:tc>
        <w:tc>
          <w:tcPr>
            <w:tcW w:w="180" w:type="dxa"/>
            <w:vAlign w:val="bottom"/>
          </w:tcPr>
          <w:p>
            <w:pPr>
              <w:spacing w:after="0"/>
              <w:rPr>
                <w:sz w:val="23"/>
                <w:szCs w:val="23"/>
                <w:color w:val="auto"/>
              </w:rPr>
            </w:pPr>
          </w:p>
        </w:tc>
        <w:tc>
          <w:tcPr>
            <w:tcW w:w="302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94"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960" w:type="dxa"/>
        <w:tblCellMar>
          <w:top w:w="0" w:type="dxa"/>
          <w:left w:w="0" w:type="dxa"/>
          <w:bottom w:w="0" w:type="dxa"/>
          <w:right w:w="0" w:type="dxa"/>
        </w:tblCellMar>
      </w:tblPr>
      <w:tr>
        <w:trPr>
          <w:trHeight w:val="269"/>
        </w:trPr>
        <w:tc>
          <w:tcPr>
            <w:tcW w:w="2020" w:type="dxa"/>
            <w:vAlign w:val="bottom"/>
          </w:tcPr>
          <w:p>
            <w:pPr>
              <w:jc w:val="center"/>
              <w:ind w:right="415"/>
              <w:spacing w:after="0"/>
              <w:rPr>
                <w:sz w:val="20"/>
                <w:szCs w:val="20"/>
                <w:color w:val="auto"/>
              </w:rPr>
            </w:pPr>
            <w:r>
              <w:rPr>
                <w:rFonts w:ascii="Arial" w:cs="Arial" w:eastAsia="Arial" w:hAnsi="Arial"/>
                <w:sz w:val="17"/>
                <w:szCs w:val="17"/>
                <w:color w:val="auto"/>
                <w:w w:val="90"/>
              </w:rPr>
              <w:t>Large accelerated filer</w:t>
            </w:r>
          </w:p>
        </w:tc>
        <w:tc>
          <w:tcPr>
            <w:tcW w:w="13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660"/>
              <w:spacing w:after="0"/>
              <w:rPr>
                <w:sz w:val="20"/>
                <w:szCs w:val="20"/>
                <w:color w:val="auto"/>
              </w:rPr>
            </w:pPr>
            <w:r>
              <w:rPr>
                <w:rFonts w:ascii="Arial" w:cs="Arial" w:eastAsia="Arial" w:hAnsi="Arial"/>
                <w:sz w:val="17"/>
                <w:szCs w:val="17"/>
                <w:color w:val="auto"/>
              </w:rPr>
              <w:t>Accelerated filer</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020" w:type="dxa"/>
            <w:vAlign w:val="bottom"/>
          </w:tcPr>
          <w:p>
            <w:pPr>
              <w:jc w:val="center"/>
              <w:ind w:right="395"/>
              <w:spacing w:after="0"/>
              <w:rPr>
                <w:sz w:val="20"/>
                <w:szCs w:val="20"/>
                <w:color w:val="auto"/>
              </w:rPr>
            </w:pPr>
            <w:r>
              <w:rPr>
                <w:rFonts w:ascii="Arial" w:cs="Arial" w:eastAsia="Arial" w:hAnsi="Arial"/>
                <w:sz w:val="17"/>
                <w:szCs w:val="17"/>
                <w:color w:val="auto"/>
                <w:w w:val="93"/>
              </w:rPr>
              <w:t>Non-accelerated filer</w:t>
            </w:r>
          </w:p>
        </w:tc>
        <w:tc>
          <w:tcPr>
            <w:tcW w:w="13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660"/>
              <w:spacing w:after="0"/>
              <w:rPr>
                <w:sz w:val="20"/>
                <w:szCs w:val="20"/>
                <w:color w:val="auto"/>
              </w:rPr>
            </w:pPr>
            <w:r>
              <w:rPr>
                <w:rFonts w:ascii="Arial" w:cs="Arial" w:eastAsia="Arial" w:hAnsi="Arial"/>
                <w:sz w:val="17"/>
                <w:szCs w:val="17"/>
                <w:color w:val="auto"/>
              </w:rPr>
              <w:t>Smaller reporting company</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0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80" w:type="dxa"/>
            <w:vAlign w:val="bottom"/>
          </w:tcPr>
          <w:p>
            <w:pPr>
              <w:ind w:left="660"/>
              <w:spacing w:after="0"/>
              <w:rPr>
                <w:sz w:val="20"/>
                <w:szCs w:val="20"/>
                <w:color w:val="auto"/>
              </w:rPr>
            </w:pPr>
            <w:r>
              <w:rPr>
                <w:rFonts w:ascii="Arial" w:cs="Arial" w:eastAsia="Arial" w:hAnsi="Arial"/>
                <w:sz w:val="17"/>
                <w:szCs w:val="17"/>
                <w:color w:val="auto"/>
              </w:rPr>
              <w:t>Emerging growth company</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4" w:lineRule="exact"/>
        <w:rPr>
          <w:sz w:val="24"/>
          <w:szCs w:val="24"/>
          <w:color w:val="auto"/>
        </w:rPr>
      </w:pPr>
    </w:p>
    <w:p>
      <w:pPr>
        <w:ind w:right="20"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29, 2020, there were 13,115,157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29"/>
        </w:trPr>
        <w:tc>
          <w:tcPr>
            <w:tcW w:w="1060" w:type="dxa"/>
            <w:vAlign w:val="bottom"/>
            <w:vMerge w:val="restart"/>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w:t>
              </w:r>
            </w:hyperlink>
          </w:p>
        </w:tc>
        <w:tc>
          <w:tcPr>
            <w:tcW w:w="9120" w:type="dxa"/>
            <w:vAlign w:val="bottom"/>
          </w:tcPr>
          <w:p>
            <w:pPr>
              <w:jc w:val="center"/>
              <w:ind w:right="1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I—FINANCIAL INFORMATION</w:t>
              </w:r>
            </w:hyperlink>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60" w:type="dxa"/>
            <w:vAlign w:val="bottom"/>
            <w:vMerge w:val="continue"/>
          </w:tcPr>
          <w:p>
            <w:pPr>
              <w:spacing w:after="0"/>
              <w:rPr>
                <w:sz w:val="23"/>
                <w:szCs w:val="23"/>
                <w:color w:val="auto"/>
              </w:rPr>
            </w:pPr>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3">
              <w:r>
                <w:rPr>
                  <w:rFonts w:ascii="Arial" w:cs="Arial" w:eastAsia="Arial" w:hAnsi="Arial"/>
                  <w:sz w:val="18"/>
                  <w:szCs w:val="18"/>
                  <w:b w:val="1"/>
                  <w:bCs w:val="1"/>
                  <w:i w:val="1"/>
                  <w:iCs w:val="1"/>
                  <w:u w:val="single" w:color="auto"/>
                  <w:color w:val="0000FF"/>
                </w:rPr>
                <w:t>Financial Statements</w:t>
              </w:r>
            </w:hyperlink>
          </w:p>
        </w:tc>
        <w:tc>
          <w:tcPr>
            <w:tcW w:w="10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2.</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EE"/>
              </w:rPr>
            </w:pPr>
            <w:hyperlink w:anchor="page32">
              <w:r>
                <w:rPr>
                  <w:rFonts w:ascii="Arial" w:cs="Arial" w:eastAsia="Arial" w:hAnsi="Arial"/>
                  <w:sz w:val="18"/>
                  <w:szCs w:val="18"/>
                  <w:b w:val="1"/>
                  <w:bCs w:val="1"/>
                  <w:i w:val="1"/>
                  <w:iCs w:val="1"/>
                  <w:u w:val="single" w:color="auto"/>
                  <w:color w:val="0000EE"/>
                </w:rPr>
                <w:t>Management's Discussion and Analysis of Financial Condition and Results of Operations</w:t>
              </w:r>
            </w:hyperlink>
          </w:p>
        </w:tc>
        <w:tc>
          <w:tcPr>
            <w:tcW w:w="10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3">
              <w:r>
                <w:rPr>
                  <w:rFonts w:ascii="Arial" w:cs="Arial" w:eastAsia="Arial" w:hAnsi="Arial"/>
                  <w:sz w:val="18"/>
                  <w:szCs w:val="18"/>
                  <w:b w:val="1"/>
                  <w:bCs w:val="1"/>
                  <w:u w:val="single" w:color="auto"/>
                  <w:color w:val="0000FF"/>
                </w:rPr>
                <w:t>Item 3.</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3">
              <w:r>
                <w:rPr>
                  <w:rFonts w:ascii="Arial" w:cs="Arial" w:eastAsia="Arial" w:hAnsi="Arial"/>
                  <w:sz w:val="18"/>
                  <w:szCs w:val="18"/>
                  <w:b w:val="1"/>
                  <w:bCs w:val="1"/>
                  <w:i w:val="1"/>
                  <w:iCs w:val="1"/>
                  <w:u w:val="single" w:color="auto"/>
                  <w:color w:val="0000FF"/>
                </w:rPr>
                <w:t>Quantitative and Qualitative Disclosures About Market Risk</w:t>
              </w:r>
            </w:hyperlink>
          </w:p>
        </w:tc>
        <w:tc>
          <w:tcPr>
            <w:tcW w:w="10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3">
              <w:r>
                <w:rPr>
                  <w:rFonts w:ascii="Arial" w:cs="Arial" w:eastAsia="Arial" w:hAnsi="Arial"/>
                  <w:sz w:val="18"/>
                  <w:szCs w:val="18"/>
                  <w:b w:val="1"/>
                  <w:bCs w:val="1"/>
                  <w:u w:val="single" w:color="auto"/>
                  <w:color w:val="0000FF"/>
                </w:rPr>
                <w:t>Item 4.</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3">
              <w:r>
                <w:rPr>
                  <w:rFonts w:ascii="Arial" w:cs="Arial" w:eastAsia="Arial" w:hAnsi="Arial"/>
                  <w:sz w:val="18"/>
                  <w:szCs w:val="18"/>
                  <w:b w:val="1"/>
                  <w:bCs w:val="1"/>
                  <w:i w:val="1"/>
                  <w:iCs w:val="1"/>
                  <w:u w:val="single" w:color="auto"/>
                  <w:color w:val="0000FF"/>
                </w:rPr>
                <w:t>Controls and Procedures</w:t>
              </w:r>
            </w:hyperlink>
          </w:p>
        </w:tc>
        <w:tc>
          <w:tcPr>
            <w:tcW w:w="10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540"/>
        </w:trPr>
        <w:tc>
          <w:tcPr>
            <w:tcW w:w="1060" w:type="dxa"/>
            <w:vAlign w:val="bottom"/>
          </w:tcPr>
          <w:p>
            <w:pPr>
              <w:spacing w:after="0"/>
              <w:rPr>
                <w:sz w:val="24"/>
                <w:szCs w:val="24"/>
                <w:color w:val="auto"/>
              </w:rPr>
            </w:pPr>
          </w:p>
        </w:tc>
        <w:tc>
          <w:tcPr>
            <w:tcW w:w="9120" w:type="dxa"/>
            <w:vAlign w:val="bottom"/>
          </w:tcPr>
          <w:p>
            <w:pPr>
              <w:jc w:val="center"/>
              <w:ind w:right="10"/>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PART II—OTHER INFORMATION</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60" w:type="dxa"/>
            <w:vAlign w:val="bottom"/>
          </w:tcPr>
          <w:p>
            <w:pPr>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Item 1.</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5">
              <w:r>
                <w:rPr>
                  <w:rFonts w:ascii="Arial" w:cs="Arial" w:eastAsia="Arial" w:hAnsi="Arial"/>
                  <w:sz w:val="18"/>
                  <w:szCs w:val="18"/>
                  <w:b w:val="1"/>
                  <w:bCs w:val="1"/>
                  <w:i w:val="1"/>
                  <w:iCs w:val="1"/>
                  <w:u w:val="single" w:color="auto"/>
                  <w:color w:val="0000FF"/>
                </w:rPr>
                <w:t>Legal Proceedings</w:t>
              </w:r>
            </w:hyperlink>
          </w:p>
        </w:tc>
        <w:tc>
          <w:tcPr>
            <w:tcW w:w="10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Item 1A.</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5">
              <w:r>
                <w:rPr>
                  <w:rFonts w:ascii="Arial" w:cs="Arial" w:eastAsia="Arial" w:hAnsi="Arial"/>
                  <w:sz w:val="18"/>
                  <w:szCs w:val="18"/>
                  <w:b w:val="1"/>
                  <w:bCs w:val="1"/>
                  <w:i w:val="1"/>
                  <w:iCs w:val="1"/>
                  <w:u w:val="single" w:color="auto"/>
                  <w:color w:val="0000FF"/>
                </w:rPr>
                <w:t>Risk Factors</w:t>
              </w:r>
            </w:hyperlink>
          </w:p>
        </w:tc>
        <w:tc>
          <w:tcPr>
            <w:tcW w:w="10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Item 2.</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5">
              <w:r>
                <w:rPr>
                  <w:rFonts w:ascii="Arial" w:cs="Arial" w:eastAsia="Arial" w:hAnsi="Arial"/>
                  <w:sz w:val="18"/>
                  <w:szCs w:val="18"/>
                  <w:b w:val="1"/>
                  <w:bCs w:val="1"/>
                  <w:i w:val="1"/>
                  <w:iCs w:val="1"/>
                  <w:u w:val="single" w:color="auto"/>
                  <w:color w:val="0000FF"/>
                </w:rPr>
                <w:t>Unregistered Sales of Equity Securities and Use of Proceeds</w:t>
              </w:r>
            </w:hyperlink>
          </w:p>
        </w:tc>
        <w:tc>
          <w:tcPr>
            <w:tcW w:w="10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Item 5.</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6">
              <w:r>
                <w:rPr>
                  <w:rFonts w:ascii="Arial" w:cs="Arial" w:eastAsia="Arial" w:hAnsi="Arial"/>
                  <w:sz w:val="18"/>
                  <w:szCs w:val="18"/>
                  <w:b w:val="1"/>
                  <w:bCs w:val="1"/>
                  <w:i w:val="1"/>
                  <w:iCs w:val="1"/>
                  <w:u w:val="single" w:color="auto"/>
                  <w:color w:val="0000FF"/>
                </w:rPr>
                <w:t>Other Information</w:t>
              </w:r>
            </w:hyperlink>
          </w:p>
        </w:tc>
        <w:tc>
          <w:tcPr>
            <w:tcW w:w="10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Item 6.</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7">
              <w:r>
                <w:rPr>
                  <w:rFonts w:ascii="Arial" w:cs="Arial" w:eastAsia="Arial" w:hAnsi="Arial"/>
                  <w:sz w:val="18"/>
                  <w:szCs w:val="18"/>
                  <w:b w:val="1"/>
                  <w:bCs w:val="1"/>
                  <w:i w:val="1"/>
                  <w:iCs w:val="1"/>
                  <w:u w:val="single" w:color="auto"/>
                  <w:color w:val="0000FF"/>
                </w:rPr>
                <w:t>Exhibits</w:t>
              </w:r>
            </w:hyperlink>
          </w:p>
        </w:tc>
        <w:tc>
          <w:tcPr>
            <w:tcW w:w="10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459"/>
        </w:trPr>
        <w:tc>
          <w:tcPr>
            <w:tcW w:w="1060" w:type="dxa"/>
            <w:vAlign w:val="bottom"/>
          </w:tcPr>
          <w:p>
            <w:pPr>
              <w:spacing w:after="0"/>
              <w:rPr>
                <w:sz w:val="24"/>
                <w:szCs w:val="24"/>
                <w:color w:val="auto"/>
              </w:rPr>
            </w:pPr>
          </w:p>
        </w:tc>
        <w:tc>
          <w:tcPr>
            <w:tcW w:w="9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553"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196"/>
        </w:trPr>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4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184,326</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278,421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467,410</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540,811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 xml:space="preserve">Cost of revenue </w:t>
            </w:r>
            <w:r>
              <w:rPr>
                <w:rFonts w:ascii="Arial" w:cs="Arial" w:eastAsia="Arial" w:hAnsi="Arial"/>
                <w:sz w:val="18"/>
                <w:szCs w:val="18"/>
                <w:i w:val="1"/>
                <w:iCs w:val="1"/>
                <w:color w:val="auto"/>
                <w:w w:val="91"/>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13,464</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27,716</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33,980</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113,921</w:t>
            </w: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191,629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309,459</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366,520</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28,489</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60,571</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59,068</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10,812</w:t>
            </w: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10,175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21,775</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20,341</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3,550</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6,928</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13,756</w:t>
            </w: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27,513</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27,707</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9,175</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1,053</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17,382</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457</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(996)</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6"/>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191,874</w:t>
            </w: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266,105</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454,209</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530,297</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(7,548)</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12,316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13,201</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10,514</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(9,789)</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(10,563)</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(12,496)</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3,419</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3,880</w:t>
            </w: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5,689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6,941</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13,441</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(8,616)</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10,360</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13,531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(21,141)</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(25,716)</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and comprehensive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(29,757)</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(15,356)</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11,706</w:t>
            </w:r>
          </w:p>
        </w:tc>
      </w:tr>
      <w:tr>
        <w:trPr>
          <w:trHeight w:val="270"/>
        </w:trPr>
        <w:tc>
          <w:tcPr>
            <w:tcW w:w="64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12,984</w:t>
            </w: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12,805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12,971</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12,762</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12,984</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13,954</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(Loss) income per share from continuing operations: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0.80</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(0.66)</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0.74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0.93</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(1.98)</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Net (loss) income per share: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0.92</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0.80</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56"/>
        </w:trPr>
        <w:tc>
          <w:tcPr>
            <w:tcW w:w="8660" w:type="dxa"/>
            <w:vAlign w:val="bottom"/>
          </w:tcPr>
          <w:p>
            <w:pPr>
              <w:spacing w:after="0"/>
              <w:rPr>
                <w:sz w:val="13"/>
                <w:szCs w:val="13"/>
                <w:color w:val="auto"/>
              </w:rPr>
            </w:pPr>
          </w:p>
        </w:tc>
        <w:tc>
          <w:tcPr>
            <w:tcW w:w="2580" w:type="dxa"/>
            <w:vAlign w:val="bottom"/>
            <w:gridSpan w:val="4"/>
          </w:tcPr>
          <w:p>
            <w:pPr>
              <w:jc w:val="right"/>
              <w:spacing w:after="0" w:line="156" w:lineRule="exact"/>
              <w:rPr>
                <w:sz w:val="20"/>
                <w:szCs w:val="20"/>
                <w:color w:val="auto"/>
              </w:rPr>
            </w:pPr>
            <w:r>
              <w:rPr>
                <w:rFonts w:ascii="Arial" w:cs="Arial" w:eastAsia="Arial" w:hAnsi="Arial"/>
                <w:sz w:val="14"/>
                <w:szCs w:val="14"/>
                <w:b w:val="1"/>
                <w:bCs w:val="1"/>
                <w:i w:val="1"/>
                <w:iCs w:val="1"/>
                <w:color w:val="auto"/>
                <w:w w:val="90"/>
              </w:rPr>
              <w:t>(in thousands, except par value and share</w:t>
            </w:r>
          </w:p>
        </w:tc>
      </w:tr>
      <w:tr>
        <w:trPr>
          <w:trHeight w:val="188"/>
        </w:trPr>
        <w:tc>
          <w:tcPr>
            <w:tcW w:w="8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3"/>
          </w:tcPr>
          <w:p>
            <w:pPr>
              <w:jc w:val="right"/>
              <w:ind w:right="911"/>
              <w:spacing w:after="0"/>
              <w:rPr>
                <w:sz w:val="20"/>
                <w:szCs w:val="20"/>
                <w:color w:val="auto"/>
              </w:rPr>
            </w:pPr>
            <w:r>
              <w:rPr>
                <w:rFonts w:ascii="Arial" w:cs="Arial" w:eastAsia="Arial" w:hAnsi="Arial"/>
                <w:sz w:val="14"/>
                <w:szCs w:val="14"/>
                <w:b w:val="1"/>
                <w:bCs w:val="1"/>
                <w:i w:val="1"/>
                <w:iCs w:val="1"/>
                <w:color w:val="auto"/>
              </w:rPr>
              <w:t>amounts)</w:t>
            </w: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101,764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60,243</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$1,756 and $1,466, respectively)</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77,037</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113,487</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25,654</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15,516</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8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204,633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189,426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$20,971 and $17,979, respectively)</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34,735</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31,363</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87,892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420,139</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420,139</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154,067</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181,580</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84,160</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87,664</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(Note 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80,000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5,192</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4,330</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16,759</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7,948</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1,087,577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947,969</w:t>
            </w:r>
          </w:p>
        </w:tc>
      </w:tr>
      <w:tr>
        <w:trPr>
          <w:trHeight w:val="34"/>
        </w:trPr>
        <w:tc>
          <w:tcPr>
            <w:tcW w:w="8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0"/>
        </w:trPr>
        <w:tc>
          <w:tcPr>
            <w:tcW w:w="8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8,792</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2,873</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88,569</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112,755</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Current contingent consideration</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19,029</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9,028</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63,006</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31,050</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309,396</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230,706</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271,378</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264,391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86,649</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21,358</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9,488</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4,689</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4,752</w:t>
            </w:r>
          </w:p>
        </w:tc>
      </w:tr>
      <w:tr>
        <w:trPr>
          <w:trHeight w:val="27"/>
        </w:trPr>
        <w:tc>
          <w:tcPr>
            <w:tcW w:w="8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681,600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545,643</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$.01 par value; 50,000,000 shares authorized; 15,730,643 and 15,676,819 shares issued, respectively,</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13,089,325 and 13,035,501 shares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1,196,990</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1,177,984</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(608,009)</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(592,654)</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Treasury stock; 2,641,318 shares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(183,161)</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(183,161)</w:t>
            </w:r>
          </w:p>
        </w:tc>
      </w:tr>
      <w:tr>
        <w:trPr>
          <w:trHeight w:val="27"/>
        </w:trPr>
        <w:tc>
          <w:tcPr>
            <w:tcW w:w="8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405,977</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402,326</w:t>
            </w:r>
          </w:p>
        </w:tc>
      </w:tr>
      <w:tr>
        <w:trPr>
          <w:trHeight w:val="236"/>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1,087,577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947,969</w:t>
            </w:r>
          </w:p>
        </w:tc>
      </w:tr>
      <w:tr>
        <w:trPr>
          <w:trHeight w:val="34"/>
        </w:trPr>
        <w:tc>
          <w:tcPr>
            <w:tcW w:w="8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85"/>
              <w:spacing w:after="0" w:line="139"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18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0"/>
              </w:rPr>
              <w:t>Accumulated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9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3"/>
              </w:rPr>
              <w:t>Deficit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87"/>
              </w:rPr>
              <w:t>(in thousands)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2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2019</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402,326</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15,677</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1,177,984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(592,654)</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14,401</w:t>
            </w:r>
          </w:p>
        </w:tc>
        <w:tc>
          <w:tcPr>
            <w:tcW w:w="104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14,401</w:t>
            </w:r>
          </w:p>
        </w:tc>
        <w:tc>
          <w:tcPr>
            <w:tcW w:w="100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11,917</w:t>
            </w:r>
          </w:p>
        </w:tc>
        <w:tc>
          <w:tcPr>
            <w:tcW w:w="104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11,917</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Pr>
          <w:p>
            <w:pPr>
              <w:spacing w:after="0"/>
              <w:rPr>
                <w:sz w:val="17"/>
                <w:szCs w:val="17"/>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(5,087)</w:t>
            </w:r>
          </w:p>
        </w:tc>
        <w:tc>
          <w:tcPr>
            <w:tcW w:w="1040" w:type="dxa"/>
            <w:vAlign w:val="bottom"/>
          </w:tcPr>
          <w:p>
            <w:pPr>
              <w:jc w:val="right"/>
              <w:ind w:right="65"/>
              <w:spacing w:after="0"/>
              <w:rPr>
                <w:sz w:val="20"/>
                <w:szCs w:val="20"/>
                <w:color w:val="auto"/>
              </w:rPr>
            </w:pPr>
            <w:r>
              <w:rPr>
                <w:rFonts w:ascii="Arial" w:cs="Arial" w:eastAsia="Arial" w:hAnsi="Arial"/>
                <w:sz w:val="15"/>
                <w:szCs w:val="15"/>
                <w:color w:val="auto"/>
              </w:rPr>
              <w:t>27</w:t>
            </w:r>
          </w:p>
        </w:tc>
        <w:tc>
          <w:tcPr>
            <w:tcW w:w="28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(5,087)</w:t>
            </w:r>
          </w:p>
        </w:tc>
        <w:tc>
          <w:tcPr>
            <w:tcW w:w="220" w:type="dxa"/>
            <w:vAlign w:val="bottom"/>
          </w:tcPr>
          <w:p>
            <w:pPr>
              <w:spacing w:after="0"/>
              <w:rPr>
                <w:sz w:val="17"/>
                <w:szCs w:val="17"/>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1</w:t>
            </w: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3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2020</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423,557</w:t>
            </w:r>
          </w:p>
        </w:tc>
        <w:tc>
          <w:tcPr>
            <w:tcW w:w="104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15,704</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1,184,813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(578,252)</w:t>
            </w:r>
          </w:p>
        </w:tc>
        <w:tc>
          <w:tcPr>
            <w:tcW w:w="10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loss and comprehensive loss</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(29,757)</w:t>
            </w:r>
          </w:p>
        </w:tc>
        <w:tc>
          <w:tcPr>
            <w:tcW w:w="104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(29,757)</w:t>
            </w:r>
          </w:p>
        </w:tc>
        <w:tc>
          <w:tcPr>
            <w:tcW w:w="10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13,158</w:t>
            </w:r>
          </w:p>
        </w:tc>
        <w:tc>
          <w:tcPr>
            <w:tcW w:w="104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13,158</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(981)</w:t>
            </w: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27</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(981)</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June 30, 2020</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405,977</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15,731</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1,196,990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(608,009)</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614"/>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85"/>
              <w:spacing w:after="0" w:line="139"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18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0"/>
              </w:rPr>
              <w:t>Accumulated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9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3"/>
              </w:rPr>
              <w:t>Deficit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87"/>
              </w:rPr>
              <w:t>(in thousands)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2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2018</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346,208</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15,428</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1,134,227</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(610,482)</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2,618</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(177,691)</w:t>
            </w: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Net loss and comprehensive loss</w:t>
            </w:r>
          </w:p>
        </w:tc>
        <w:tc>
          <w:tcPr>
            <w:tcW w:w="220" w:type="dxa"/>
            <w:vAlign w:val="bottom"/>
          </w:tcPr>
          <w:p>
            <w:pPr>
              <w:spacing w:after="0"/>
              <w:rPr>
                <w:sz w:val="18"/>
                <w:szCs w:val="18"/>
                <w:color w:val="auto"/>
              </w:rPr>
            </w:pPr>
          </w:p>
        </w:tc>
        <w:tc>
          <w:tcPr>
            <w:tcW w:w="940" w:type="dxa"/>
            <w:vAlign w:val="bottom"/>
            <w:vMerge w:val="restart"/>
          </w:tcPr>
          <w:p>
            <w:pPr>
              <w:jc w:val="right"/>
              <w:ind w:right="124"/>
              <w:spacing w:after="0"/>
              <w:rPr>
                <w:sz w:val="20"/>
                <w:szCs w:val="20"/>
                <w:color w:val="auto"/>
              </w:rPr>
            </w:pPr>
            <w:r>
              <w:rPr>
                <w:rFonts w:ascii="Arial" w:cs="Arial" w:eastAsia="Arial" w:hAnsi="Arial"/>
                <w:sz w:val="15"/>
                <w:szCs w:val="15"/>
                <w:color w:val="auto"/>
              </w:rPr>
              <w:t>(512)</w:t>
            </w:r>
          </w:p>
        </w:tc>
        <w:tc>
          <w:tcPr>
            <w:tcW w:w="104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104"/>
              <w:spacing w:after="0"/>
              <w:rPr>
                <w:sz w:val="20"/>
                <w:szCs w:val="20"/>
                <w:color w:val="auto"/>
              </w:rPr>
            </w:pPr>
            <w:r>
              <w:rPr>
                <w:rFonts w:ascii="Arial" w:cs="Arial" w:eastAsia="Arial" w:hAnsi="Arial"/>
                <w:sz w:val="15"/>
                <w:szCs w:val="15"/>
                <w:color w:val="auto"/>
              </w:rPr>
              <w:t>(512)</w:t>
            </w:r>
          </w:p>
        </w:tc>
        <w:tc>
          <w:tcPr>
            <w:tcW w:w="100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14,053</w:t>
            </w:r>
          </w:p>
        </w:tc>
        <w:tc>
          <w:tcPr>
            <w:tcW w:w="104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14,053</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940" w:type="dxa"/>
            <w:vAlign w:val="bottom"/>
            <w:vMerge w:val="restart"/>
          </w:tcPr>
          <w:p>
            <w:pPr>
              <w:jc w:val="right"/>
              <w:ind w:right="124"/>
              <w:spacing w:after="0"/>
              <w:rPr>
                <w:sz w:val="20"/>
                <w:szCs w:val="20"/>
                <w:color w:val="auto"/>
              </w:rPr>
            </w:pPr>
            <w:r>
              <w:rPr>
                <w:rFonts w:ascii="Arial" w:cs="Arial" w:eastAsia="Arial" w:hAnsi="Arial"/>
                <w:sz w:val="15"/>
                <w:szCs w:val="15"/>
                <w:color w:val="auto"/>
              </w:rPr>
              <w:t>(3,976)</w:t>
            </w:r>
          </w:p>
        </w:tc>
        <w:tc>
          <w:tcPr>
            <w:tcW w:w="104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5"/>
              <w:spacing w:after="0"/>
              <w:rPr>
                <w:sz w:val="20"/>
                <w:szCs w:val="20"/>
                <w:color w:val="auto"/>
              </w:rPr>
            </w:pPr>
            <w:r>
              <w:rPr>
                <w:rFonts w:ascii="Arial" w:cs="Arial" w:eastAsia="Arial" w:hAnsi="Arial"/>
                <w:sz w:val="15"/>
                <w:szCs w:val="15"/>
                <w:color w:val="auto"/>
              </w:rPr>
              <w:t>18</w:t>
            </w:r>
          </w:p>
        </w:tc>
        <w:tc>
          <w:tcPr>
            <w:tcW w:w="2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(3,976)</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(3,585)</w:t>
            </w: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87</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(3,586)</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2019</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352,188</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15,515</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1,144,694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(610,994)</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2,636</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(181,667)</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12,218</w:t>
            </w:r>
          </w:p>
        </w:tc>
        <w:tc>
          <w:tcPr>
            <w:tcW w:w="104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12,218</w:t>
            </w:r>
          </w:p>
        </w:tc>
        <w:tc>
          <w:tcPr>
            <w:tcW w:w="10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15,982</w:t>
            </w:r>
          </w:p>
        </w:tc>
        <w:tc>
          <w:tcPr>
            <w:tcW w:w="104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15,982</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(6,501)</w:t>
            </w: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89</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(6,502)</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June 30, 2019</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373,887</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15,604</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1,154,174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(598,776)</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2,636</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(181,667)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b w:val="1"/>
                <w:bCs w:val="1"/>
                <w:color w:val="auto"/>
              </w:rPr>
              <w:t>Net (loss) income and comprehensive (loss)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(15,356)</w:t>
            </w:r>
          </w:p>
        </w:tc>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11,706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25,716</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r>
      <w:tr>
        <w:trPr>
          <w:trHeight w:val="237"/>
        </w:trPr>
        <w:tc>
          <w:tcPr>
            <w:tcW w:w="82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10,360</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13,531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from continuing operations to net cash provided by operating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Loss (gain) on impairments and disposal of assets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552</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27,513</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27,707</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6,928</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5,041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25,075</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(7,000)</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(13,624)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1,053</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949</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1,158</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Amortization of convertible debt discount</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6,250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5,929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Reduction in carrying amount of ROU asset, offset by change in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1,956</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35,501</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(48,396)</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1,369</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(19,134)</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Current contingent consideration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(2,670)</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(2,007)</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87,916</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67,875</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(9,108)</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(9,769)</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sale of fixed assets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24,062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(80,000)</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Acquisition of ValuePenguin, net of cash acquired</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(105,578)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QuoteWizard, net of cash acquired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(89,108)</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(90,838)</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w w:val="90"/>
              </w:rPr>
              <w:t>Payments related to net-share settlement of stock-based compensation, net of proceeds from exercise of stock</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options</w:t>
            </w:r>
          </w:p>
        </w:tc>
        <w:tc>
          <w:tcPr>
            <w:tcW w:w="34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(6,068)</w:t>
            </w: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(7,646)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payments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(3,330)</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Net proceeds from (repayment of) revolving credit facility</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55,000</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 attributable to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45,282</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(24,653)</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provided by (used in)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44,090</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(47,616)</w:t>
            </w:r>
          </w:p>
        </w:tc>
      </w:tr>
      <w:tr>
        <w:trPr>
          <w:trHeight w:val="236"/>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(6,152)</w:t>
            </w:r>
          </w:p>
        </w:tc>
      </w:tr>
      <w:tr>
        <w:trPr>
          <w:trHeight w:val="236"/>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(2,571)</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(6,152)</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Net increase (decrease) in cash, cash equivalents, restricted cash and restricted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41,519</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(53,768)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60,339</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105,158</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101,858</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51,390</w:t>
            </w:r>
          </w:p>
        </w:tc>
      </w:tr>
      <w:tr>
        <w:trPr>
          <w:trHeight w:val="297"/>
        </w:trPr>
        <w:tc>
          <w:tcPr>
            <w:tcW w:w="8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Capital additions from tenant improvement allowance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1,111</w:t>
            </w: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1240"/>
          </w:cols>
          <w:pgMar w:left="320" w:top="125" w:right="339" w:bottom="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currently the parent of LendingTree, LLC and several companies owned by LendingTree, LLC (collectively, "LendingTree" or the "Company").</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18</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June 30, 2020 and for the three and six months ended June 30, 2020 and 2019,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2020 are not necessarily indicative of the results to be expected for the year ending December 31, 2020, or any other period. The accompanying consolidated balance sheet as of December 31, 2019 was derived from audited financial statements included in the Company's annual report on Form 10-K for the year ended December 31, 2019 (the "2019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2019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HLC ownership related claims; contract assets; various other</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allowances, reserves and accruals; assumptions related to the determination of stock-based compensation; and the determination of the right-of-use assets and lease liabilities.</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considered the impact of COVID-19 on the assumptions and estimates used when preparing its quarterly financial statements including, but not limited to, our allowance for doubtful accounts, valuation allowances, contract asset and contingent consideration. These assumptions and estimates may change as new events occur and additional information is obtained. If economic conditions caused by COVID-19 do not recover as currently estimated by management, such future changes may have an adverse impact on the Company's results of operations, financial position and liquidity.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June 30, 2020,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services.</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The amendments should be applied either retrospectively or prospectively to all implementation costs incurred after the date of adoption. The Company adopted ASU 2018-15 in the first quarter of 2020 using the prospective approach. Subsequent to the adoption of this ASU, capitalizable implementation costs incurred in a hosting arrangement that is a service contract are recorded within prepaid and other current assets and other non-current assets on the consolidated balance sheet. The expense related to these capitalized implementation costs are included within general and administrative expense on the consolidated statement of operations and comprehensive income. The adoption of ASU 2018-15 did not have a material impact on the consolidated financial statements as of June 30, 2020 and for the three and six months ended June 30, 2020.</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2018, the FASB issued ASU 2018-13, which removes, modifies and adds certain disclosure requirements in Accounting Standards Codification ("ASC") Topic 820, Fair Value Measurement. This ASU is effective for annual and interim reporting periods beginning after December 15, 2019. Certain amendments must be applied prospectively while others are to be applied on a retrospective basis to all periods presented. The Company adopted ASU 2018-13 in the first quarter of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16—Fair Value Measurements.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The Company adopted ASU 2017-04 in the first quarter of 2020.</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2016, the FASB issued ASU 2016-13, which requires entities to measure expected credit losses for financial assets held at the reporting date based on historical experience, current conditions, and reasonable and supportable forecasts. This ASU introduces ASC Topic 326, Financial Instruments— Credit Losses, which replaces the existing incurred loss model and is applicable to financial assets measured at amortized cost, including trade receivables and certain other financial assets that have the contractual right to receive cash. ASC Topic 326 is effective for annual and interim reporting periods beginning after December 15, 2019. The guidance must be adopted using a modified retrospective transition. The Company adopted ASC Topic 326 as of January 1, 2020, which did not result in any cumulative effect adjustment to the opening balance of accumulated deficit in the period of adoption.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2019, the FASB issued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is permitted, including adoption in interim periods. Entities electing early adoption must adopt all amendments in the same period. Most amendments must be applied prospectively while others are to be applied on a retrospective basis for all periods presented or a modified retrospective basis through a cumulative-effect adjustment to retained earnings as of the beginning of the fiscal year of adoption. The Company is evaluating the impact this ASU will have on its consolidated financial statements and whether to early adopt.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3"/>
        </w:trPr>
        <w:tc>
          <w:tcPr>
            <w:tcW w:w="6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74,123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153,297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135,193</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Credit cards</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7,194</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56,045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58,780</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110,551</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Personal loans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8,827</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40,336</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73,640</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Other Consumer</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21,097</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31,809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57,926</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65,501</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Consumer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37,118</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157,042</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249,692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72,919</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71,941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155,656</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139,033</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1,415</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16,893</w:t>
            </w:r>
          </w:p>
        </w:tc>
      </w:tr>
      <w:tr>
        <w:trPr>
          <w:trHeight w:val="237"/>
        </w:trPr>
        <w:tc>
          <w:tcPr>
            <w:tcW w:w="642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184,326</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278,421</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467,410</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540,811</w:t>
            </w:r>
          </w:p>
        </w:tc>
      </w:tr>
      <w:tr>
        <w:trPr>
          <w:trHeight w:val="34"/>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$6.5 million at each of June 30, 2020 and December 31, 2019.</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contract liability recorded within accrued expenses and other current liabilities on the consolidated balance sheets related to upfront fees paid by consumers in the Company's Consumer business was $0.9 million and $0.6 million at June 30, 2020 and December 31, 2019, respectively. During the second quarter and first six months of 2020, the Company recognized revenue of $0.1 million and $0.6 million, respectively, that was included in the contract liability balance at December 31, 2019. During the second quarter and first six months of 2019, the Company recognized revenue of $0.1 million and $0.4 million, respectively, that was included in the contract liability balance at December 31, 2018.</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$0.3 million and $0.5 million in the second quarters of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101,764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60,243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96</w:t>
            </w:r>
          </w:p>
        </w:tc>
      </w:tr>
      <w:tr>
        <w:trPr>
          <w:trHeight w:val="27"/>
        </w:trPr>
        <w:tc>
          <w:tcPr>
            <w:tcW w:w="8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101,858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60,339</w:t>
            </w:r>
          </w:p>
        </w:tc>
      </w:tr>
      <w:tr>
        <w:trPr>
          <w:trHeight w:val="27"/>
        </w:trPr>
        <w:tc>
          <w:tcPr>
            <w:tcW w:w="8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14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16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14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1,466</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Charges to earnings</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 of uncollectible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(669)</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Recoveries collected</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1,756</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1,676</w:t>
            </w:r>
          </w:p>
        </w:tc>
        <w:tc>
          <w:tcPr>
            <w:tcW w:w="0" w:type="dxa"/>
            <w:vAlign w:val="bottom"/>
          </w:tcPr>
          <w:p>
            <w:pPr>
              <w:spacing w:after="0"/>
              <w:rPr>
                <w:sz w:val="1"/>
                <w:szCs w:val="1"/>
                <w:color w:val="auto"/>
              </w:rPr>
            </w:pPr>
          </w:p>
        </w:tc>
      </w:tr>
      <w:tr>
        <w:trPr>
          <w:trHeight w:val="702"/>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4"/>
                <w:szCs w:val="24"/>
                <w:color w:val="auto"/>
              </w:rPr>
            </w:pPr>
          </w:p>
        </w:tc>
        <w:tc>
          <w:tcPr>
            <w:tcW w:w="16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903,227</w:t>
            </w:r>
          </w:p>
        </w:tc>
        <w:tc>
          <w:tcPr>
            <w:tcW w:w="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903,227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(483,088)</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(483,088)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8"/>
              </w:rPr>
              <w:t>420,139</w:t>
            </w:r>
          </w:p>
        </w:tc>
        <w:tc>
          <w:tcPr>
            <w:tcW w:w="0" w:type="dxa"/>
            <w:vAlign w:val="bottom"/>
          </w:tcPr>
          <w:p>
            <w:pPr>
              <w:spacing w:after="0"/>
              <w:rPr>
                <w:sz w:val="1"/>
                <w:szCs w:val="1"/>
                <w:color w:val="auto"/>
              </w:rPr>
            </w:pPr>
          </w:p>
        </w:tc>
      </w:tr>
      <w:tr>
        <w:trPr>
          <w:trHeight w:val="324"/>
        </w:trPr>
        <w:tc>
          <w:tcPr>
            <w:tcW w:w="7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143,925</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171,438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154,067</w:t>
            </w:r>
          </w:p>
        </w:tc>
        <w:tc>
          <w:tcPr>
            <w:tcW w:w="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8"/>
              </w:rPr>
              <w:t>181,580</w:t>
            </w:r>
          </w:p>
        </w:tc>
        <w:tc>
          <w:tcPr>
            <w:tcW w:w="0" w:type="dxa"/>
            <w:vAlign w:val="bottom"/>
          </w:tcPr>
          <w:p>
            <w:pPr>
              <w:spacing w:after="0"/>
              <w:rPr>
                <w:sz w:val="1"/>
                <w:szCs w:val="1"/>
                <w:color w:val="auto"/>
              </w:rPr>
            </w:pPr>
          </w:p>
        </w:tc>
      </w:tr>
      <w:tr>
        <w:trPr>
          <w:trHeight w:val="27"/>
        </w:trPr>
        <w:tc>
          <w:tcPr>
            <w:tcW w:w="7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at each of June 30, 2020 and December 31, 2019 consists of $59.3 million associated with the Home segment, $166.1 million associated with the Consumer segment, and $194.7 million associated with the Insurance segment.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116,200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(63,126)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53,074</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(15,506)</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61,794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2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(8,177)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51,000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(30,967)</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20,033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3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June 30, 2020</w:t>
            </w:r>
          </w:p>
        </w:tc>
        <w:tc>
          <w:tcPr>
            <w:tcW w:w="31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261,705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(117,780)</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143,925</w:t>
            </w:r>
          </w:p>
        </w:tc>
        <w:tc>
          <w:tcPr>
            <w:tcW w:w="0" w:type="dxa"/>
            <w:vAlign w:val="bottom"/>
          </w:tcPr>
          <w:p>
            <w:pPr>
              <w:spacing w:after="0"/>
              <w:rPr>
                <w:sz w:val="1"/>
                <w:szCs w:val="1"/>
                <w:color w:val="auto"/>
              </w:rPr>
            </w:pPr>
          </w:p>
        </w:tc>
      </w:tr>
      <w:tr>
        <w:trPr>
          <w:trHeight w:val="34"/>
        </w:trPr>
        <w:tc>
          <w:tcPr>
            <w:tcW w:w="38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2820" w:type="dxa"/>
            <w:vAlign w:val="bottom"/>
          </w:tcPr>
          <w:p>
            <w:pPr>
              <w:jc w:val="right"/>
              <w:ind w:right="81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116,200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(48,938)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67,262</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(12,452)</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64,848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51,000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(22,467)</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28,533</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261,705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(90,267)</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171,438</w:t>
            </w:r>
          </w:p>
        </w:tc>
        <w:tc>
          <w:tcPr>
            <w:tcW w:w="0" w:type="dxa"/>
            <w:vAlign w:val="bottom"/>
          </w:tcPr>
          <w:p>
            <w:pPr>
              <w:spacing w:after="0"/>
              <w:rPr>
                <w:sz w:val="1"/>
                <w:szCs w:val="1"/>
                <w:color w:val="auto"/>
              </w:rPr>
            </w:pPr>
          </w:p>
        </w:tc>
      </w:tr>
      <w:tr>
        <w:trPr>
          <w:trHeight w:val="34"/>
        </w:trPr>
        <w:tc>
          <w:tcPr>
            <w:tcW w:w="6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June 30, 2020,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25,565</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26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42,738</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25,256</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Year ending December 31, 2023</w:t>
            </w:r>
          </w:p>
        </w:tc>
        <w:tc>
          <w:tcPr>
            <w:tcW w:w="26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8,602</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2024</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6,747</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35,017</w:t>
            </w:r>
          </w:p>
        </w:tc>
      </w:tr>
      <w:tr>
        <w:trPr>
          <w:trHeight w:val="27"/>
        </w:trPr>
        <w:tc>
          <w:tcPr>
            <w:tcW w:w="9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143,925</w:t>
            </w:r>
          </w:p>
        </w:tc>
      </w:tr>
      <w:tr>
        <w:trPr>
          <w:trHeight w:val="27"/>
        </w:trPr>
        <w:tc>
          <w:tcPr>
            <w:tcW w:w="9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INVESTMENT</w:t>
      </w:r>
    </w:p>
    <w:p>
      <w:pPr>
        <w:spacing w:after="0" w:line="17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On February 28, 2020, the Company acquired an equity interest in Stash Financial, Inc. (“Stash”) for $80.0 million. Stash is a consumer investing and banking platform. Stash brings together banking, investing, and education into one seamless experience offering a full-suite of personal investment accounts, Traditional and Roth IRAs, custodial investment accounts, and banking services, including checking accounts and debit cards with a Stock-Back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rewards program.</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Stash equity securities do not have a readily determinable fair value and, upon acquisition, the Company elected the measurement alternative to value its securities. The Stash equity securities will be carried at cost and subsequently marked to market upon observable market events with any gains or losses recorded in operating income in the consolidated statement of operations. As of June 30, 2020, there have been no observable market events that would result in upward or downward adjustments in the fair value and there have been no impairments to the original cost of $80.0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2018, the Company acquired all of the outstanding equity interests of QuoteWizard.com, LLC (“QuoteWizard”) and Ovation Credit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(“Ovation”).</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the Company acquired certain assets of Snap Capital LLC, which does business under the name SnapCap (“SnapCap”) and all of the assets of Deposits Online, LLC, which does business under the name DepositAccounts.com (“DepositAccounts”).</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will make an earnout payment of $4.4 million based on the achievement of certain defined operating metrics for Ovation, and payments ranging from zero to $46.8 million based on the achievement of certain defined performance targets for QuoteWizard. During 2020, the Company made the final earnout payments related to the achievement of certain defined earnings targets for SnapCap.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fair value of contingent consideration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3"/>
        </w:trPr>
        <w:tc>
          <w:tcPr>
            <w:tcW w:w="6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QuoteWizard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8,058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16,893</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Ovation</w:t>
            </w: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1,039</w:t>
            </w: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1,180</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SnapCap</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DepositAccounts</w:t>
            </w: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changes in fair value of contingent consideration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9,175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1,053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17,382</w:t>
            </w:r>
          </w:p>
        </w:tc>
      </w:tr>
      <w:tr>
        <w:trPr>
          <w:trHeight w:val="27"/>
        </w:trPr>
        <w:tc>
          <w:tcPr>
            <w:tcW w:w="6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2020, the estimated fair value of the contingent consideration for the QuoteWizard acquisition totaled $24.2 million, of which $14.7 million is included in current contingent consideration and $9.5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the estimated fair value of the contingent consideration for the Ovation acquisition totaled $4.3 million, which is included in current contingent consideration in the accompanying consolidated balance sheet. The estimated fair value of the contingent consideration payment is based on the $4.4 million achieved target discounted from the payment due date to June 30, 2020.</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2020, no liability remains outstanding for the DepositAccounts acquisition in the accompanying consolidated balance sheet for the final contingent consideration payment based on Federal Funds interest rates and the earnout is complete.</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differences in the actual contingent consideration payments will be recorded in operating income in the consolidated statements of operations and comprehensive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advertising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65,836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10,068</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10,540</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8,768</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6,920</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to LendingTree Foundation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5,923</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6,885</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12,175</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17,681</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88,569</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112,755</w:t>
            </w:r>
          </w:p>
        </w:tc>
      </w:tr>
      <w:tr>
        <w:trPr>
          <w:trHeight w:val="34"/>
        </w:trPr>
        <w:tc>
          <w:tcPr>
            <w:tcW w:w="8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10—LEASES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2020, right-of-use assets totaled $87.9 million and lease liabilities, the current portion of which is included in accrued expenses and other current liabilities in the accompanying balance sheet, totaled $92.6 million. At December 31, 2019, right-of-use assets totaled $25.5 million and lease liabilities totaled $28.2 million. During the second quarter of 2020 the right-of-use assets and lease liabilities increased $65.7 million due to commencement of the lease, as defined under ASC Topic 842, Leases, for the Company’s new principal executive offices currently under construction in Charlotte, North Carolina, occurring during the second quarter.</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Lease expense, which is included in general and administrative expense on the accompanying consolidated statements of operations and comprehensive income,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8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20" w:type="dxa"/>
            <w:vAlign w:val="bottom"/>
            <w:gridSpan w:val="3"/>
          </w:tcPr>
          <w:p>
            <w:pPr>
              <w:jc w:val="right"/>
              <w:ind w:right="732"/>
              <w:spacing w:after="0"/>
              <w:rPr>
                <w:sz w:val="20"/>
                <w:szCs w:val="20"/>
                <w:color w:val="auto"/>
              </w:rPr>
            </w:pPr>
            <w:r>
              <w:rPr>
                <w:rFonts w:ascii="Arial" w:cs="Arial" w:eastAsia="Arial" w:hAnsi="Arial"/>
                <w:sz w:val="14"/>
                <w:szCs w:val="14"/>
                <w:b w:val="1"/>
                <w:bCs w:val="1"/>
                <w:color w:val="auto"/>
                <w:w w:val="97"/>
              </w:rPr>
              <w:t>Six Months Ended</w:t>
            </w:r>
          </w:p>
        </w:tc>
      </w:tr>
      <w:tr>
        <w:trPr>
          <w:trHeight w:val="192"/>
        </w:trPr>
        <w:tc>
          <w:tcPr>
            <w:tcW w:w="5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w w:val="88"/>
              </w:rPr>
              <w:t>2,140</w:t>
            </w:r>
          </w:p>
        </w:tc>
        <w:tc>
          <w:tcPr>
            <w:tcW w:w="74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1,467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7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820" w:type="dxa"/>
            <w:vAlign w:val="bottom"/>
          </w:tcPr>
          <w:p>
            <w:pPr>
              <w:spacing w:after="0"/>
              <w:rPr>
                <w:sz w:val="21"/>
                <w:szCs w:val="21"/>
                <w:color w:val="auto"/>
              </w:rPr>
            </w:pPr>
          </w:p>
        </w:tc>
        <w:tc>
          <w:tcPr>
            <w:tcW w:w="660" w:type="dxa"/>
            <w:vAlign w:val="bottom"/>
          </w:tcPr>
          <w:p>
            <w:pPr>
              <w:jc w:val="right"/>
              <w:ind w:right="155"/>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5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6"/>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lease cost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w w:val="88"/>
              </w:rPr>
              <w:t>2,157</w:t>
            </w:r>
          </w:p>
        </w:tc>
        <w:tc>
          <w:tcPr>
            <w:tcW w:w="74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88"/>
              </w:rPr>
              <w:t>1,476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4,032</w:t>
            </w:r>
          </w:p>
        </w:tc>
        <w:tc>
          <w:tcPr>
            <w:tcW w:w="7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2,778</w:t>
            </w:r>
          </w:p>
        </w:tc>
      </w:tr>
      <w:tr>
        <w:trPr>
          <w:trHeight w:val="432"/>
        </w:trPr>
        <w:tc>
          <w:tcPr>
            <w:tcW w:w="700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w w:val="89"/>
              </w:rPr>
              <w:t>Weighted average remaining lease term and discount rate for operating leases are as follows:</w:t>
            </w: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399"/>
        </w:trPr>
        <w:tc>
          <w:tcPr>
            <w:tcW w:w="55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June 30, 2020</w:t>
            </w:r>
          </w:p>
        </w:tc>
        <w:tc>
          <w:tcPr>
            <w:tcW w:w="15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5"/>
              </w:rPr>
              <w:t>14.0 years</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89"/>
              </w:rPr>
              <w:t>5.0 years</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675"/>
        </w:trPr>
        <w:tc>
          <w:tcPr>
            <w:tcW w:w="6340" w:type="dxa"/>
            <w:vAlign w:val="bottom"/>
            <w:gridSpan w:val="2"/>
          </w:tcPr>
          <w:p>
            <w:pPr>
              <w:ind w:left="340"/>
              <w:spacing w:after="0"/>
              <w:rPr>
                <w:sz w:val="20"/>
                <w:szCs w:val="20"/>
                <w:color w:val="auto"/>
              </w:rPr>
            </w:pPr>
            <w:r>
              <w:rPr>
                <w:rFonts w:ascii="Arial" w:cs="Arial" w:eastAsia="Arial" w:hAnsi="Arial"/>
                <w:sz w:val="18"/>
                <w:szCs w:val="18"/>
                <w:color w:val="auto"/>
                <w:w w:val="92"/>
              </w:rPr>
              <w:t xml:space="preserve">Supplemental cash flow information related to leases is as follows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8"/>
        </w:trPr>
        <w:tc>
          <w:tcPr>
            <w:tcW w:w="5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860" w:type="dxa"/>
            <w:vAlign w:val="bottom"/>
          </w:tcPr>
          <w:p>
            <w:pPr>
              <w:spacing w:after="0"/>
              <w:rPr>
                <w:sz w:val="24"/>
                <w:szCs w:val="24"/>
                <w:color w:val="auto"/>
              </w:rPr>
            </w:pPr>
          </w:p>
        </w:tc>
      </w:tr>
      <w:tr>
        <w:trPr>
          <w:trHeight w:val="192"/>
        </w:trPr>
        <w:tc>
          <w:tcPr>
            <w:tcW w:w="5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4,056</w:t>
            </w:r>
          </w:p>
        </w:tc>
        <w:tc>
          <w:tcPr>
            <w:tcW w:w="70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2,581</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65,740</w:t>
            </w:r>
          </w:p>
        </w:tc>
        <w:tc>
          <w:tcPr>
            <w:tcW w:w="7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11,398</w:t>
            </w:r>
          </w:p>
        </w:tc>
      </w:tr>
      <w:tr>
        <w:trPr>
          <w:trHeight w:val="594"/>
        </w:trPr>
        <w:tc>
          <w:tcPr>
            <w:tcW w:w="6340" w:type="dxa"/>
            <w:vAlign w:val="bottom"/>
            <w:gridSpan w:val="2"/>
          </w:tcPr>
          <w:p>
            <w:pPr>
              <w:ind w:left="340"/>
              <w:spacing w:after="0"/>
              <w:rPr>
                <w:sz w:val="20"/>
                <w:szCs w:val="20"/>
                <w:color w:val="auto"/>
              </w:rPr>
            </w:pPr>
            <w:r>
              <w:rPr>
                <w:rFonts w:ascii="Arial" w:cs="Arial" w:eastAsia="Arial" w:hAnsi="Arial"/>
                <w:sz w:val="18"/>
                <w:szCs w:val="18"/>
                <w:color w:val="auto"/>
                <w:w w:val="96"/>
              </w:rPr>
              <w:t xml:space="preserve">Maturities of lease liabilities as of June 30, 2020 are as follows </w:t>
            </w:r>
            <w:r>
              <w:rPr>
                <w:rFonts w:ascii="Arial" w:cs="Arial" w:eastAsia="Arial" w:hAnsi="Arial"/>
                <w:sz w:val="18"/>
                <w:szCs w:val="18"/>
                <w:i w:val="1"/>
                <w:iCs w:val="1"/>
                <w:color w:val="auto"/>
                <w:w w:val="96"/>
              </w:rPr>
              <w:t>(in thousands)</w:t>
            </w:r>
            <w:r>
              <w:rPr>
                <w:rFonts w:ascii="Arial" w:cs="Arial" w:eastAsia="Arial" w:hAnsi="Arial"/>
                <w:sz w:val="18"/>
                <w:szCs w:val="18"/>
                <w:color w:val="auto"/>
                <w:w w:val="96"/>
              </w:rPr>
              <w:t>:</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2"/>
        </w:trPr>
        <w:tc>
          <w:tcPr>
            <w:tcW w:w="55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w w:val="90"/>
              </w:rPr>
              <w:t>Operating Leases</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8,595</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Year ending December 31, 2023</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12,409</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2024</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105,398</w:t>
            </w:r>
          </w:p>
        </w:tc>
      </w:tr>
      <w:tr>
        <w:trPr>
          <w:trHeight w:val="27"/>
        </w:trPr>
        <w:tc>
          <w:tcPr>
            <w:tcW w:w="5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payments</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153,869</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47,219</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Tenant improvement allowances</w:t>
            </w: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14,078</w:t>
            </w:r>
          </w:p>
        </w:tc>
      </w:tr>
      <w:tr>
        <w:trPr>
          <w:trHeight w:val="236"/>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Present value of lease liabilities</w:t>
            </w:r>
          </w:p>
        </w:tc>
        <w:tc>
          <w:tcPr>
            <w:tcW w:w="8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268"/>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92,572</w:t>
            </w:r>
          </w:p>
        </w:tc>
      </w:tr>
      <w:tr>
        <w:trPr>
          <w:trHeight w:val="34"/>
        </w:trPr>
        <w:tc>
          <w:tcPr>
            <w:tcW w:w="5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Rental income of $0.1 million and $0.3 million in the second quarter and first six months of 2019, respectively, is included in other income on the accompanying consolidated statements of operations and comprehensive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940" w:type="dxa"/>
            <w:vAlign w:val="bottom"/>
            <w:gridSpan w:val="3"/>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780" w:type="dxa"/>
            <w:vAlign w:val="bottom"/>
            <w:gridSpan w:val="2"/>
          </w:tcPr>
          <w:p>
            <w:pPr>
              <w:jc w:val="right"/>
              <w:ind w:right="71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520" w:type="dxa"/>
            <w:vAlign w:val="bottom"/>
          </w:tcPr>
          <w:p>
            <w:pPr>
              <w:spacing w:after="0"/>
              <w:rPr>
                <w:sz w:val="16"/>
                <w:szCs w:val="16"/>
                <w:color w:val="auto"/>
              </w:rPr>
            </w:pPr>
          </w:p>
        </w:tc>
        <w:tc>
          <w:tcPr>
            <w:tcW w:w="18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937"/>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917"/>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84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b w:val="1"/>
                <w:bCs w:val="1"/>
                <w:color w:val="auto"/>
              </w:rPr>
              <w:t>12,984</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12,805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b w:val="1"/>
                <w:bCs w:val="1"/>
                <w:color w:val="auto"/>
              </w:rPr>
              <w:t>12,971</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12,762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84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820" w:type="dxa"/>
            <w:vAlign w:val="bottom"/>
          </w:tcPr>
          <w:p>
            <w:pPr>
              <w:jc w:val="right"/>
              <w:ind w:right="517"/>
              <w:spacing w:after="0"/>
              <w:rPr>
                <w:sz w:val="20"/>
                <w:szCs w:val="20"/>
                <w:color w:val="auto"/>
              </w:rPr>
            </w:pPr>
            <w:r>
              <w:rPr>
                <w:rFonts w:ascii="Arial" w:cs="Arial" w:eastAsia="Arial" w:hAnsi="Arial"/>
                <w:sz w:val="18"/>
                <w:szCs w:val="18"/>
                <w:color w:val="auto"/>
              </w:rPr>
              <w:t>592</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777</w:t>
            </w:r>
          </w:p>
        </w:tc>
      </w:tr>
      <w:tr>
        <w:trPr>
          <w:trHeight w:val="27"/>
        </w:trPr>
        <w:tc>
          <w:tcPr>
            <w:tcW w:w="5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84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91</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of Convertible Senior Notes and warrants</w:t>
            </w:r>
          </w:p>
        </w:tc>
        <w:tc>
          <w:tcPr>
            <w:tcW w:w="184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1820" w:type="dxa"/>
            <w:vAlign w:val="bottom"/>
          </w:tcPr>
          <w:p>
            <w:pPr>
              <w:jc w:val="right"/>
              <w:ind w:right="517"/>
              <w:spacing w:after="0"/>
              <w:rPr>
                <w:sz w:val="20"/>
                <w:szCs w:val="20"/>
                <w:color w:val="auto"/>
              </w:rPr>
            </w:pPr>
            <w:r>
              <w:rPr>
                <w:rFonts w:ascii="Arial" w:cs="Arial" w:eastAsia="Arial" w:hAnsi="Arial"/>
                <w:sz w:val="18"/>
                <w:szCs w:val="18"/>
                <w:color w:val="auto"/>
              </w:rPr>
              <w:t>300</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892</w:t>
            </w:r>
          </w:p>
        </w:tc>
      </w:tr>
      <w:tr>
        <w:trPr>
          <w:trHeight w:val="27"/>
        </w:trPr>
        <w:tc>
          <w:tcPr>
            <w:tcW w:w="55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84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b w:val="1"/>
                <w:bCs w:val="1"/>
                <w:color w:val="auto"/>
              </w:rPr>
              <w:t>12,984</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14,908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b w:val="1"/>
                <w:bCs w:val="1"/>
                <w:color w:val="auto"/>
              </w:rPr>
              <w:t>13,954</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14,622</w:t>
            </w:r>
          </w:p>
        </w:tc>
      </w:tr>
      <w:tr>
        <w:trPr>
          <w:trHeight w:val="27"/>
        </w:trPr>
        <w:tc>
          <w:tcPr>
            <w:tcW w:w="55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three months ended June 30, 2020, the Company had a loss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0.8 million shares related to potentially dilutive securities were excluded from the calculation of diluted loss per share for the three months ended June 30, 2020, because their inclusion would have been anti-dilutive. For the three months ended June 30, 2020, the weighted average shares that were anti-dilutive included options to purchase 0.7 million shares of common stock and 0.1 million restricted stock units. For the six months ended June 30, 2020, the weighted average shares that were anti-dilutive included options to purchase 0.2 million shares of common stock.</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of the three and six months ended June 30, 2019, the weighted average shares that were anti-dilutive included options to purchase 0.1 million shares of common stock.</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convertible notes and the warrants issued by the Company could be converted into the Company’s common stock, subject to certain contingencies. </w:t>
      </w:r>
      <w:r>
        <w:rPr>
          <w:rFonts w:ascii="Arial" w:cs="Arial" w:eastAsia="Arial" w:hAnsi="Arial"/>
          <w:sz w:val="17"/>
          <w:szCs w:val="17"/>
          <w:i w:val="1"/>
          <w:iCs w:val="1"/>
          <w:color w:val="auto"/>
        </w:rPr>
        <w:t xml:space="preserve">See </w:t>
      </w:r>
      <w:r>
        <w:rPr>
          <w:rFonts w:ascii="Arial" w:cs="Arial" w:eastAsia="Arial" w:hAnsi="Arial"/>
          <w:sz w:val="17"/>
          <w:szCs w:val="17"/>
          <w:color w:val="auto"/>
        </w:rPr>
        <w:t>Note 14—Debt and Note 19—Subsequent Events for additional information. Shares of the Company's common stock associated with the warrants were</w:t>
      </w:r>
      <w:r>
        <w:rPr>
          <w:rFonts w:ascii="Arial" w:cs="Arial" w:eastAsia="Arial" w:hAnsi="Arial"/>
          <w:sz w:val="17"/>
          <w:szCs w:val="17"/>
          <w:i w:val="1"/>
          <w:iCs w:val="1"/>
          <w:color w:val="auto"/>
        </w:rPr>
        <w:t xml:space="preserve"> </w:t>
      </w:r>
      <w:r>
        <w:rPr>
          <w:rFonts w:ascii="Arial" w:cs="Arial" w:eastAsia="Arial" w:hAnsi="Arial"/>
          <w:sz w:val="17"/>
          <w:szCs w:val="17"/>
          <w:color w:val="auto"/>
        </w:rPr>
        <w:t>excluded from the calculation of diluted income per share for the six months ended June 30, 2020 as they were anti-dilutive since the strike price of the warrants was greater than the average market price of the Company's common stock during the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each of February 2018 and February 2019, the board of directors authorized and the Company announced the repurchase of up to $100.0 million and $150.0 million, respectively, of LendingTree's common stock. During the first six months of 2019, the Company purchased 17,501 shares of its common stock for aggregate consideration of $4.0 million. At June 30, 2020, approximately $179.7 million of the previous authorizations to repurchase common stock remain available.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92"/>
        </w:trPr>
        <w:tc>
          <w:tcPr>
            <w:tcW w:w="4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63"/>
        </w:trPr>
        <w:tc>
          <w:tcPr>
            <w:tcW w:w="46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333</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575</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3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1,597</w:t>
            </w:r>
          </w:p>
        </w:tc>
        <w:tc>
          <w:tcPr>
            <w:tcW w:w="7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2,753</w:t>
            </w:r>
          </w:p>
        </w:tc>
        <w:tc>
          <w:tcPr>
            <w:tcW w:w="6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4,032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9,729</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18,852</w:t>
            </w: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21,907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3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1,499</w:t>
            </w:r>
          </w:p>
        </w:tc>
        <w:tc>
          <w:tcPr>
            <w:tcW w:w="7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2,895</w:t>
            </w:r>
          </w:p>
        </w:tc>
        <w:tc>
          <w:tcPr>
            <w:tcW w:w="6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3,746</w:t>
            </w:r>
          </w:p>
        </w:tc>
      </w:tr>
      <w:tr>
        <w:trPr>
          <w:trHeight w:val="27"/>
        </w:trPr>
        <w:tc>
          <w:tcPr>
            <w:tcW w:w="4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13,158</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15,982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25,075</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30,035</w:t>
            </w:r>
          </w:p>
        </w:tc>
      </w:tr>
      <w:tr>
        <w:trPr>
          <w:trHeight w:val="648"/>
        </w:trPr>
        <w:tc>
          <w:tcPr>
            <w:tcW w:w="4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rPr>
              <w:t>15</w:t>
            </w:r>
          </w:p>
        </w:tc>
        <w:tc>
          <w:tcPr>
            <w:tcW w:w="7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358"/>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0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2020</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777,871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69.87</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73,737</w:t>
            </w:r>
          </w:p>
        </w:tc>
        <w:tc>
          <w:tcPr>
            <w:tcW w:w="320" w:type="dxa"/>
            <w:vAlign w:val="bottom"/>
          </w:tcPr>
          <w:p>
            <w:pPr>
              <w:spacing w:after="0"/>
              <w:rPr>
                <w:sz w:val="23"/>
                <w:szCs w:val="23"/>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276.38</w:t>
            </w: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(20,141)</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73.09</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(503)</w:t>
            </w:r>
          </w:p>
        </w:tc>
        <w:tc>
          <w:tcPr>
            <w:tcW w:w="320" w:type="dxa"/>
            <w:vAlign w:val="bottom"/>
          </w:tcPr>
          <w:p>
            <w:pPr>
              <w:spacing w:after="0"/>
              <w:rPr>
                <w:sz w:val="21"/>
                <w:szCs w:val="21"/>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297.63</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352.10</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2020</w:t>
            </w:r>
          </w:p>
        </w:tc>
        <w:tc>
          <w:tcPr>
            <w:tcW w:w="1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828,990</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87.36</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4.23</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169,184</w:t>
            </w:r>
          </w:p>
        </w:tc>
        <w:tc>
          <w:tcPr>
            <w:tcW w:w="0" w:type="dxa"/>
            <w:vAlign w:val="bottom"/>
          </w:tcPr>
          <w:p>
            <w:pPr>
              <w:spacing w:after="0"/>
              <w:rPr>
                <w:sz w:val="1"/>
                <w:szCs w:val="1"/>
                <w:color w:val="auto"/>
              </w:rPr>
            </w:pPr>
          </w:p>
        </w:tc>
      </w:tr>
      <w:tr>
        <w:trPr>
          <w:trHeight w:val="34"/>
        </w:trPr>
        <w:tc>
          <w:tcPr>
            <w:tcW w:w="5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2020</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670,266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45.85</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3.16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164,215</w:t>
            </w:r>
          </w:p>
        </w:tc>
        <w:tc>
          <w:tcPr>
            <w:tcW w:w="0" w:type="dxa"/>
            <w:vAlign w:val="bottom"/>
          </w:tcPr>
          <w:p>
            <w:pPr>
              <w:spacing w:after="0"/>
              <w:rPr>
                <w:sz w:val="1"/>
                <w:szCs w:val="1"/>
                <w:color w:val="auto"/>
              </w:rPr>
            </w:pPr>
          </w:p>
        </w:tc>
      </w:tr>
      <w:tr>
        <w:trPr>
          <w:trHeight w:val="27"/>
        </w:trPr>
        <w:tc>
          <w:tcPr>
            <w:tcW w:w="50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$289.53 on the last trading day of the quarter ended June 30, 2020 and the exercise price, multiplied by the number of shares covered by in-the-money options) that would have been received by the option holder had the option holder exercised these options on June 30, 2020.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six months ended June 30, 2020, the Company granted stock options to certain employees and members of the board of directors with a weighted average grant date fair value per share of $138.75, calculated using the Black-Scholes option pricing model, which vesting periods include (a) immediate vesting on grant date (b) 1 year from grant date (c) three years from grant date and (d) four years from grant date.</w:t>
      </w:r>
    </w:p>
    <w:p>
      <w:pPr>
        <w:spacing w:after="0" w:line="94" w:lineRule="exact"/>
        <w:rPr>
          <w:rFonts w:ascii="Arial" w:cs="Arial" w:eastAsia="Arial" w:hAnsi="Arial"/>
          <w:sz w:val="16"/>
          <w:szCs w:val="16"/>
          <w:color w:val="auto"/>
        </w:rPr>
      </w:pPr>
    </w:p>
    <w:p>
      <w:pPr>
        <w:jc w:val="both"/>
        <w:ind w:left="660"/>
        <w:spacing w:after="0" w:line="263" w:lineRule="auto"/>
        <w:rPr>
          <w:rFonts w:ascii="Arial" w:cs="Arial" w:eastAsia="Arial" w:hAnsi="Arial"/>
          <w:sz w:val="16"/>
          <w:szCs w:val="16"/>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9" w:lineRule="exact"/>
        <w:rPr>
          <w:sz w:val="20"/>
          <w:szCs w:val="20"/>
          <w:color w:val="auto"/>
        </w:rPr>
      </w:pPr>
    </w:p>
    <w:tbl>
      <w:tblPr>
        <w:tblLayout w:type="fixed"/>
        <w:tblInd w:w="800" w:type="dxa"/>
        <w:tblCellMar>
          <w:top w:w="0" w:type="dxa"/>
          <w:left w:w="0" w:type="dxa"/>
          <w:bottom w:w="0" w:type="dxa"/>
          <w:right w:w="0" w:type="dxa"/>
        </w:tblCellMar>
      </w:tblPr>
      <w:tr>
        <w:trPr>
          <w:trHeight w:val="28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5.00 - 6.25 years</w:t>
            </w:r>
          </w:p>
        </w:tc>
      </w:tr>
      <w:tr>
        <w:trPr>
          <w:trHeight w:val="270"/>
        </w:trPr>
        <w:tc>
          <w:tcPr>
            <w:tcW w:w="54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52 - 60%</w:t>
            </w:r>
          </w:p>
        </w:tc>
      </w:tr>
      <w:tr>
        <w:trPr>
          <w:trHeight w:val="270"/>
        </w:trPr>
        <w:tc>
          <w:tcPr>
            <w:tcW w:w="5460" w:type="dxa"/>
            <w:vAlign w:val="bottom"/>
            <w:tcBorders>
              <w:bottom w:val="single" w:sz="8" w:color="999999"/>
            </w:tcBorders>
          </w:tcPr>
          <w:p>
            <w:pPr>
              <w:ind w:left="4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98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0.33 - 0.96%</w:t>
            </w:r>
          </w:p>
        </w:tc>
      </w:tr>
    </w:tbl>
    <w:p>
      <w:pPr>
        <w:spacing w:after="0" w:line="148" w:lineRule="exact"/>
        <w:rPr>
          <w:sz w:val="20"/>
          <w:szCs w:val="20"/>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all stock options granted in 2020,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3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with Market</w:t>
            </w:r>
          </w:p>
        </w:tc>
        <w:tc>
          <w:tcPr>
            <w:tcW w:w="36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center"/>
              <w:ind w:right="358"/>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0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2020</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463,440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204.31</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19,126</w:t>
            </w:r>
          </w:p>
        </w:tc>
        <w:tc>
          <w:tcPr>
            <w:tcW w:w="360" w:type="dxa"/>
            <w:vAlign w:val="bottom"/>
          </w:tcPr>
          <w:p>
            <w:pPr>
              <w:spacing w:after="0"/>
              <w:rPr>
                <w:sz w:val="23"/>
                <w:szCs w:val="23"/>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275.82</w:t>
            </w: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2020</w:t>
            </w:r>
          </w:p>
        </w:tc>
        <w:tc>
          <w:tcPr>
            <w:tcW w:w="14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482,566</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207.14</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7.27</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42,839</w:t>
            </w:r>
          </w:p>
        </w:tc>
        <w:tc>
          <w:tcPr>
            <w:tcW w:w="0" w:type="dxa"/>
            <w:vAlign w:val="bottom"/>
          </w:tcPr>
          <w:p>
            <w:pPr>
              <w:spacing w:after="0"/>
              <w:rPr>
                <w:sz w:val="1"/>
                <w:szCs w:val="1"/>
                <w:color w:val="auto"/>
              </w:rPr>
            </w:pPr>
          </w:p>
        </w:tc>
      </w:tr>
      <w:tr>
        <w:trPr>
          <w:trHeight w:val="34"/>
        </w:trPr>
        <w:tc>
          <w:tcPr>
            <w:tcW w:w="5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2020</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0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$289.53 on the last trading day of the quarter ended June 30, 2020 and the exercise price, multiplied by the number of shares covered by in-the-money options) that would have been received by the option holder had the option holder exercised these options on June 30, 2020. The intrinsic value changes based on the market value of the Company's common stock.</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six months ended June 30, 2020, the Company granted stock options with a grant date fair value per share of $196.07, calculated using the Monte Carlo simulation model, which has a vesting date of March 31, 2024.</w:t>
      </w:r>
    </w:p>
    <w:p>
      <w:pPr>
        <w:spacing w:after="0" w:line="11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For purposes of determining stock-based compensation expense, the grant date fair value per share of the stock options was estimated using the Monte Carlo simulation model, which requires the use of various key assumptions. The assumptions used are as follows:</w:t>
      </w:r>
    </w:p>
    <w:p>
      <w:pPr>
        <w:spacing w:after="0" w:line="62" w:lineRule="exact"/>
        <w:rPr>
          <w:sz w:val="20"/>
          <w:szCs w:val="20"/>
          <w:color w:val="auto"/>
        </w:rPr>
      </w:pPr>
    </w:p>
    <w:tbl>
      <w:tblPr>
        <w:tblLayout w:type="fixed"/>
        <w:tblInd w:w="800" w:type="dxa"/>
        <w:tblCellMar>
          <w:top w:w="0" w:type="dxa"/>
          <w:left w:w="0" w:type="dxa"/>
          <w:bottom w:w="0" w:type="dxa"/>
          <w:right w:w="0" w:type="dxa"/>
        </w:tblCellMar>
      </w:tblPr>
      <w:tr>
        <w:trPr>
          <w:trHeight w:val="28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 years</w:t>
            </w:r>
          </w:p>
        </w:tc>
      </w:tr>
      <w:tr>
        <w:trPr>
          <w:trHeight w:val="270"/>
        </w:trPr>
        <w:tc>
          <w:tcPr>
            <w:tcW w:w="5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5700" w:type="dxa"/>
            <w:vAlign w:val="bottom"/>
            <w:tcBorders>
              <w:bottom w:val="single" w:sz="8" w:color="999999"/>
            </w:tcBorders>
          </w:tcPr>
          <w:p>
            <w:pPr>
              <w:ind w:left="4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74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1.03%</w:t>
            </w:r>
          </w:p>
        </w:tc>
      </w:tr>
    </w:tbl>
    <w:p>
      <w:pPr>
        <w:spacing w:after="0" w:line="14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time of vesting and the end of the contractual term.</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2020,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 maximum of 805,885 shares may be earned for achieving superior performance up to 167% of the target number of shares. As of June 30, 2020, performance-based nonqualified stock options with a market condition of 481,669 had been earned, which have a vest date of September 30, 2022.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3"/>
                <w:szCs w:val="13"/>
                <w:color w:val="auto"/>
              </w:rPr>
            </w:pPr>
          </w:p>
        </w:tc>
        <w:tc>
          <w:tcPr>
            <w:tcW w:w="16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144,939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267.85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105,178</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275.27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(56,019)</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238.08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55"/>
              <w:spacing w:after="0"/>
              <w:rPr>
                <w:sz w:val="20"/>
                <w:szCs w:val="20"/>
                <w:color w:val="auto"/>
              </w:rPr>
            </w:pPr>
            <w:r>
              <w:rPr>
                <w:rFonts w:ascii="Arial" w:cs="Arial" w:eastAsia="Arial" w:hAnsi="Arial"/>
                <w:sz w:val="18"/>
                <w:szCs w:val="18"/>
                <w:color w:val="auto"/>
              </w:rPr>
              <w:t>(7,637)</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275.24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186,461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280.71</w:t>
            </w:r>
          </w:p>
        </w:tc>
        <w:tc>
          <w:tcPr>
            <w:tcW w:w="0" w:type="dxa"/>
            <w:vAlign w:val="bottom"/>
          </w:tcPr>
          <w:p>
            <w:pPr>
              <w:spacing w:after="0"/>
              <w:rPr>
                <w:sz w:val="1"/>
                <w:szCs w:val="1"/>
                <w:color w:val="auto"/>
              </w:rPr>
            </w:pPr>
          </w:p>
        </w:tc>
      </w:tr>
      <w:tr>
        <w:trPr>
          <w:trHeight w:val="648"/>
        </w:trPr>
        <w:tc>
          <w:tcPr>
            <w:tcW w:w="7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nonvested RSUs with performance conditions is as follows:</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3"/>
                <w:szCs w:val="13"/>
                <w:color w:val="auto"/>
              </w:rPr>
            </w:pPr>
          </w:p>
        </w:tc>
        <w:tc>
          <w:tcPr>
            <w:tcW w:w="16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14,647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210.55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(1,992)</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12,655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r>
        <w:trPr>
          <w:trHeight w:val="648"/>
        </w:trPr>
        <w:tc>
          <w:tcPr>
            <w:tcW w:w="7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Awards with Performance Conditions</w:t>
            </w:r>
          </w:p>
        </w:tc>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20" w:type="dxa"/>
            <w:vAlign w:val="bottom"/>
            <w:gridSpan w:val="2"/>
          </w:tcPr>
          <w:p>
            <w:pPr>
              <w:ind w:left="340"/>
              <w:spacing w:after="0"/>
              <w:rPr>
                <w:sz w:val="20"/>
                <w:szCs w:val="20"/>
                <w:color w:val="auto"/>
              </w:rPr>
            </w:pPr>
            <w:r>
              <w:rPr>
                <w:rFonts w:ascii="Arial" w:cs="Arial" w:eastAsia="Arial" w:hAnsi="Arial"/>
                <w:sz w:val="18"/>
                <w:szCs w:val="18"/>
                <w:color w:val="auto"/>
                <w:w w:val="91"/>
              </w:rPr>
              <w:t>A summary of changes in outstanding nonvested restricted stock awards ("RSAs") with performance conditions is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Awards</w:t>
            </w:r>
          </w:p>
        </w:tc>
        <w:tc>
          <w:tcPr>
            <w:tcW w:w="200" w:type="dxa"/>
            <w:vAlign w:val="bottom"/>
          </w:tcPr>
          <w:p>
            <w:pPr>
              <w:spacing w:after="0"/>
              <w:rPr>
                <w:sz w:val="13"/>
                <w:szCs w:val="13"/>
                <w:color w:val="auto"/>
              </w:rPr>
            </w:pPr>
          </w:p>
        </w:tc>
        <w:tc>
          <w:tcPr>
            <w:tcW w:w="16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79"/>
        </w:trPr>
        <w:tc>
          <w:tcPr>
            <w:tcW w:w="7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47,608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(11,902)</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35,706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648"/>
        </w:trPr>
        <w:tc>
          <w:tcPr>
            <w:tcW w:w="7540" w:type="dxa"/>
            <w:vAlign w:val="bottom"/>
            <w:tcBorders>
              <w:top w:val="single" w:sz="8" w:color="auto"/>
            </w:tcBorders>
          </w:tcPr>
          <w:p>
            <w:pPr>
              <w:ind w:left="5540"/>
              <w:spacing w:after="0"/>
              <w:rPr>
                <w:sz w:val="20"/>
                <w:szCs w:val="20"/>
                <w:color w:val="auto"/>
              </w:rPr>
            </w:pPr>
            <w:r>
              <w:rPr>
                <w:rFonts w:ascii="Arial" w:cs="Arial" w:eastAsia="Arial" w:hAnsi="Arial"/>
                <w:sz w:val="18"/>
                <w:szCs w:val="18"/>
                <w:color w:val="auto"/>
              </w:rPr>
              <w:t>18</w:t>
            </w:r>
          </w:p>
        </w:tc>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3"/>
                <w:szCs w:val="13"/>
                <w:color w:val="auto"/>
              </w:rPr>
            </w:pPr>
          </w:p>
        </w:tc>
        <w:tc>
          <w:tcPr>
            <w:tcW w:w="164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2020</w:t>
            </w:r>
          </w:p>
        </w:tc>
        <w:tc>
          <w:tcPr>
            <w:tcW w:w="1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7"/>
        </w:trPr>
        <w:tc>
          <w:tcPr>
            <w:tcW w:w="754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 maximum of 44,545 shares may be earned for achieving superior performance up to 167% of the target number of shares. As of June 30, 2020, performance-based restricted stock awards with a market condition of 29,601 had been earned, which have a vest date of September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0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r>
      <w:tr>
        <w:trPr>
          <w:trHeight w:val="192"/>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r>
      <w:tr>
        <w:trPr>
          <w:trHeight w:val="263"/>
        </w:trPr>
        <w:tc>
          <w:tcPr>
            <w:tcW w:w="5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2019</w:t>
            </w:r>
          </w:p>
        </w:tc>
      </w:t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20" w:type="dxa"/>
            <w:vAlign w:val="bottom"/>
            <w:gridSpan w:val="4"/>
          </w:tcPr>
          <w:p>
            <w:pPr>
              <w:jc w:val="right"/>
              <w:ind w:right="481"/>
              <w:spacing w:after="0"/>
              <w:rPr>
                <w:sz w:val="20"/>
                <w:szCs w:val="20"/>
                <w:color w:val="auto"/>
              </w:rPr>
            </w:pPr>
            <w:r>
              <w:rPr>
                <w:rFonts w:ascii="Arial" w:cs="Arial" w:eastAsia="Arial" w:hAnsi="Arial"/>
                <w:sz w:val="14"/>
                <w:szCs w:val="14"/>
                <w:b w:val="1"/>
                <w:bCs w:val="1"/>
                <w:i w:val="1"/>
                <w:iCs w:val="1"/>
                <w:color w:val="auto"/>
                <w:w w:val="91"/>
              </w:rPr>
              <w:t>(in thousands, except percentages)</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66"/>
        </w:trPr>
        <w:tc>
          <w:tcPr>
            <w:tcW w:w="5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5,689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8"/>
                <w:szCs w:val="18"/>
                <w:color w:val="auto"/>
              </w:rPr>
              <w:t>6,941</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13,441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Pr>
          <w:p>
            <w:pPr>
              <w:spacing w:after="0"/>
              <w:rPr>
                <w:sz w:val="21"/>
                <w:szCs w:val="21"/>
                <w:color w:val="auto"/>
              </w:rPr>
            </w:pPr>
          </w:p>
        </w:tc>
        <w:tc>
          <w:tcPr>
            <w:tcW w:w="1520" w:type="dxa"/>
            <w:vAlign w:val="bottom"/>
            <w:gridSpan w:val="2"/>
          </w:tcPr>
          <w:p>
            <w:pPr>
              <w:jc w:val="right"/>
              <w:ind w:right="419"/>
              <w:spacing w:after="0"/>
              <w:rPr>
                <w:sz w:val="20"/>
                <w:szCs w:val="20"/>
                <w:color w:val="auto"/>
              </w:rPr>
            </w:pPr>
            <w:r>
              <w:rPr>
                <w:rFonts w:ascii="Arial" w:cs="Arial" w:eastAsia="Arial" w:hAnsi="Arial"/>
                <w:sz w:val="18"/>
                <w:szCs w:val="18"/>
                <w:i w:val="1"/>
                <w:iCs w:val="1"/>
                <w:color w:val="auto"/>
              </w:rPr>
              <w:t>31.0%</w:t>
            </w: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18"/>
                <w:szCs w:val="18"/>
                <w:i w:val="1"/>
                <w:iCs w:val="1"/>
                <w:color w:val="auto"/>
              </w:rPr>
              <w:t>(203.0)%</w:t>
            </w:r>
          </w:p>
        </w:tc>
        <w:tc>
          <w:tcPr>
            <w:tcW w:w="54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i w:val="1"/>
                <w:iCs w:val="1"/>
                <w:color w:val="auto"/>
              </w:rPr>
              <w:t>N/A</w:t>
            </w:r>
          </w:p>
        </w:tc>
      </w:tr>
      <w:tr>
        <w:trPr>
          <w:trHeight w:val="27"/>
        </w:trPr>
        <w:tc>
          <w:tcPr>
            <w:tcW w:w="528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110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1160" w:type="dxa"/>
            <w:vAlign w:val="bottom"/>
            <w:tcBorders>
              <w:bottom w:val="single" w:sz="8" w:color="999999"/>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840" w:type="dxa"/>
            <w:vAlign w:val="bottom"/>
            <w:tcBorders>
              <w:bottom w:val="single" w:sz="8" w:color="999999"/>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second quarter and first six months of 2020, the effective tax rate varied from the federal statutory rate of 21% in part due to a tax benefit of $0.8 million and $1.8 million, respectively, recognized for excess tax benefits resulting from employee exercises of stock options and vesting of restricted stock in accordance with ASU 2016-09 and the effect of state taxes. The effective tax rate for the first six months of 2020 was also impacted by a tax benefit of $6.1 million for the impact of the Coronavirus Aid, Relief, and Economic Security ("CARES") Act, as described below.</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the Company, including, but not limited to, modifications for net operating losses, accelerated timeframe for refunds associated with prior minimum taxes and modifications of the limitation on business interest.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revalued deferred tax assets related to net operating losses in light of the changes in the CARES Act, and recorded a net tax benefit of $6.1 million during the first six months of 2020. These deferred tax assets are being revalued, as they will be carried back to 2016 and 2017, which are tax periods prior to the Tax Cuts and Jobs Act ("TCJA") when the federal statutory tax rate was 35% versus the 21% federal statutory tax rate in effect after the enactment of the TCJA.</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second quarter and first six months of 2019, the effective tax rate varied from the federal statutory rate of 21% primarily due to a tax benefit of $7.7 million and $13.7 million, respectively, recognized for excess tax benefits resulting from employee exercises of stock options and vesting of restricted stock in accordance with ASU 2016-09 and the effect of state taxes.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92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r>
      <w:tr>
        <w:trPr>
          <w:trHeight w:val="192"/>
        </w:trPr>
        <w:tc>
          <w:tcPr>
            <w:tcW w:w="5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r>
      <w:tr>
        <w:trPr>
          <w:trHeight w:val="263"/>
        </w:trPr>
        <w:tc>
          <w:tcPr>
            <w:tcW w:w="56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3"/>
              </w:rPr>
              <w:t>2019</w:t>
            </w:r>
          </w:p>
        </w:tc>
      </w:tr>
      <w:tr>
        <w:trPr>
          <w:trHeight w:val="190"/>
        </w:trPr>
        <w:tc>
          <w:tcPr>
            <w:tcW w:w="5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66"/>
        </w:trPr>
        <w:tc>
          <w:tcPr>
            <w:tcW w:w="5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29"/>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(expense) - excluding excess tax benefit on stock</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CARES Act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3,127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82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753</w:t>
            </w:r>
          </w:p>
        </w:tc>
        <w:tc>
          <w:tcPr>
            <w:tcW w:w="4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7,723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1,807</w:t>
            </w:r>
          </w:p>
        </w:tc>
        <w:tc>
          <w:tcPr>
            <w:tcW w:w="5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13,725</w:t>
            </w:r>
          </w:p>
        </w:tc>
      </w:tr>
      <w:tr>
        <w:trPr>
          <w:trHeight w:val="27"/>
        </w:trPr>
        <w:tc>
          <w:tcPr>
            <w:tcW w:w="5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CARES Act</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6,104</w:t>
            </w:r>
          </w:p>
        </w:tc>
        <w:tc>
          <w:tcPr>
            <w:tcW w:w="5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 benefit</w:t>
            </w: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8"/>
              </w:rPr>
              <w:t>3,880</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5,689</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6,941</w:t>
            </w:r>
          </w:p>
        </w:tc>
        <w:tc>
          <w:tcPr>
            <w:tcW w:w="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13,441</w:t>
            </w:r>
          </w:p>
        </w:tc>
      </w:tr>
      <w:tr>
        <w:trPr>
          <w:trHeight w:val="34"/>
        </w:trPr>
        <w:tc>
          <w:tcPr>
            <w:tcW w:w="5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the Company issued $300.0 million aggregate principal amount of its 0.625% Convertible Senior Notes due June 1, 2022 (the “2022 Notes”) in a private placement. The 2022 Notes bear interest at a rate of 0.625% per year, payable semi-annually on June 1 and December 1 of each year, beginning on December 1, 2017. The 2022 Notes will mature on June 1, 2022, unless earlier repurchased or converted.</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conversion rate of the 2022 Notes is 4.8163 shares of Common Stock per $1,000 principal amount of 2022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2022 Notes, the Company will, in certain circumstances, increase the conversion rate by a specified number of additional shares for a holder that elects to convert the 2022 Notes in connection with such fundamental change. Upon conversion, the 2022 Notes will settle for cash, shares of the Company’s stock, or a combination thereof, at the Company’s option. It is the intent of the Company to settle the principal amount of the 2022 Notes in cash and any conversion premium in shares of its common stock.</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2022 Notes are the Company’s senior unsecured obligations and will rank senior in right of payment to any of the Company’s indebtedness that is expressly subordinated in right of payment to the 2022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2022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2022 Notes) per $1,000 principal amount of 2022 Notes for such trading day was less than 98% of the product of the last reported sale price of the Common Stock and the conversion rate on each such trading day;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the 2022 Notes were not entitled to convert the 2022 Notes during the calendar quarter ended June 30, 2020 as the last reported sales price of the Company's common stock, for at least 20 trading days (whether or not consecutive) during the period of 30 consecutive trading days ending on March 31, 2020, was not greater than or equal to 130% of the conversion price of the 2022 Notes on each applicable trading day. Holders of the 2022 Notes are not entitled to convert the 2022 Notes during the calendar quarter ended September 30, 2020 as the last reported sales price of the Company's common stock, for at least 20 trading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days (whether or not consecutive) during the period of 30 consecutive trading days ending on June 30, 2020, was not greater than or equal to 130% of the conversion price of the 2022 Notes on each applicable trading day.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2022 Notes, holders of the 2022 Notes may convert all or a portion of their 2022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2022 Notes prior to the maturity date and no sinking fund is provided for the 2022 Notes. Upon the occurrence of a fundamental change prior to the maturity date of the 2022 Notes, holders of the 2022 Notes may require the Company to repurchase all or a portion of the 2022 Notes for cash at a price equal to 100% of the principal amount of the 2022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2022 Notes, exceeds the conversion price of the 2022 Notes, the 2022 Notes could have a dilutive effect, unless the Company elects, subject to certain conditions, to settle the principal amount of the 2022 Notes and any conversion premium in cash.</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first six months of 2020, the Company recorded interest expense on the 2022 Notes of $7.9 million which consisted of $0.9 million associated with the 0.625% coupon rate, $6.3 million associated with the accretion of the debt discount, and $0.7 million associated with the amortization of the debt issuance costs. In the first six months of 2019, the Company recorded interest expense on the 2022 Notes of $7.5 million which consisted of $0.9 million associated with the 0.625% coupon rate, $5.9 million associated with the accretion of the debt discount, and $0.7 million associated with the amortization of the debt issuance costs. The debt discount is being amortized over the term of the debt.</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2020, the fair value of the 2022 Notes is estimated to be approximately $430.5 million using the Level 1 observable input of the last quoted market price for the quarter ended June 30,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299,977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299,991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25,537</w:t>
            </w:r>
          </w:p>
        </w:tc>
        <w:tc>
          <w:tcPr>
            <w:tcW w:w="3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31,789</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3,062</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3,811</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271,378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264,391</w:t>
            </w:r>
          </w:p>
        </w:tc>
      </w:tr>
      <w:tr>
        <w:trPr>
          <w:trHeight w:val="34"/>
        </w:trPr>
        <w:tc>
          <w:tcPr>
            <w:tcW w:w="8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24, 2020, the Company repurchased approximately $130.3 million principal amount of the 2022 Notes through separate and individually-negotiated transactions with certain holders of the 2022 Notes. See Note 19—Subsequent Events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2017 Warrants transactions.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31, 2017, the Company paid $61.5 million to the counterparties for the 2017 Hedge transactions. The 2017 Hedge transactions cover approximately 1.4 million shares of the Company’s common stock, the same number of shares initially underlying the 2022 Notes, and are exercisable upon any conversion of the 2022 Notes. The 2017 Hedge transactions are expected generally to reduce the potential dilution to the Common Stock upon conversion of the 2022 Notes and/or offset any cash payments the Company is required to make in excess of the principal amount of the converted 2022 Notes, as the case may be, in the event that the market price per share of Common Stock, as measured under the terms of the 2017 Hedge transactions, is greater than the strike price of the 2017 Hedge transactions, which initially corresponds to the initial conversion price of the 2022 Notes, or approximately $207.63 per share of Common Stock. The 2017 Hedge transactions will expire upon the maturity of the Notes.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the Company sold to the counterparties, warrants (the “2017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2017 Warrants.</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2017 Hedge and 2017 Warrants transactions are indexed to, and potentially settled in, the Company's common stock and the net cost of $18.1 million has been recorded as a reduction to additional paid-in capital in the consolidated statement of shareholders’ equity.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of the repurchases of the 2022 Notes noted above, the Company entered into agreements with the counterparties for the 2017 Hedge and 2017 Warrants transactions to terminate a portion of the existing call spread transactions effective July 24, 2020 in notional amounts corresponding to the principal amount of the 2022 Notes repurchased. See Note 19—Subsequent Events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10, 2019, the Company's wholly-owned subsidiary, LendingTree, LLC, entered into an amended and restated $500.0 million five-year senior secured revolving credit facility (the "Amended Revolving Credit Facility") which amended and restated the Company's previous $350.0 million five-year senior secured revolving credit facility (the “2017 Revolving Credit Facility”). The Amended Revolving Credit Facility matures on December 10, 2024. Borrowings under the Amended Revolving Credit Facility can be used to finance working capital needs, capital expenditures and general corporate purposes, including to finance permitted acquisitions. As of June 30, 2020, the Company had a $130.0 million, 30-day borrowing outstanding under the Amended Revolving Credit Facility bearing interest at the LIBO rate option of 1.44%. As of December 31, 2019, the Company had $75.0 million in borrowings outstanding under the Amended Revolving Credit Facility at the LIBO rate option with a weighted average interest rate of 3.01%, consisting of a $50.0 million 31-day borrowing and a $25.0 million 31-day borrowing.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19—Subsequent Events for activity related to the Amended Revolving Credit Facility in July 2020.</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 to $10.0 million of the Amended Revolving Credit Facility will be available for short-term loans, referred to as swingline loans. Under certain conditions, the Company will be permitted to add one or more term loans and/or increase revolving commitments under the Amended Revolving Credit Facility by an additional amount equal to the greater of $185.0 million or 100% of Consolidated EBITDA as defined, or a greater amount provided that a total consolidated senior secured debt to EBITDA ratio does not exceed 2.50 to 1.00. Additionally, up to $10.0 million of the Amended Revolving Credit Facility will be available for the issuance of letters of credit. At each of June 30, 2020 and December 31, 2019, the Company had outstanding one letter of credit issued in the amount of $0.2 million.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borrowings under the Amended Revolving Credit Facility bear interest at annual rates that, at the Company’s option, will be either:</w:t>
      </w:r>
    </w:p>
    <w:p>
      <w:pPr>
        <w:spacing w:after="0" w:line="194" w:lineRule="exact"/>
        <w:rPr>
          <w:sz w:val="20"/>
          <w:szCs w:val="20"/>
          <w:color w:val="auto"/>
        </w:rPr>
      </w:pPr>
    </w:p>
    <w:p>
      <w:pPr>
        <w:jc w:val="both"/>
        <w:ind w:left="660" w:right="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Amended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Amended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June 30, 2020.</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Amended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is required to pay an unused commitment fee quarterly in arrears on the difference between committed amounts and amounts actually borrowed under the Amended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remaining unamortized debt issuance costs associated with the original revolving credit facility and the Revolving Credit Facility, debt issuance costs of $2.8 million related to the Amended Revolving Credit Facility entered into on December 10, 2019 are being amortized to interest expense over the life of the Amended Revolving Credit Facility, and are included in prepaid and other current assets and other non-current assets in the Company's consolidated balance sheet.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six months of 2020, the Company recorded interest expense related to the Amended Revolving Credit Facility of $2.1 million which consisted of $1.1 million associated with borrowings bearing interest at the LIBO rate, $0.5 million in unused commitment fees, and $0.5 million associated with the amortization of the debt issuance costs. In the first six months of 2019, the Company recorded interest expense related to the revolving credit facility of $3.8 million which consisted of $3.2 million associated with borrowings bearing interest at the LIBO rate, $0.3 million in unused commitment fees, and $0.3 million associated with the amortization of the debt issuance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15,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of June 30, 2020, the Company had litigation settlement accruals of $0.1 million and $62.3 million in continuing operations and discontinued operations, respectively. As of December 31, 2019, the Company had litigation settlement accruals of $0.2 million and $31.0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18—Discontinued Operations for additional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Other than the convertible notes and warrants, as well as the equity interest in Stash, the carrying amounts of the Company's financial instruments are equal to fair value at June 30,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14—Debt and Note 19—Subsequent Events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 in Stash.</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Contingent consideration payments related to acquisitions are measured at fair value each reporting period using Level 3 unobservable inputs. The changes in the fair value of the Company's Level 3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3"/>
        </w:trPr>
        <w:tc>
          <w:tcPr>
            <w:tcW w:w="64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22,342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33,464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38,837</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Transfers into Level 3</w:t>
            </w:r>
          </w:p>
        </w:tc>
        <w:tc>
          <w:tcPr>
            <w:tcW w:w="28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28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9,175</w:t>
            </w:r>
          </w:p>
        </w:tc>
        <w:tc>
          <w:tcPr>
            <w:tcW w:w="3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1,053</w:t>
            </w:r>
          </w:p>
        </w:tc>
        <w:tc>
          <w:tcPr>
            <w:tcW w:w="3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17,382</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(3,000)</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(6,000)</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Contingent consideration,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28,517</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50,219</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28,517</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50,219</w:t>
            </w:r>
          </w:p>
        </w:tc>
      </w:tr>
      <w:tr>
        <w:trPr>
          <w:trHeight w:val="34"/>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contingent consideration liability at June 30, 2020 is the estimated fair value of the earnout payments of the Ovation and QuoteWizard acquisitions.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will make an earnout payment of $4.4 million based on the achievement of certain defined operating metrics for Ovation, and payments ranging from zero to $46.8 million based on the achievement of certain defined performance targets for QuoteWizard.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8—Business Acquisitions for additional information on the contingent consideration for each of these respective acquisitions.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significant unobservable inputs used to calculate the fair value of the contingent consideration are estimated future cash flows for the acquisitions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quantitative information about Level 3 fair value measurements.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Fair Value at</w:t>
            </w:r>
          </w:p>
        </w:tc>
        <w:tc>
          <w:tcPr>
            <w:tcW w:w="2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43"/>
        </w:trPr>
        <w:tc>
          <w:tcPr>
            <w:tcW w:w="1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June 30, 2020</w:t>
            </w:r>
          </w:p>
        </w:tc>
        <w:tc>
          <w:tcPr>
            <w:tcW w:w="242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Valuation Technique</w:t>
            </w:r>
          </w:p>
        </w:tc>
        <w:tc>
          <w:tcPr>
            <w:tcW w:w="294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Unobservable Input</w:t>
            </w:r>
          </w:p>
        </w:tc>
        <w:tc>
          <w:tcPr>
            <w:tcW w:w="29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Range (Weighted Average)</w:t>
            </w:r>
            <w:r>
              <w:rPr>
                <w:rFonts w:ascii="Arial" w:cs="Arial" w:eastAsia="Arial" w:hAnsi="Arial"/>
                <w:sz w:val="21"/>
                <w:szCs w:val="21"/>
                <w:b w:val="1"/>
                <w:bCs w:val="1"/>
                <w:color w:val="auto"/>
                <w:vertAlign w:val="superscript"/>
              </w:rPr>
              <w:t>(a)</w:t>
            </w:r>
          </w:p>
        </w:tc>
      </w:tr>
      <w:tr>
        <w:trPr>
          <w:trHeight w:val="184"/>
        </w:trPr>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59"/>
              <w:spacing w:after="0"/>
              <w:rPr>
                <w:sz w:val="20"/>
                <w:szCs w:val="20"/>
                <w:color w:val="auto"/>
              </w:rPr>
            </w:pPr>
            <w:r>
              <w:rPr>
                <w:rFonts w:ascii="Arial" w:cs="Arial" w:eastAsia="Arial" w:hAnsi="Arial"/>
                <w:sz w:val="14"/>
                <w:szCs w:val="14"/>
                <w:b w:val="1"/>
                <w:bCs w:val="1"/>
                <w:i w:val="1"/>
                <w:iCs w:val="1"/>
                <w:color w:val="auto"/>
                <w:w w:val="89"/>
              </w:rPr>
              <w:t>(in thousands)</w:t>
            </w:r>
          </w:p>
        </w:tc>
        <w:tc>
          <w:tcPr>
            <w:tcW w:w="24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80"/>
        </w:trPr>
        <w:tc>
          <w:tcPr>
            <w:tcW w:w="1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900" w:type="dxa"/>
            <w:vAlign w:val="bottom"/>
          </w:tcPr>
          <w:p>
            <w:pPr>
              <w:spacing w:after="0"/>
              <w:rPr>
                <w:sz w:val="6"/>
                <w:szCs w:val="6"/>
                <w:color w:val="auto"/>
              </w:rPr>
            </w:pPr>
          </w:p>
        </w:tc>
      </w:tr>
      <w:tr>
        <w:trPr>
          <w:trHeight w:val="229"/>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28,517</w:t>
            </w: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 pricing model</w:t>
            </w: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results growth rate</w:t>
            </w:r>
          </w:p>
        </w:tc>
        <w:tc>
          <w:tcPr>
            <w:tcW w:w="2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20.7% - 28.4% (24.6%)</w:t>
            </w:r>
          </w:p>
        </w:tc>
      </w:tr>
      <w:tr>
        <w:trPr>
          <w:trHeight w:val="237"/>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Discount rate</w:t>
            </w:r>
          </w:p>
        </w:tc>
        <w:tc>
          <w:tcPr>
            <w:tcW w:w="2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660" w:right="20" w:hanging="328"/>
        <w:spacing w:after="0" w:line="277" w:lineRule="auto"/>
        <w:tabs>
          <w:tab w:leader="none" w:pos="592"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Discount rates were weighted by the relative undiscounted value of expected earnout payments. Other unobservable inputs were weighted by the relative maximum potential earnout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INFORMATION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 The Company changed its reportable segments in the fourth quarter of 2019 and previously reported segment results have been revised to conform to the Company's reportable segments at June 30, 2020.</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Revenue from the resale of online advertising space to third parties and revenue from home improvement referrals, and the related variable marketing and advertising expenses, are included within the Other category.</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For the Other category, segment cost of revenue and marketing expense also includes the portion of cost of revenue attributable to costs paid for advertising re-sold to third parties. The Company ceased reselling online advertising space during the first quarter of 2020.</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4"/>
                <w:szCs w:val="14"/>
                <w:b w:val="1"/>
                <w:bCs w:val="1"/>
                <w:color w:val="auto"/>
              </w:rPr>
              <w:t>Three Months Ended June 30, 2020</w:t>
            </w: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i w:val="1"/>
                <w:iCs w:val="1"/>
                <w:color w:val="auto"/>
                <w:w w:val="90"/>
              </w:rPr>
              <w:t>(in thousands)</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74,123</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37,118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72,919</w:t>
            </w:r>
          </w:p>
        </w:tc>
        <w:tc>
          <w:tcPr>
            <w:tcW w:w="880" w:type="dxa"/>
            <w:vAlign w:val="bottom"/>
            <w:tcBorders>
              <w:bottom w:val="single" w:sz="8" w:color="CCEEFF"/>
            </w:tcBorders>
            <w:shd w:val="clear" w:color="auto" w:fill="CCEEFF"/>
          </w:tcPr>
          <w:p>
            <w:pPr>
              <w:jc w:val="right"/>
              <w:ind w:right="644"/>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166</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184,326</w:t>
            </w:r>
          </w:p>
        </w:tc>
      </w:tr>
      <w:tr>
        <w:trPr>
          <w:trHeight w:val="223"/>
        </w:trPr>
        <w:tc>
          <w:tcPr>
            <w:tcW w:w="5080" w:type="dxa"/>
            <w:vAlign w:val="bottom"/>
          </w:tcPr>
          <w:p>
            <w:pPr>
              <w:ind w:left="40"/>
              <w:spacing w:after="0"/>
              <w:rPr>
                <w:sz w:val="20"/>
                <w:szCs w:val="20"/>
                <w:color w:val="auto"/>
              </w:rPr>
            </w:pPr>
            <w:r>
              <w:rPr>
                <w:rFonts w:ascii="Arial" w:cs="Arial" w:eastAsia="Arial" w:hAnsi="Arial"/>
                <w:sz w:val="16"/>
                <w:szCs w:val="16"/>
                <w:color w:val="auto"/>
              </w:rPr>
              <w:t>Segment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35,397</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17,716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42,797</w:t>
            </w:r>
          </w:p>
        </w:tc>
        <w:tc>
          <w:tcPr>
            <w:tcW w:w="88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95,995</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38,726</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19,402</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30,122</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88,331</w:t>
            </w:r>
          </w:p>
        </w:tc>
      </w:tr>
      <w:tr>
        <w:trPr>
          <w:trHeight w:val="230"/>
        </w:trPr>
        <w:tc>
          <w:tcPr>
            <w:tcW w:w="5080" w:type="dxa"/>
            <w:vAlign w:val="bottom"/>
          </w:tcPr>
          <w:p>
            <w:pPr>
              <w:ind w:left="180"/>
              <w:spacing w:after="0"/>
              <w:rPr>
                <w:sz w:val="20"/>
                <w:szCs w:val="20"/>
                <w:color w:val="auto"/>
              </w:rPr>
            </w:pPr>
            <w:r>
              <w:rPr>
                <w:rFonts w:ascii="Arial" w:cs="Arial" w:eastAsia="Arial" w:hAnsi="Arial"/>
                <w:sz w:val="16"/>
                <w:szCs w:val="16"/>
                <w:color w:val="auto"/>
              </w:rPr>
              <w:t>Cost of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13,464</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17,926</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28,489</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10,812</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3,550</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13,756</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9,175</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(1,325)</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(7,548)</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(4,955)</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(12,496)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w w:val="93"/>
              </w:rPr>
              <w:t>Three Months Ended June 30, 2019</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i w:val="1"/>
                <w:iCs w:val="1"/>
                <w:color w:val="auto"/>
                <w:w w:val="92"/>
              </w:rPr>
              <w:t>(in thousands)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71,756</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128,963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71,941</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5,761</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278,421</w:t>
            </w:r>
          </w:p>
        </w:tc>
      </w:tr>
      <w:tr>
        <w:trPr>
          <w:trHeight w:val="224"/>
        </w:trPr>
        <w:tc>
          <w:tcPr>
            <w:tcW w:w="508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47,546</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78,192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43,135</w:t>
            </w:r>
          </w:p>
        </w:tc>
        <w:tc>
          <w:tcPr>
            <w:tcW w:w="4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5,416</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174,289</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24,210</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50,771</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28,806</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345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104,132</w:t>
            </w:r>
          </w:p>
        </w:tc>
      </w:tr>
      <w:tr>
        <w:trPr>
          <w:trHeight w:val="200"/>
        </w:trPr>
        <w:tc>
          <w:tcPr>
            <w:tcW w:w="5080" w:type="dxa"/>
            <w:vAlign w:val="bottom"/>
          </w:tcPr>
          <w:p>
            <w:pPr>
              <w:ind w:left="180"/>
              <w:spacing w:after="0"/>
              <w:rPr>
                <w:sz w:val="20"/>
                <w:szCs w:val="20"/>
                <w:color w:val="auto"/>
              </w:rPr>
            </w:pPr>
            <w:r>
              <w:rPr>
                <w:rFonts w:ascii="Arial" w:cs="Arial" w:eastAsia="Arial" w:hAnsi="Arial"/>
                <w:sz w:val="16"/>
                <w:szCs w:val="16"/>
                <w:color w:val="auto"/>
                <w:w w:val="97"/>
              </w:rPr>
              <w:t>Cost of revenue (exclusive of cost of advertising re-sold to third parties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5080" w:type="dxa"/>
            <w:vAlign w:val="bottom"/>
          </w:tcPr>
          <w:p>
            <w:pPr>
              <w:ind w:left="18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11,257</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22,393</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27,951</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10,175</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2,559</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14,280</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2,790</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12,316</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(5,095)</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7,292</w:t>
            </w:r>
          </w:p>
        </w:tc>
      </w:tr>
      <w:tr>
        <w:trPr>
          <w:trHeight w:val="777"/>
        </w:trPr>
        <w:tc>
          <w:tcPr>
            <w:tcW w:w="5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23"/>
              <w:spacing w:after="0"/>
              <w:rPr>
                <w:sz w:val="20"/>
                <w:szCs w:val="20"/>
                <w:color w:val="auto"/>
              </w:rPr>
            </w:pPr>
            <w:r>
              <w:rPr>
                <w:rFonts w:ascii="Arial" w:cs="Arial" w:eastAsia="Arial" w:hAnsi="Arial"/>
                <w:sz w:val="14"/>
                <w:szCs w:val="14"/>
                <w:b w:val="1"/>
                <w:bCs w:val="1"/>
                <w:color w:val="auto"/>
                <w:w w:val="93"/>
              </w:rPr>
              <w:t>Six Months Ended June 30, 2020</w:t>
            </w: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i w:val="1"/>
                <w:iCs w:val="1"/>
                <w:color w:val="auto"/>
                <w:w w:val="92"/>
              </w:rPr>
              <w:t>(in thousands)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153,297</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157,042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155,656</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1,415</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467,410</w:t>
            </w:r>
          </w:p>
        </w:tc>
      </w:tr>
      <w:tr>
        <w:trPr>
          <w:trHeight w:val="223"/>
        </w:trPr>
        <w:tc>
          <w:tcPr>
            <w:tcW w:w="508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78,660</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94,541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95,001</w:t>
            </w:r>
          </w:p>
        </w:tc>
        <w:tc>
          <w:tcPr>
            <w:tcW w:w="4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1,662</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269,864</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74,637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62,501</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60,655</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197,546</w:t>
            </w:r>
          </w:p>
        </w:tc>
      </w:tr>
      <w:tr>
        <w:trPr>
          <w:trHeight w:val="200"/>
        </w:trPr>
        <w:tc>
          <w:tcPr>
            <w:tcW w:w="5080" w:type="dxa"/>
            <w:vAlign w:val="bottom"/>
          </w:tcPr>
          <w:p>
            <w:pPr>
              <w:ind w:left="180"/>
              <w:spacing w:after="0"/>
              <w:rPr>
                <w:sz w:val="20"/>
                <w:szCs w:val="20"/>
                <w:color w:val="auto"/>
              </w:rPr>
            </w:pPr>
            <w:r>
              <w:rPr>
                <w:rFonts w:ascii="Arial" w:cs="Arial" w:eastAsia="Arial" w:hAnsi="Arial"/>
                <w:sz w:val="16"/>
                <w:szCs w:val="16"/>
                <w:color w:val="auto"/>
                <w:w w:val="97"/>
              </w:rPr>
              <w:t>Cost of revenue (exclusive of cost of advertising re-sold to third parties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5080" w:type="dxa"/>
            <w:vAlign w:val="bottom"/>
          </w:tcPr>
          <w:p>
            <w:pPr>
              <w:ind w:left="18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26,630</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40,681</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60,571</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21,775</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6,928</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27,513</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1,053</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13,201</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(9,789)</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3,419</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 2019</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i w:val="1"/>
                <w:iCs w:val="1"/>
                <w:color w:val="auto"/>
                <w:w w:val="90"/>
              </w:rPr>
              <w:t>(in thousands)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135,193</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249,692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139,033</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16,893</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540,811</w:t>
            </w:r>
          </w:p>
        </w:tc>
      </w:tr>
      <w:tr>
        <w:trPr>
          <w:trHeight w:val="224"/>
        </w:trPr>
        <w:tc>
          <w:tcPr>
            <w:tcW w:w="508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87,062</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144,947</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82,363</w:t>
            </w:r>
          </w:p>
        </w:tc>
        <w:tc>
          <w:tcPr>
            <w:tcW w:w="4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15,789</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330,161</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48,131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104,745</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56,670</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1,104</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210,650</w:t>
            </w:r>
          </w:p>
        </w:tc>
      </w:tr>
      <w:tr>
        <w:trPr>
          <w:trHeight w:val="200"/>
        </w:trPr>
        <w:tc>
          <w:tcPr>
            <w:tcW w:w="5080" w:type="dxa"/>
            <w:vAlign w:val="bottom"/>
          </w:tcPr>
          <w:p>
            <w:pPr>
              <w:ind w:left="180"/>
              <w:spacing w:after="0"/>
              <w:rPr>
                <w:sz w:val="20"/>
                <w:szCs w:val="20"/>
                <w:color w:val="auto"/>
              </w:rPr>
            </w:pPr>
            <w:r>
              <w:rPr>
                <w:rFonts w:ascii="Arial" w:cs="Arial" w:eastAsia="Arial" w:hAnsi="Arial"/>
                <w:sz w:val="16"/>
                <w:szCs w:val="16"/>
                <w:color w:val="auto"/>
                <w:w w:val="97"/>
              </w:rPr>
              <w:t>Cost of revenue (exclusive of cost of advertising re-sold to third parties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5080" w:type="dxa"/>
            <w:vAlign w:val="bottom"/>
          </w:tcPr>
          <w:p>
            <w:pPr>
              <w:ind w:left="18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21,591</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48,748</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59,068</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20,341</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5,041</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27,707</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17,382</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10,514</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(10,563)</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90</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18—DISCONTINUED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for $55.9 million in cash to a wholly-owned subsidiary of Discover Financial Services ("Discover"). Discover generally did not assume liabilities of HLC that arose before the closing date, except for certain liabilities directly related to assets Discover acquired. Of the purchase price received, a portion was deposited in escrow in accordance with the purchase agreement with Discover for certain loan loss obligations that remained with HLC following the sale. During 2018, the remaining funds in escrow were released to HLC in accordance with the terms of the purchase agreement with Discover.</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Certain liability for losses on previously sold loans remains with HLC.</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Litigation settlements and contingencies and legal fees associated with ongoing related bankruptcy and legal proceedings against the Company are included in discontinued operations in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xml:space="preserve">, against HLC for $68.5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Litigation Related to Discontinued Operations below. The judgment against HLC exceeded the assets of HLC, which were $11.2 million at July 21, 2019, including cash of $5.9 million. On July 19, 2019, HLC appealed the judgment to the United States Court of Appeals for the Eighth Circuit.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HLC’s filing under the Bankruptcy Code creates an automatic stay of enforcement of the judgment entered against HLC by the Minnesota court in </w:t>
      </w:r>
      <w:r>
        <w:rPr>
          <w:rFonts w:ascii="Arial" w:cs="Arial" w:eastAsia="Arial" w:hAnsi="Arial"/>
          <w:sz w:val="18"/>
          <w:szCs w:val="18"/>
          <w:i w:val="1"/>
          <w:iCs w:val="1"/>
          <w:color w:val="auto"/>
        </w:rPr>
        <w:t xml:space="preserve">ResCap Liquidating Trust v. Home Loan Center, Inc. </w:t>
      </w:r>
      <w:r>
        <w:rPr>
          <w:rFonts w:ascii="Arial" w:cs="Arial" w:eastAsia="Arial" w:hAnsi="Arial"/>
          <w:sz w:val="18"/>
          <w:szCs w:val="18"/>
          <w:color w:val="auto"/>
        </w:rPr>
        <w:t>described above and in Litigation Related to Discontinued Operations below.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 LendingTree, LLC was, as of the initial July 21, 2019</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the third quarter of 2019 the Company recognized a loss of $5.5 million which includes a net gain of $4.5 million related to the removal of HLC's (and its consolidated subsidiary's) assets and liabilities and the recognition of a liability of $10.0 million related to LendingTree LLC's ownership in HLC. No consideration was received by the Company as a result of the deconsolidation.</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HLC has indicated that it believes that it has claims against HLC’s sole shareholder, LendingTree, LLC, and certain of its officers and directors, relating to the declaration of a dividend by HLC in January 2016 of $40.0 million. The Company is obligated to advance any expenses to the officers and directors related to these claims and to indemnify them to the maximum extent permitted by law. LendingTree, LLC believes the declaration of the dividend was proper, that the amounts paid to LendingTree, LLC following such declaration are not subject to recovery by HLC and that any claims by HLC relating to such dividend declaration are without merit. During the second quarter of 2020, LendingTree, LLC and HLC entered into a settlement agreement, subject to the approval of the bankruptcy court in the HLC Bankruptcy, in the amount of $36.0 million for the release of any and all claims against the Company defendants by HLC, including the dividend claim. The bankruptcy court held a hearing on July 16, 2020 on the motion to approve the settlement to which no objections were made, and approved the settlement the same day. A liability of $36.0 million is included in the accompanying consolidated balance sheet as of June 30, 2020 related to LendingTree LLC's ownership in HLC. The $36.0 million settlement payment was made in July 2020. HLC’s voluntary petition under the Bankruptcy Code does not represent an event of default under LendingTree, LLC’s Second Amended and Restated Credit Agreement dated as of December 10, 2019 or the Company’s indenture dated May 31, 2017 with respect to the Company’s 0.625% Convertible Senior Notes due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ResCap Liquidating Trust v. Home Loan Center, Inc., Case No. 14-cv-1716 (U.S. Dist. Ct., Minn.), </w:t>
      </w:r>
      <w:r>
        <w:rPr>
          <w:rFonts w:ascii="Arial" w:cs="Arial" w:eastAsia="Arial" w:hAnsi="Arial"/>
          <w:sz w:val="18"/>
          <w:szCs w:val="18"/>
          <w:color w:val="auto"/>
        </w:rPr>
        <w:t>successor to</w:t>
      </w:r>
      <w:r>
        <w:rPr>
          <w:rFonts w:ascii="Arial" w:cs="Arial" w:eastAsia="Arial" w:hAnsi="Arial"/>
          <w:sz w:val="18"/>
          <w:szCs w:val="18"/>
          <w:i w:val="1"/>
          <w:iCs w:val="1"/>
          <w:color w:val="auto"/>
        </w:rPr>
        <w:t xml:space="preserve"> Residential Funding Company, LLC v Home Loan Center, Inc., No. 13-cv-3451 (U.S. Dist. Ct., Minn.). </w:t>
      </w:r>
      <w:r>
        <w:rPr>
          <w:rFonts w:ascii="Arial" w:cs="Arial" w:eastAsia="Arial" w:hAnsi="Arial"/>
          <w:sz w:val="18"/>
          <w:szCs w:val="18"/>
          <w:color w:val="auto"/>
        </w:rPr>
        <w:t>On or about December 16, 2013, Home Loan Center, Inc. was served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asserted that, beginning in 2008, RFC faced massive repurchase demands and lawsuits from purchasers or insurers of the loans and RMBS that RFC had sold. RFC filed for bankruptcy protection in May 2012. Plaintiff alleged that, after RFC filed for Chapter 11 protection, hundreds of proofs of claim were filed, many of which mirrored the litigation filed against RFC prior to its bankruptcy.</w:t>
      </w:r>
    </w:p>
    <w:p>
      <w:pPr>
        <w:spacing w:after="0" w:line="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claimed that the defendant is liable for a portion of the global settlement in RFC’s bankruptcy.</w:t>
      </w:r>
    </w:p>
    <w:p>
      <w:pPr>
        <w:spacing w:after="0" w:line="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Plaintiff asserted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alleged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HLC denied the material allegations of the complaint and asserted numerous defenses thereto. The matter went to trial in the fourth quarter of 2018 and the jury returned a verdict of $28.7 million in favor of plaintiff. On June 21, 2019, the U.S. District Court in Minnesota entered judgment against HLC for $68.5 million. The judgment is comprised of: (i) $28.7 million in damages awarded by the jury; (ii) $14.1 million in pre-verdict interest; (iii) $23.1 million in attorneys' fees and costs, and (iv) $2.6 million in post-verdict, prejudgment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HLC’s filing under the Bankruptcy Code discussed above in Home Loan Center, Inc. Bankruptcy Filing creates an automatic stay of enforcement of the judgment entered against HLC by the U.S. District Court in Minnesota. On August 27, 2019, plaintiff filed a lawsuit captioned </w:t>
      </w:r>
      <w:r>
        <w:rPr>
          <w:rFonts w:ascii="Arial" w:cs="Arial" w:eastAsia="Arial" w:hAnsi="Arial"/>
          <w:sz w:val="17"/>
          <w:szCs w:val="17"/>
          <w:i w:val="1"/>
          <w:iCs w:val="1"/>
          <w:color w:val="auto"/>
        </w:rPr>
        <w:t>ResCap Liquidating</w:t>
      </w:r>
      <w:r>
        <w:rPr>
          <w:rFonts w:ascii="Arial" w:cs="Arial" w:eastAsia="Arial" w:hAnsi="Arial"/>
          <w:sz w:val="17"/>
          <w:szCs w:val="17"/>
          <w:color w:val="auto"/>
        </w:rPr>
        <w:t xml:space="preserve"> </w:t>
      </w:r>
      <w:r>
        <w:rPr>
          <w:rFonts w:ascii="Arial" w:cs="Arial" w:eastAsia="Arial" w:hAnsi="Arial"/>
          <w:sz w:val="17"/>
          <w:szCs w:val="17"/>
          <w:i w:val="1"/>
          <w:iCs w:val="1"/>
          <w:color w:val="auto"/>
        </w:rPr>
        <w:t>Trust v. LendingTree, LLC, et al., Case No. 19-cv-2360 (U.S. Dist. Ct., Minn.)</w:t>
      </w:r>
      <w:r>
        <w:rPr>
          <w:rFonts w:ascii="Arial" w:cs="Arial" w:eastAsia="Arial" w:hAnsi="Arial"/>
          <w:sz w:val="17"/>
          <w:szCs w:val="17"/>
          <w:color w:val="auto"/>
        </w:rPr>
        <w:t>, seeking to hold the Company liable for the judgment against HLC, under</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 of liability, agency and alter ego theories. The Company believes that these claims lack merit. On October 17, 2019, the Company filed a motion to dismiss the liability and agency claims, and oral arguments with respect to such motion were held on January 10, 2020. On March 20, 2020, the court denied the Company's motion to dismiss, or in the alternative, to compel arbitration, and on April 3, 2020, the Company appealed the court's findings with respect to the Company's request to compel arbitration of the first count of the lawsuit. On June 17, 2020, the Company entered into a settlement agreement with ResCap, pursuant to which, the Company agreed to, among other things, pay ResCap $58.5 million, less any amounts ResCap receives in the HLC bankruptcy, in exchange for, among other things, ResCap releasing any and all claims against the Company, and the Company’s directors and officers, including any claims asserted in ResCap v. LendingTree. Pursuant to the settlement agreement, the Company will be responsible for the difference of $58.5 million minus the amount that ResCap receives through the HLC Bankruptcy. In July 2020, the Company made a $26.5 million payment to the ResCap Liquidating Trust.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Lehman Brothers Holdings Inc. v. 1st Advantage Mortgage, LLC et al., Case No. 08-13555 (SCC), Adversary Proceeding No. 16-01342 (SCC) (Bankr. S.D.N.Y.). </w:t>
      </w:r>
      <w:r>
        <w:rPr>
          <w:rFonts w:ascii="Arial" w:cs="Arial" w:eastAsia="Arial" w:hAnsi="Arial"/>
          <w:sz w:val="17"/>
          <w:szCs w:val="17"/>
          <w:color w:val="auto"/>
        </w:rPr>
        <w:t>In February 2016, Lehman Brothers Holdings, Inc. (“LBHI”) filed an Adversary Complaint against HLC and approximately 149 other</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defendants (the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On December 4, 2019, LBHI filed a $44.7 million proof of claim in HLC’s bankruptcy seeking recovery for the claims asserted in the lawsuit. The Company believes that these claims lack merit and understands that HLC intends to defend this action vigorously.</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HLC’s filing under the Bankruptcy Code discussed above in Home Loan Center, Inc. Bankruptcy Filing creates an automatic stay of this proceeding. On June 11, 2020, LBHI filed a lawsuit captioned </w:t>
      </w:r>
      <w:r>
        <w:rPr>
          <w:rFonts w:ascii="Arial" w:cs="Arial" w:eastAsia="Arial" w:hAnsi="Arial"/>
          <w:sz w:val="18"/>
          <w:szCs w:val="18"/>
          <w:i w:val="1"/>
          <w:iCs w:val="1"/>
          <w:color w:val="auto"/>
        </w:rPr>
        <w:t>Lehman Brothers Holdings Inc. v. LendingTree, LLC, et al., Case No. 20-cv-01351 (U.S. Dist. Ct.,</w:t>
      </w:r>
      <w:r>
        <w:rPr>
          <w:rFonts w:ascii="Arial" w:cs="Arial" w:eastAsia="Arial" w:hAnsi="Arial"/>
          <w:sz w:val="18"/>
          <w:szCs w:val="18"/>
          <w:color w:val="auto"/>
        </w:rPr>
        <w:t xml:space="preserve"> </w:t>
      </w:r>
      <w:r>
        <w:rPr>
          <w:rFonts w:ascii="Arial" w:cs="Arial" w:eastAsia="Arial" w:hAnsi="Arial"/>
          <w:sz w:val="18"/>
          <w:szCs w:val="18"/>
          <w:i w:val="1"/>
          <w:iCs w:val="1"/>
          <w:color w:val="auto"/>
        </w:rPr>
        <w:t>Minn.)</w:t>
      </w:r>
      <w:r>
        <w:rPr>
          <w:rFonts w:ascii="Arial" w:cs="Arial" w:eastAsia="Arial" w:hAnsi="Arial"/>
          <w:sz w:val="18"/>
          <w:szCs w:val="18"/>
          <w:color w:val="auto"/>
        </w:rPr>
        <w:t>, seeking to hold the Company liable for their allowed bankruptcy claim of $13.3 million, under assumption of liability, agency and alter ego</w:t>
      </w:r>
      <w:r>
        <w:rPr>
          <w:rFonts w:ascii="Arial" w:cs="Arial" w:eastAsia="Arial" w:hAnsi="Arial"/>
          <w:sz w:val="18"/>
          <w:szCs w:val="18"/>
          <w:i w:val="1"/>
          <w:iCs w:val="1"/>
          <w:color w:val="auto"/>
        </w:rPr>
        <w:t xml:space="preserve"> </w:t>
      </w:r>
      <w:r>
        <w:rPr>
          <w:rFonts w:ascii="Arial" w:cs="Arial" w:eastAsia="Arial" w:hAnsi="Arial"/>
          <w:sz w:val="18"/>
          <w:szCs w:val="18"/>
          <w:color w:val="auto"/>
        </w:rPr>
        <w:t>theories. The Company believes that these claims lack merit and intends to defend this action vigorously.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right"/>
              <w:ind w:right="65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2019</w:t>
            </w:r>
          </w:p>
        </w:tc>
      </w:tr>
      <w:tr>
        <w:trPr>
          <w:trHeight w:val="27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318"/>
        </w:trPr>
        <w:tc>
          <w:tcPr>
            <w:tcW w:w="5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(28,424)</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(34,526)</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21"/>
                <w:szCs w:val="21"/>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7,283</w:t>
            </w:r>
          </w:p>
        </w:tc>
        <w:tc>
          <w:tcPr>
            <w:tcW w:w="10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8,810</w:t>
            </w:r>
          </w:p>
        </w:tc>
        <w:tc>
          <w:tcPr>
            <w:tcW w:w="6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485</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(21,141)</w:t>
            </w:r>
          </w:p>
        </w:tc>
        <w:tc>
          <w:tcPr>
            <w:tcW w:w="102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(25,716)</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(1,825)</w:t>
            </w:r>
          </w:p>
        </w:tc>
      </w:tr>
      <w:tr>
        <w:trPr>
          <w:trHeight w:val="27"/>
        </w:trPr>
        <w:tc>
          <w:tcPr>
            <w:tcW w:w="5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ongoing legal proceedings against LendingTree Inc. or LendingTree LLC that arose due to the LendingTree Loans Business or the HLC bankruptcy filing.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21, 2020, the Company executed a temporary amendment to its Amended Revolving Credit Facility to provide for certain covenant relief, primarily to facilitate the issuance of convertible notes outlined below, the repurchase of a portion of the 2022 Notes, and to pay down existing borrowings under the credit facility.</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amendment amends the existing credit agreement to, among other things: (i) temporarily replace the total consolidated debt to EBITDA ratio covenant with a consolidated liquidity covenant requiring the Company to maintain unrestricted cash and cash equivalents in the United States plus amounts available and permitted to be drawn under the Amended Revolving Credit Facility to be no less than $200.0 million; (ii) impose additional limitations on certain restricted payments during such temporary period; and (iii) increase the applicable margins to (x) 2.25% for loans based on the LIBO rate and (y) 1.25% for loans based on the base rate, subject to a 0.75% floor, and unused commitment fees to 0.50% under the Amended Revolving Credit Facility during the temporary period. These amendments shall apply from the effective date through the fiscal quarter ending June 30, 2021, unless terminated in advance by the Company.</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July 2020, the Company made net repayments of $130.0 million on its Amended Revolving Credit Facility, which represented the outstanding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for estimated net proceeds of approximately $559.8 million. The 2025 Notes bear interest at a rate of 0.50% per year, payable semi-annually on January 15 and July 15 of each year, beginning on January 15, 2021. The 2025 Notes will mature on July 15, 2025, unless earlier repurchased, redeemed or converted. The initial conversion rate of the 2025 Notes is 2.1683 shares of Common Stock per $1,000 principal amount of 2025 Notes (which is equivalent to an initial conversion price of approximately $461.19 per share).</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24, 2020, the Company used approximately $234.0 million of the net proceeds from the issuance of the 2025 Notes to repurchase approximately $130.3 million principal amount of the 2022 Notes through separate and individually-negotiated transactions with certain holders of the 2022 Notes.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24, 2020, in connection with the issuance of the 2025 Notes, the Company entered into Convertible Note Hedge (the “2020 Hedge”) and Warrant (the “2020 Warrants”) transactions with respect to the Company’s common stock. The Company used approximately $63.0 million of the net proceeds from the 2025 Notes to pay for the cost of the 2020 Hedge, after such cost was partially offset by the proceeds from the 2020 Warrants transactions. The 2020 Warrants have a strike price of $709.52 per share, which represents a premium of 100% over the reported sale price of the Common Stock of $354.76 on July 21, 2020.</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of the repurchases of the 2022 Notes noted above, the Company entered into agreements with the counterparties for the 2017 Hedge and 2017 Warrants transactions to terminate a portion of the existing call spread transactions effective July 24, 2020 in notional amounts corresponding to the principal amount of the 2022 Notes repurchased. The Company received approximately $15.6 million as a result of terminating such portions of the 2017 Hedge and 2017 Warrants.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2019 Annual Report.</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observe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50"/>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My LendingTree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 Change</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Cumulative Sign-ups as of quarter-end </w:t>
            </w:r>
            <w:r>
              <w:rPr>
                <w:rFonts w:ascii="Arial" w:cs="Arial" w:eastAsia="Arial" w:hAnsi="Arial"/>
                <w:sz w:val="16"/>
                <w:szCs w:val="16"/>
                <w:i w:val="1"/>
                <w:iCs w:val="1"/>
                <w:color w:val="auto"/>
              </w:rPr>
              <w:t>(in millions)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324"/>
        </w:trPr>
        <w:tc>
          <w:tcPr>
            <w:tcW w:w="6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Revenue Contribution </w:t>
            </w:r>
            <w:r>
              <w:rPr>
                <w:rFonts w:ascii="Arial" w:cs="Arial" w:eastAsia="Arial" w:hAnsi="Arial"/>
                <w:sz w:val="16"/>
                <w:szCs w:val="16"/>
                <w:i w:val="1"/>
                <w:iCs w:val="1"/>
                <w:color w:val="auto"/>
              </w:rPr>
              <w:t>(in thousands)</w:t>
            </w:r>
          </w:p>
        </w:tc>
        <w:tc>
          <w:tcPr>
            <w:tcW w:w="1000" w:type="dxa"/>
            <w:vAlign w:val="bottom"/>
            <w:tcBorders>
              <w:bottom w:val="single" w:sz="8" w:color="CCEEFF"/>
            </w:tcBorders>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9,139</w:t>
            </w:r>
          </w:p>
        </w:tc>
        <w:tc>
          <w:tcPr>
            <w:tcW w:w="980" w:type="dxa"/>
            <w:vAlign w:val="bottom"/>
            <w:tcBorders>
              <w:bottom w:val="single" w:sz="8" w:color="CCEEFF"/>
            </w:tcBorders>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20,246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i w:val="1"/>
                <w:iCs w:val="1"/>
                <w:color w:val="auto"/>
              </w:rPr>
              <w:t>% of total revenue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6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social distancing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 Of our three reportable segments, the Consumer segment has been and is expected to be most impacted as unsecured credit and the flow of capital in certain areas of the market have contracted. Within our Consumer segment we have seen reductions of over 70% in near-term lender demand for our services reflecting those lenders' uncertainty over the length and depth of the economic recession. The impact to our Home and Insurance segments has been and is anticipated to be much less substantial. Most of our selling and marketing expenses are variable costs that we adjust dynamically in relation to revenue opportunities to profitably meet demand. Thus, as our revenue is negatively impacted during the recession, we anticipate our marketing expenses will continue to generally decrease in line with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have three reportable segments: Home, Consumer and Insurance. We changed our reportable segments in the fourth quarter of 2019, and prior period results have been reclassified to conform with this change in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for $106.2 million. Combining ValuePenguin’s high-quality content and search engine optimization capability with proprietary technology and insurance carrier network from QuoteWizard enables us to provide immense value to carriers and agents. This strategic acquisition positions us to achieve further scale in the insurance space as well as the broader financial services industry.</w:t>
      </w:r>
    </w:p>
    <w:p>
      <w:pPr>
        <w:spacing w:after="0" w:line="134"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On February 28, 2020, we acquired an equity interest in Stash Financial, Inc. (“Stash”) for $80.0 million. Stash is a consumer investing and banking platform. Stash brings together banking, investing, and education into one seamless experience offering a full-suite of personal investment accounts, Traditional and Roth IRAs, custodial investment accounts, and banking services, including checking accounts and debit cards with a Stock-Back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rewards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2016, we completed the acquisition of two office buildings in Charlotte, North Carolina, for $23.5 million in cash. The buildings were acquired with the intent to use such buildings as our corporate headquarters and rent any unused space. In November 2018, the office buildings were classified as held for sale. In May 2019, we sold these buildings to an unrelated third party for a sale price of $24.4 million.</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Freddie Mac, 30-year mortgage interest rates declined during 2020 to a monthly average of 3.16% in June 2020. On a quarterly basis, 30-year mortgage interest rates in the second quarter of 2020 averaged 3.23%, compared to 4.00% in the second quarter of 2019 and 3.51% in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151755" cy="2922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5175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Typically, as mortgage interest rates decline, there are more consumers in the marketplace seeking refinancings and, accordingly, the mix of mortgage origination dollars will move towards refinance mortgages. According to Mortgage Bankers Association ("MBA") data, total refinance origination dollars increased to 63% of total mortgage origination dollars in the second quarter of 2020 compared to 54% in the first quarter of 2020. In the second quarter of 2020, total refinance origination dollars increased 297% to $580 million from the second quarter of 2019 and 90% from the first quarter of 2020. Industry-wide mortgage origination volume in the second quarter of 2020 was up 85% from the second quarter of 2019.</w:t>
      </w:r>
    </w:p>
    <w:p>
      <w:pPr>
        <w:spacing w:after="0" w:line="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July 2020, the MBA projected 30-year mortgage interest rates to remain relatively consistent through the end of the year. According to MBA projections, the refinance share of total mortgage origination dollars is projected to represent approximately 54% for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According to the National Association of Realtors ("NAR"), existing-home sales rebounded at the end of the second quarter of 2020 after three straight months of sales decline caused by the ongoing COVID-19 pandemic. Existing-home sales decreased 21% in the second quarter of 2020 compared to the first quarter of 2020, and decreased 18% compared to the second quarter of 2019. The NAR expects a continued increase in existing-home sales as long as mortgage rates remain low and job gains continue, but predicts an overall decrease of 3% in 2020 compared to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2020 and 2019</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7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9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980" w:type="dxa"/>
            <w:vAlign w:val="bottom"/>
          </w:tcPr>
          <w:p>
            <w:pPr>
              <w:jc w:val="right"/>
              <w:ind w:right="582"/>
              <w:spacing w:after="0" w:line="147"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64"/>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8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940" w:type="dxa"/>
            <w:vAlign w:val="bottom"/>
          </w:tcPr>
          <w:p>
            <w:pPr>
              <w:jc w:val="right"/>
              <w:ind w:right="542"/>
              <w:spacing w:after="0" w:line="147"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362"/>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w w:val="97"/>
              </w:rPr>
              <w:t>Change</w:t>
            </w: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7"/>
              </w:rPr>
              <w:t>Change</w:t>
            </w: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right"/>
              <w:ind w:right="201"/>
              <w:spacing w:after="0"/>
              <w:rPr>
                <w:sz w:val="20"/>
                <w:szCs w:val="20"/>
                <w:color w:val="auto"/>
              </w:rPr>
            </w:pPr>
            <w:r>
              <w:rPr>
                <w:rFonts w:ascii="Arial" w:cs="Arial" w:eastAsia="Arial" w:hAnsi="Arial"/>
                <w:sz w:val="13"/>
                <w:szCs w:val="13"/>
                <w:b w:val="1"/>
                <w:bCs w:val="1"/>
                <w:i w:val="1"/>
                <w:iCs w:val="1"/>
                <w:color w:val="auto"/>
              </w:rPr>
              <w:t>(Dollars in thousands)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Home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74,123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71,756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rPr>
              <w:t>2,367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153,297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135,193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18,104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7"/>
        </w:trPr>
        <w:tc>
          <w:tcPr>
            <w:tcW w:w="3800" w:type="dxa"/>
            <w:vAlign w:val="bottom"/>
          </w:tcPr>
          <w:p>
            <w:pPr>
              <w:ind w:left="160"/>
              <w:spacing w:after="0"/>
              <w:rPr>
                <w:sz w:val="20"/>
                <w:szCs w:val="20"/>
                <w:color w:val="auto"/>
              </w:rPr>
            </w:pPr>
            <w:r>
              <w:rPr>
                <w:rFonts w:ascii="Arial" w:cs="Arial" w:eastAsia="Arial" w:hAnsi="Arial"/>
                <w:sz w:val="16"/>
                <w:szCs w:val="16"/>
                <w:color w:val="auto"/>
              </w:rPr>
              <w:t>Consumer</w:t>
            </w:r>
          </w:p>
        </w:tc>
        <w:tc>
          <w:tcPr>
            <w:tcW w:w="780" w:type="dxa"/>
            <w:vAlign w:val="bottom"/>
          </w:tcPr>
          <w:p>
            <w:pPr>
              <w:jc w:val="right"/>
              <w:spacing w:after="0"/>
              <w:rPr>
                <w:sz w:val="20"/>
                <w:szCs w:val="20"/>
                <w:color w:val="auto"/>
              </w:rPr>
            </w:pPr>
            <w:r>
              <w:rPr>
                <w:rFonts w:ascii="Arial" w:cs="Arial" w:eastAsia="Arial" w:hAnsi="Arial"/>
                <w:sz w:val="16"/>
                <w:szCs w:val="16"/>
                <w:color w:val="auto"/>
              </w:rPr>
              <w:t>37,118</w:t>
            </w:r>
          </w:p>
        </w:tc>
        <w:tc>
          <w:tcPr>
            <w:tcW w:w="920" w:type="dxa"/>
            <w:vAlign w:val="bottom"/>
          </w:tcPr>
          <w:p>
            <w:pPr>
              <w:jc w:val="right"/>
              <w:spacing w:after="0"/>
              <w:rPr>
                <w:sz w:val="20"/>
                <w:szCs w:val="20"/>
                <w:color w:val="auto"/>
              </w:rPr>
            </w:pPr>
            <w:r>
              <w:rPr>
                <w:rFonts w:ascii="Arial" w:cs="Arial" w:eastAsia="Arial" w:hAnsi="Arial"/>
                <w:sz w:val="16"/>
                <w:szCs w:val="16"/>
                <w:color w:val="auto"/>
              </w:rPr>
              <w:t>128,963</w:t>
            </w:r>
          </w:p>
        </w:tc>
        <w:tc>
          <w:tcPr>
            <w:tcW w:w="200" w:type="dxa"/>
            <w:vAlign w:val="bottom"/>
          </w:tcPr>
          <w:p>
            <w:pPr>
              <w:spacing w:after="0"/>
              <w:rPr>
                <w:sz w:val="20"/>
                <w:szCs w:val="20"/>
                <w:color w:val="auto"/>
              </w:rPr>
            </w:pPr>
          </w:p>
        </w:tc>
        <w:tc>
          <w:tcPr>
            <w:tcW w:w="980" w:type="dxa"/>
            <w:vAlign w:val="bottom"/>
          </w:tcPr>
          <w:p>
            <w:pPr>
              <w:jc w:val="right"/>
              <w:ind w:right="222"/>
              <w:spacing w:after="0"/>
              <w:rPr>
                <w:sz w:val="20"/>
                <w:szCs w:val="20"/>
                <w:color w:val="auto"/>
              </w:rPr>
            </w:pPr>
            <w:r>
              <w:rPr>
                <w:rFonts w:ascii="Arial" w:cs="Arial" w:eastAsia="Arial" w:hAnsi="Arial"/>
                <w:sz w:val="16"/>
                <w:szCs w:val="16"/>
                <w:color w:val="auto"/>
              </w:rPr>
              <w:t>(91,845)</w:t>
            </w:r>
          </w:p>
        </w:tc>
        <w:tc>
          <w:tcPr>
            <w:tcW w:w="7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157,042</w:t>
            </w:r>
          </w:p>
        </w:tc>
        <w:tc>
          <w:tcPr>
            <w:tcW w:w="880" w:type="dxa"/>
            <w:vAlign w:val="bottom"/>
          </w:tcPr>
          <w:p>
            <w:pPr>
              <w:jc w:val="right"/>
              <w:spacing w:after="0"/>
              <w:rPr>
                <w:sz w:val="20"/>
                <w:szCs w:val="20"/>
                <w:color w:val="auto"/>
              </w:rPr>
            </w:pPr>
            <w:r>
              <w:rPr>
                <w:rFonts w:ascii="Arial" w:cs="Arial" w:eastAsia="Arial" w:hAnsi="Arial"/>
                <w:sz w:val="16"/>
                <w:szCs w:val="16"/>
                <w:color w:val="auto"/>
              </w:rPr>
              <w:t>249,692</w:t>
            </w:r>
          </w:p>
        </w:tc>
        <w:tc>
          <w:tcPr>
            <w:tcW w:w="200" w:type="dxa"/>
            <w:vAlign w:val="bottom"/>
          </w:tcPr>
          <w:p>
            <w:pPr>
              <w:spacing w:after="0"/>
              <w:rPr>
                <w:sz w:val="20"/>
                <w:szCs w:val="20"/>
                <w:color w:val="auto"/>
              </w:rPr>
            </w:pPr>
          </w:p>
        </w:tc>
        <w:tc>
          <w:tcPr>
            <w:tcW w:w="940" w:type="dxa"/>
            <w:vAlign w:val="bottom"/>
          </w:tcPr>
          <w:p>
            <w:pPr>
              <w:jc w:val="right"/>
              <w:ind w:right="202"/>
              <w:spacing w:after="0"/>
              <w:rPr>
                <w:sz w:val="20"/>
                <w:szCs w:val="20"/>
                <w:color w:val="auto"/>
              </w:rPr>
            </w:pPr>
            <w:r>
              <w:rPr>
                <w:rFonts w:ascii="Arial" w:cs="Arial" w:eastAsia="Arial" w:hAnsi="Arial"/>
                <w:sz w:val="16"/>
                <w:szCs w:val="16"/>
                <w:color w:val="auto"/>
              </w:rPr>
              <w:t>(92,650)</w:t>
            </w: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Insurance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72,919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71,941</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rPr>
              <w:t>978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155,656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139,033</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16,623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7"/>
        </w:trPr>
        <w:tc>
          <w:tcPr>
            <w:tcW w:w="3800" w:type="dxa"/>
            <w:vAlign w:val="bottom"/>
          </w:tcPr>
          <w:p>
            <w:pPr>
              <w:ind w:left="160"/>
              <w:spacing w:after="0"/>
              <w:rPr>
                <w:sz w:val="20"/>
                <w:szCs w:val="20"/>
                <w:color w:val="auto"/>
              </w:rPr>
            </w:pPr>
            <w:r>
              <w:rPr>
                <w:rFonts w:ascii="Arial" w:cs="Arial" w:eastAsia="Arial" w:hAnsi="Arial"/>
                <w:sz w:val="16"/>
                <w:szCs w:val="16"/>
                <w:color w:val="auto"/>
              </w:rPr>
              <w:t>Other</w:t>
            </w:r>
          </w:p>
        </w:tc>
        <w:tc>
          <w:tcPr>
            <w:tcW w:w="780" w:type="dxa"/>
            <w:vAlign w:val="bottom"/>
          </w:tcPr>
          <w:p>
            <w:pPr>
              <w:jc w:val="right"/>
              <w:spacing w:after="0"/>
              <w:rPr>
                <w:sz w:val="20"/>
                <w:szCs w:val="20"/>
                <w:color w:val="auto"/>
              </w:rPr>
            </w:pPr>
            <w:r>
              <w:rPr>
                <w:rFonts w:ascii="Arial" w:cs="Arial" w:eastAsia="Arial" w:hAnsi="Arial"/>
                <w:sz w:val="16"/>
                <w:szCs w:val="16"/>
                <w:color w:val="auto"/>
              </w:rPr>
              <w:t>166</w:t>
            </w:r>
          </w:p>
        </w:tc>
        <w:tc>
          <w:tcPr>
            <w:tcW w:w="920" w:type="dxa"/>
            <w:vAlign w:val="bottom"/>
          </w:tcPr>
          <w:p>
            <w:pPr>
              <w:jc w:val="right"/>
              <w:spacing w:after="0"/>
              <w:rPr>
                <w:sz w:val="20"/>
                <w:szCs w:val="20"/>
                <w:color w:val="auto"/>
              </w:rPr>
            </w:pPr>
            <w:r>
              <w:rPr>
                <w:rFonts w:ascii="Arial" w:cs="Arial" w:eastAsia="Arial" w:hAnsi="Arial"/>
                <w:sz w:val="16"/>
                <w:szCs w:val="16"/>
                <w:color w:val="auto"/>
              </w:rPr>
              <w:t>5,761</w:t>
            </w:r>
          </w:p>
        </w:tc>
        <w:tc>
          <w:tcPr>
            <w:tcW w:w="200" w:type="dxa"/>
            <w:vAlign w:val="bottom"/>
          </w:tcPr>
          <w:p>
            <w:pPr>
              <w:spacing w:after="0"/>
              <w:rPr>
                <w:sz w:val="20"/>
                <w:szCs w:val="20"/>
                <w:color w:val="auto"/>
              </w:rPr>
            </w:pPr>
          </w:p>
        </w:tc>
        <w:tc>
          <w:tcPr>
            <w:tcW w:w="980" w:type="dxa"/>
            <w:vAlign w:val="bottom"/>
          </w:tcPr>
          <w:p>
            <w:pPr>
              <w:jc w:val="right"/>
              <w:ind w:right="222"/>
              <w:spacing w:after="0"/>
              <w:rPr>
                <w:sz w:val="20"/>
                <w:szCs w:val="20"/>
                <w:color w:val="auto"/>
              </w:rPr>
            </w:pPr>
            <w:r>
              <w:rPr>
                <w:rFonts w:ascii="Arial" w:cs="Arial" w:eastAsia="Arial" w:hAnsi="Arial"/>
                <w:sz w:val="16"/>
                <w:szCs w:val="16"/>
                <w:color w:val="auto"/>
              </w:rPr>
              <w:t>(5,595)</w:t>
            </w: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1,415</w:t>
            </w:r>
          </w:p>
        </w:tc>
        <w:tc>
          <w:tcPr>
            <w:tcW w:w="880" w:type="dxa"/>
            <w:vAlign w:val="bottom"/>
          </w:tcPr>
          <w:p>
            <w:pPr>
              <w:jc w:val="right"/>
              <w:spacing w:after="0"/>
              <w:rPr>
                <w:sz w:val="20"/>
                <w:szCs w:val="20"/>
                <w:color w:val="auto"/>
              </w:rPr>
            </w:pPr>
            <w:r>
              <w:rPr>
                <w:rFonts w:ascii="Arial" w:cs="Arial" w:eastAsia="Arial" w:hAnsi="Arial"/>
                <w:sz w:val="16"/>
                <w:szCs w:val="16"/>
                <w:color w:val="auto"/>
              </w:rPr>
              <w:t>16,893</w:t>
            </w:r>
          </w:p>
        </w:tc>
        <w:tc>
          <w:tcPr>
            <w:tcW w:w="200" w:type="dxa"/>
            <w:vAlign w:val="bottom"/>
          </w:tcPr>
          <w:p>
            <w:pPr>
              <w:spacing w:after="0"/>
              <w:rPr>
                <w:sz w:val="20"/>
                <w:szCs w:val="20"/>
                <w:color w:val="auto"/>
              </w:rPr>
            </w:pPr>
          </w:p>
        </w:tc>
        <w:tc>
          <w:tcPr>
            <w:tcW w:w="940" w:type="dxa"/>
            <w:vAlign w:val="bottom"/>
          </w:tcPr>
          <w:p>
            <w:pPr>
              <w:jc w:val="right"/>
              <w:ind w:right="202"/>
              <w:spacing w:after="0"/>
              <w:rPr>
                <w:sz w:val="20"/>
                <w:szCs w:val="20"/>
                <w:color w:val="auto"/>
              </w:rPr>
            </w:pPr>
            <w:r>
              <w:rPr>
                <w:rFonts w:ascii="Arial" w:cs="Arial" w:eastAsia="Arial" w:hAnsi="Arial"/>
                <w:sz w:val="16"/>
                <w:szCs w:val="16"/>
                <w:color w:val="auto"/>
              </w:rPr>
              <w:t>(15,478)</w:t>
            </w:r>
          </w:p>
        </w:tc>
        <w:tc>
          <w:tcPr>
            <w:tcW w:w="80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3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184,326</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278,421</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(94,095)</w:t>
            </w:r>
          </w:p>
        </w:tc>
        <w:tc>
          <w:tcPr>
            <w:tcW w:w="11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(34)%</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467,410</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540,811</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(73,401)</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amortization shown separately below)</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13,464</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16,310</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(2,846)</w:t>
            </w:r>
          </w:p>
        </w:tc>
        <w:tc>
          <w:tcPr>
            <w:tcW w:w="1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(17)%</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27,716</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33,980</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(6,264)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3660" w:type="dxa"/>
            <w:vAlign w:val="bottom"/>
          </w:tcPr>
          <w:p>
            <w:pPr>
              <w:ind w:left="160"/>
              <w:spacing w:after="0"/>
              <w:rPr>
                <w:sz w:val="20"/>
                <w:szCs w:val="20"/>
                <w:color w:val="auto"/>
              </w:rPr>
            </w:pPr>
            <w:r>
              <w:rPr>
                <w:rFonts w:ascii="Arial" w:cs="Arial" w:eastAsia="Arial" w:hAnsi="Arial"/>
                <w:sz w:val="16"/>
                <w:szCs w:val="16"/>
                <w:color w:val="auto"/>
              </w:rPr>
              <w:t>Selling and marketing expense</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113,921</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191,629</w:t>
            </w:r>
          </w:p>
        </w:tc>
        <w:tc>
          <w:tcPr>
            <w:tcW w:w="2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(77,708)</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(41)%</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309,459</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366,520</w:t>
            </w:r>
          </w:p>
        </w:tc>
        <w:tc>
          <w:tcPr>
            <w:tcW w:w="22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(57,061)</w:t>
            </w: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 expense</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28,489</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27,951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538</w:t>
            </w:r>
          </w:p>
        </w:tc>
        <w:tc>
          <w:tcPr>
            <w:tcW w:w="1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2 %</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60,571</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59,068</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1,503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37"/>
        </w:trPr>
        <w:tc>
          <w:tcPr>
            <w:tcW w:w="3660" w:type="dxa"/>
            <w:vAlign w:val="bottom"/>
          </w:tcPr>
          <w:p>
            <w:pPr>
              <w:ind w:left="160"/>
              <w:spacing w:after="0"/>
              <w:rPr>
                <w:sz w:val="20"/>
                <w:szCs w:val="20"/>
                <w:color w:val="auto"/>
              </w:rPr>
            </w:pPr>
            <w:r>
              <w:rPr>
                <w:rFonts w:ascii="Arial" w:cs="Arial" w:eastAsia="Arial" w:hAnsi="Arial"/>
                <w:sz w:val="16"/>
                <w:szCs w:val="16"/>
                <w:color w:val="auto"/>
              </w:rPr>
              <w:t>Product development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10,812</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10,175</w:t>
            </w:r>
          </w:p>
        </w:tc>
        <w:tc>
          <w:tcPr>
            <w:tcW w:w="200" w:type="dxa"/>
            <w:vAlign w:val="bottom"/>
          </w:tcPr>
          <w:p>
            <w:pPr>
              <w:spacing w:after="0"/>
              <w:rPr>
                <w:sz w:val="20"/>
                <w:szCs w:val="20"/>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637</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6 %</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21,775</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20,341</w:t>
            </w:r>
          </w:p>
        </w:tc>
        <w:tc>
          <w:tcPr>
            <w:tcW w:w="220" w:type="dxa"/>
            <w:vAlign w:val="bottom"/>
          </w:tcPr>
          <w:p>
            <w:pPr>
              <w:spacing w:after="0"/>
              <w:rPr>
                <w:sz w:val="20"/>
                <w:szCs w:val="20"/>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1,434</w:t>
            </w:r>
          </w:p>
        </w:tc>
        <w:tc>
          <w:tcPr>
            <w:tcW w:w="84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33"/>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3,550</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2,559</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991</w:t>
            </w:r>
          </w:p>
        </w:tc>
        <w:tc>
          <w:tcPr>
            <w:tcW w:w="1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39 %</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6,928</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5,041</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1,887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37"/>
        </w:trPr>
        <w:tc>
          <w:tcPr>
            <w:tcW w:w="3660" w:type="dxa"/>
            <w:vAlign w:val="bottom"/>
          </w:tcPr>
          <w:p>
            <w:pPr>
              <w:ind w:left="160"/>
              <w:spacing w:after="0"/>
              <w:rPr>
                <w:sz w:val="20"/>
                <w:szCs w:val="20"/>
                <w:color w:val="auto"/>
              </w:rPr>
            </w:pPr>
            <w:r>
              <w:rPr>
                <w:rFonts w:ascii="Arial" w:cs="Arial" w:eastAsia="Arial" w:hAnsi="Arial"/>
                <w:sz w:val="16"/>
                <w:szCs w:val="16"/>
                <w:color w:val="auto"/>
              </w:rPr>
              <w:t>Amortization of intangibles</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13,756</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14,280</w:t>
            </w:r>
          </w:p>
        </w:tc>
        <w:tc>
          <w:tcPr>
            <w:tcW w:w="2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(524)</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(4)%</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27,513</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27,707</w:t>
            </w:r>
          </w:p>
        </w:tc>
        <w:tc>
          <w:tcPr>
            <w:tcW w:w="22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(194)</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fair value of contingent consideration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9,175</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2,790</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6,385</w:t>
            </w:r>
          </w:p>
        </w:tc>
        <w:tc>
          <w:tcPr>
            <w:tcW w:w="1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229 %</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17,382</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(16,329)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366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2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(371)</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(92)%</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457</w:t>
            </w:r>
          </w:p>
        </w:tc>
        <w:tc>
          <w:tcPr>
            <w:tcW w:w="22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(267)</w:t>
            </w: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Litigation settlements and contingencies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(1,333)</w:t>
            </w:r>
          </w:p>
        </w:tc>
        <w:tc>
          <w:tcPr>
            <w:tcW w:w="11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N/A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(797)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30"/>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costs and expenses</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191,874</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266,105</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(74,231)</w:t>
            </w:r>
          </w:p>
        </w:tc>
        <w:tc>
          <w:tcPr>
            <w:tcW w:w="11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(28)%</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454,209</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530,297</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(76,088)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r>
      <w:tr>
        <w:trPr>
          <w:trHeight w:val="33"/>
        </w:trPr>
        <w:tc>
          <w:tcPr>
            <w:tcW w:w="3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 income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(7,548)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12,316</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(19,864)</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(161)%</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13,201</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10,514</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2,687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26 %</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(5,095)</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(140)</w:t>
            </w:r>
          </w:p>
        </w:tc>
        <w:tc>
          <w:tcPr>
            <w:tcW w:w="1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(9,789)</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(10,563)</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(774)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3660" w:type="dxa"/>
            <w:vAlign w:val="bottom"/>
          </w:tcPr>
          <w:p>
            <w:pPr>
              <w:ind w:left="160"/>
              <w:spacing w:after="0"/>
              <w:rPr>
                <w:sz w:val="20"/>
                <w:szCs w:val="20"/>
                <w:color w:val="auto"/>
              </w:rPr>
            </w:pPr>
            <w:r>
              <w:rPr>
                <w:rFonts w:ascii="Arial" w:cs="Arial" w:eastAsia="Arial" w:hAnsi="Arial"/>
                <w:sz w:val="16"/>
                <w:szCs w:val="16"/>
                <w:color w:val="auto"/>
              </w:rPr>
              <w:t>Other income</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(64)</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(90)%</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(132)</w:t>
            </w:r>
          </w:p>
        </w:tc>
        <w:tc>
          <w:tcPr>
            <w:tcW w:w="8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3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(12,496)</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7,292</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(19,788)</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(271)%</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3,419</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3,329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3,699 %</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3,880</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5,689</w:t>
            </w:r>
          </w:p>
        </w:tc>
        <w:tc>
          <w:tcPr>
            <w:tcW w:w="2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(1,809)</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(32)%</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6,941</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13,441</w:t>
            </w:r>
          </w:p>
        </w:tc>
        <w:tc>
          <w:tcPr>
            <w:tcW w:w="22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(6,500)</w:t>
            </w:r>
          </w:p>
        </w:tc>
        <w:tc>
          <w:tcPr>
            <w:tcW w:w="8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3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 from continuing operations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(8,616)</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12,981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(21,597)</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(166)%</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10,360</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13,531</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(3,171)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Loss from discontinued operations, net of tax</w:t>
            </w:r>
          </w:p>
        </w:tc>
        <w:tc>
          <w:tcPr>
            <w:tcW w:w="1000" w:type="dxa"/>
            <w:vAlign w:val="bottom"/>
          </w:tcPr>
          <w:p>
            <w:pPr>
              <w:jc w:val="right"/>
              <w:spacing w:after="0"/>
              <w:rPr>
                <w:sz w:val="20"/>
                <w:szCs w:val="20"/>
                <w:color w:val="auto"/>
              </w:rPr>
            </w:pPr>
            <w:r>
              <w:rPr>
                <w:rFonts w:ascii="Arial" w:cs="Arial" w:eastAsia="Arial" w:hAnsi="Arial"/>
                <w:sz w:val="16"/>
                <w:szCs w:val="16"/>
                <w:color w:val="auto"/>
              </w:rPr>
              <w:t>(21,141)</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(763)</w:t>
            </w:r>
          </w:p>
        </w:tc>
        <w:tc>
          <w:tcPr>
            <w:tcW w:w="200" w:type="dxa"/>
            <w:vAlign w:val="bottom"/>
          </w:tcPr>
          <w:p>
            <w:pPr>
              <w:spacing w:after="0"/>
              <w:rPr>
                <w:sz w:val="20"/>
                <w:szCs w:val="20"/>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20,378</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2,671 %</w:t>
            </w:r>
          </w:p>
        </w:tc>
        <w:tc>
          <w:tcPr>
            <w:tcW w:w="700" w:type="dxa"/>
            <w:vAlign w:val="bottom"/>
          </w:tcPr>
          <w:p>
            <w:pPr>
              <w:jc w:val="right"/>
              <w:spacing w:after="0"/>
              <w:rPr>
                <w:sz w:val="20"/>
                <w:szCs w:val="20"/>
                <w:color w:val="auto"/>
              </w:rPr>
            </w:pPr>
            <w:r>
              <w:rPr>
                <w:rFonts w:ascii="Arial" w:cs="Arial" w:eastAsia="Arial" w:hAnsi="Arial"/>
                <w:sz w:val="16"/>
                <w:szCs w:val="16"/>
                <w:color w:val="auto"/>
              </w:rPr>
              <w:t>(25,716)</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(1,825)</w:t>
            </w:r>
          </w:p>
        </w:tc>
        <w:tc>
          <w:tcPr>
            <w:tcW w:w="220" w:type="dxa"/>
            <w:vAlign w:val="bottom"/>
          </w:tcPr>
          <w:p>
            <w:pPr>
              <w:spacing w:after="0"/>
              <w:rPr>
                <w:sz w:val="20"/>
                <w:szCs w:val="20"/>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23,891</w:t>
            </w:r>
          </w:p>
        </w:tc>
        <w:tc>
          <w:tcPr>
            <w:tcW w:w="840" w:type="dxa"/>
            <w:vAlign w:val="bottom"/>
          </w:tcPr>
          <w:p>
            <w:pPr>
              <w:jc w:val="right"/>
              <w:spacing w:after="0"/>
              <w:rPr>
                <w:sz w:val="20"/>
                <w:szCs w:val="20"/>
                <w:color w:val="auto"/>
              </w:rPr>
            </w:pPr>
            <w:r>
              <w:rPr>
                <w:rFonts w:ascii="Arial" w:cs="Arial" w:eastAsia="Arial" w:hAnsi="Arial"/>
                <w:sz w:val="16"/>
                <w:szCs w:val="16"/>
                <w:color w:val="auto"/>
              </w:rPr>
              <w:t>1,309 %</w:t>
            </w:r>
          </w:p>
        </w:tc>
      </w:tr>
      <w:tr>
        <w:trPr>
          <w:trHeight w:val="33"/>
        </w:trPr>
        <w:tc>
          <w:tcPr>
            <w:tcW w:w="3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1"/>
              </w:rPr>
              <w:t>Net (loss) income and comprehensive (loss) income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(29,757)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12,218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(41,975)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(344)%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(27,062)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w:t>
            </w:r>
          </w:p>
        </w:tc>
      </w:tr>
      <w:tr>
        <w:trPr>
          <w:trHeight w:val="27"/>
        </w:trPr>
        <w:tc>
          <w:tcPr>
            <w:tcW w:w="36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decreased in the second quarter and first six months of 2020 compared to the second quarter and first six months of 2019 due to decreases in our Consumer segment and Other category, partially offset by increases in our Home and Insurance segments.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decreased in the second quarter and first six months of 2020 from the second quarter and first six months of 2019, primarily due to decreases in our credit cards, personal loans, small business loans and student loans products.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credit cards product decreased $48.8 million to $7.2 million in the second quarter of 2020 from $56.0 million in the second quarter of 2019, or 87%, and decreased $51.8 million to $58.8 million in the first six months of 2020 from $110.6 million in the first six months of 2019, or 47%, primarily due to the impact of economic conditions related to the COVID-19 pandemic that caused a decrease in the number of approvals and a decrease in revenue earned per approval.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personal loans product decreased $32.3 million to $8.8 million in the second quarter of 2020 from $41.1 million in the second quarter of 2019, or 79%, and decreased $33.3 million to $40.3 million in the first six months of 2020 from $73.6 million in the first six months of 2019, or 45%, primarily due to the impact of economic conditions related to the COVID-19 pandemic that caused a contraction in the flow of capital and a decrease in revenue earned per consumer.</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periods presented, no other products in our Consumer segment represented more than 10% of revenue; however, certain other Consumer products experienced notable changes primarily due to the impact of economic conditions related to the COVID-19 pandemic. Revenue from our small business loans product decreased $8.5 million in the second quarter of 2020 compared to the second quarter of 2019 and decreased $4.1 million in the first six months of 2020 compared to the first six months of 2019, due to a contraction in the flow of capital and a decrease in revenue earned per consumer. Revenue from our student loans product decreased $2.3 million in the second quarter of 2020 compared to the second quarter of 2019 and decreased $5.6 million in the first six months of 2020 compared to the first six months of 2019, due to a decrease in the number of consumers on our marketplace seeking student loans.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ongoing COVID-19 pandemic is anticipated to significantly impact our Consumer product revenues in the near-term due to the significant industry-wide contraction in the availability of capital for products in the Consumer segment, specifically credit cards, small business loans and personal loans, as discussed above.</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Home segment includes the following products: purchase mortgage, refinance mortgage, home equity loans and lines of credit, reverse mortgage loans, and real estate. Revenue from our Home segment increased $2.4 million in the second quarter of 2020 from the second quarter of 2019, or 3%, and increased $18.1 million in the first six months of 2020 from the first six months of 2019, or 13%, primarily due to an increase in revenue from our refinance mortgage product, partially offset by decreases in our purchase mortgage and home equity loans and lines of credit products. Revenue from our refinance mortgage product increased $22.3 million in the second quarter of 2020 compared to the second quarter of 2019, and increased $48.2 million in the first six months of 2020 compared to the first six months of 2019, primarily due to an increase in the number of consumers completing request forms resulting from increased refinancing activity in a declining interest rate environment, partially offset by a decrease in revenue earned per consumer. Revenue from our purchase mortgage product decreased $10.3 million in the second quarter of 2020 compared to the second quarter of 2019 and decreased $15.2 million in the first six months of 2020 compared to the first six months of 2019. Revenue from our home equity loans and lines of credit product decreased $8.6 million in the second quarter of 2020 compared to the second quarter of 2019 and decreased $13.2 million in the first six months of 2020 compared to the first six months of 2019. Revenue from our purchase mortgage and home equity loans and lines of credit products decreased due to a shift in lender focus toward refinance products as well as decreases in revenue earned per consumer.</w:t>
      </w:r>
    </w:p>
    <w:p>
      <w:pPr>
        <w:spacing w:after="0" w:line="1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from our Insurance segment increased $1.0 million to $72.9 million in the second quarter of 2020 from $71.9 million in the second quarter of 2019, or 1%, and increased $16.6 million to $155.7 million in the first six months of 2020 from $139.0 million in the first six months of 2019, or 12%, due to increases in the number of consumers seeking insurance coverage, partially offset by a decrease in revenue earned per consumer.</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Other category primarily includes revenue from the resale of online advertising space to third parties and revenue from home improvement referrals. Revenue in the Other category decreased $5.6 million in the second quarter of 2020 compared to the second quarter of 2019, and decreased $15.5 million in the first six months of 2020 compared to the first six months of 2019, as we ceased offering home improvement referrals during the first quarter of 2019 and ceased reselling online advertising space during the first quarter of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Cost of revenue decreased in the second quarter of 2020 from the second quarter of 2019, primarily due to a $5.1 million decrease for the cost of resold advertising space. We ceased reselling online advertising space during the first quarter of 2020. This was partially offset by a $1.1 million increase in website network hosting and server fees and a $0.7 million increase in compensation and benefits as a result of increases in headcount. Cost of revenue decreased in the first six months of 2020 from the first six months of 2019, primarily due to a $11.3 million decrease for the cost of resold advertising space, partially offset by increases in website network hosting and server fees, compensation and benefits, and credit card fees of $2.0 million, $1.8 million and $1.0 million, respectively.</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 of revenue as a percentage of revenue increased to 7% in the second quarter of 2020 compared to 6% in the second quarter of 2019, and remained consistent at 6% in each of the first six months of 2020 and 2019.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Selling and marketing expense decreased in the second quarter and first six months of 2020 compared to the second quarter and first six months of 2019 primarily due to decreases in advertising and promotional expense of $77.7 million and $56.5 million, respectively, as discussed below.</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w w:val="97"/>
              </w:rPr>
              <w:t>Three Months Ended 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5"/>
              </w:rPr>
              <w:t>Six Months Ended 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6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ind w:left="38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20" w:type="dxa"/>
            <w:vAlign w:val="bottom"/>
          </w:tcPr>
          <w:p>
            <w:pPr>
              <w:jc w:val="right"/>
              <w:ind w:right="576"/>
              <w:spacing w:after="0" w:line="153"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40" w:type="dxa"/>
            <w:vAlign w:val="bottom"/>
            <w:gridSpan w:val="4"/>
          </w:tcPr>
          <w:p>
            <w:pPr>
              <w:jc w:val="right"/>
              <w:ind w:right="354"/>
              <w:spacing w:after="0"/>
              <w:rPr>
                <w:sz w:val="20"/>
                <w:szCs w:val="20"/>
                <w:color w:val="auto"/>
              </w:rPr>
            </w:pPr>
            <w:r>
              <w:rPr>
                <w:rFonts w:ascii="Arial" w:cs="Arial" w:eastAsia="Arial" w:hAnsi="Arial"/>
                <w:sz w:val="14"/>
                <w:szCs w:val="14"/>
                <w:b w:val="1"/>
                <w:bCs w:val="1"/>
                <w:i w:val="1"/>
                <w:iCs w:val="1"/>
                <w:color w:val="auto"/>
              </w:rPr>
              <w:t>(Dollars 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169,779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(73,363)</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269,497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318,718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(49,221)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3,154</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6,398</w:t>
            </w:r>
          </w:p>
        </w:tc>
        <w:tc>
          <w:tcPr>
            <w:tcW w:w="260" w:type="dxa"/>
            <w:vAlign w:val="bottom"/>
          </w:tcPr>
          <w:p>
            <w:pPr>
              <w:spacing w:after="0"/>
              <w:rPr>
                <w:sz w:val="21"/>
                <w:szCs w:val="21"/>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(3,244)</w:t>
            </w:r>
          </w:p>
        </w:tc>
        <w:tc>
          <w:tcPr>
            <w:tcW w:w="1060" w:type="dxa"/>
            <w:vAlign w:val="bottom"/>
          </w:tcPr>
          <w:p>
            <w:pPr>
              <w:ind w:left="5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9,478</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16,933</w:t>
            </w:r>
          </w:p>
        </w:tc>
        <w:tc>
          <w:tcPr>
            <w:tcW w:w="260" w:type="dxa"/>
            <w:vAlign w:val="bottom"/>
          </w:tcPr>
          <w:p>
            <w:pPr>
              <w:spacing w:after="0"/>
              <w:rPr>
                <w:sz w:val="21"/>
                <w:szCs w:val="21"/>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(7,455)</w:t>
            </w: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(1,114)</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136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8"/>
              </w:rPr>
              <w:t>Total advertising expense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101,829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179,550</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(77,721)</w:t>
            </w:r>
          </w:p>
        </w:tc>
        <w:tc>
          <w:tcPr>
            <w:tcW w:w="106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285,596</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342,136</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(56,540)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34"/>
        </w:trPr>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decreased our advertising expenditures in the second quarter and first six months of 2020 compared to the second quarter and first six months of 2019 in response to changes in Network Partner demand on our marketplace as a result of the ongoing COVID-19 pandemic discussed above. We will continue to adjust selling and marketing expenditures dynamically in relation to this and in response to anticipated revenue opportunities.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expense remained relatively consistent in the second quarter and first six months of 2020 compared to the second quarter and first six months of 2019. The second quarter and first six months of 2019 benefited from a $2.7 million gain on the sale of two office buildings. Additionally, travel and entertainment expense decreased $1.5 million in the second quarter of 2020 compared to the second quarter of 2019. General and administrative expenses decreased in the first six months of 2020 compared to the first six months of 2019 due to decreases in compensation and benefits, travel and entertainment expense and other taxes of $3.4 million, $1.8 million and $1.4 million, respectively. In addition to the change in general and administrative expenses due to the gain on the sale of the office buildings in 2019, general and administrative expenses increased in the first six months of 2020 compared to the first six months of 2019 due to increases in professional fees, technology expense and facilities expense of $3.2 million, $1.6 million and $1.2 million, respectively.</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increased to 16% and 13% in the second quarter and first six months of 2020, respectively, compared to 10% and 11% in the second quarter and first six months of 2019,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 development expense increased in the second quarter and first six months of 2020 compared to the second quarter and first six months of 2019 as we continued to invest in internal development of new and enhanced features, functionality and business opportunities that we believe will enable us to better and more fully serve consumers and Network Partners.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increase in depreciation expense in the second quarter and first six months of 2020 compared to the second quarter and first six months of 2019 was primarily the result of higher investment in internally developed software in recent years, to support the growth of our business.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second quarter and first six months of 2020, we recorded aggregate contingent consideration expense of $9.2 million and $1.1 million, respectively, due to adjustments in the estimated fair value of the earnout payments related to our recent acquisitions. For the second quarter of 2020, the contingent consideration expense for the QuoteWizard, Ovation and SnapCap acquisitions was $8.1 million, $1.0 million and $0.1 million, respectively. For the first six months of 2020, the contingent consideration expense for the Ovation and SnapCap acquisitions was $1.2 million and $0.1 million, respectively, partially offset by a contingent consideration gain for the QuoteWizard acquisition of $0.2 million.</w:t>
      </w:r>
    </w:p>
    <w:p>
      <w:pPr>
        <w:spacing w:after="0" w:line="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second quarter and first six months of 2019, we recorded aggregate contingent consideration expense of $2.8 million and $17.4 million, respectively, due to adjustments in the estimated fair value of the earnout payments related to our recent acquisitions. For the second quarter of 2019, the contingent consideration expense for the QuoteWizard and Ovation acquisitions was $2.5 million and $0.6 million, respectively. This was partially offset by contingent consideration gains recorded for the SnapCap and DepositAccounts acquisitions of $0.1 million and $0.2 million, respectively. For the first six months of 2019, the contingent consideration expense for the QuoteWizard and SnapCap acquisitions was $16.9 million and $1.5 million, respectively. This was partially offset by a contingent consideration gain recorded for the DepositAccounts acquisition of $0.9 million.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second quarter and first six months of 2020, the effective tax rate varied from the federal statutory rate of 21% in part due to a tax benefit of $0.8 million and $1.8 million, respectively, recognized for excess tax benefits resulting from employee exercises of stock options and vesting of restricted stock in accordance with ASU 2016-09 and the effect of state taxes. The effective tax rate for the first six months of 2020 was also impacted by a tax benefit of $6.1 million for the impact of the Coronavirus Aid, Relief, and Economic Security ("CARES") Act, as described below.</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us, including, but not limited to, modifications for net operating losses, accelerated timeframe for refunds associated with prior minimum taxes and modifications of the limitation on business interest.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revalued deferred tax assets related to net operating losses in light of the changes in the CARES Act, and recorded a net tax benefit of $6.1 million during the first six months of 2020. These deferred tax assets are being revalued, as they will be carried back to 2016 and 2017, which are tax periods prior to the Tax Cuts and Jobs Act ("TCJA") when the federal statutory tax rate was 35% versus the 21% federal statutory tax rate in effect after the enactment of the TCJA.</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second quarter and first six months of 2019, the effective tax rate varied from the federal statutory rate of 21% primarily due to a tax benefit of $7.7 million and $13.7 million, respectively, recognized for excess tax benefits resulting from employee exercises of stock options and vesting of restricted stock in accordance with ASU 2016-09 and the effect of state taxes.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Home Loan Center, Inc., or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ongoing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ongoing legal proceedings against LendingTree Inc. or LendingTree LLC that arose due to the LendingTree Loans business or the HLC bankruptcy filing.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18—Discontinued Operations to the consolidated financial statements included elsewhere in this report for more information,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effect of HLC’s bankruptcy filing on our consolidated financial statements.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right="115"/>
              <w:spacing w:after="0"/>
              <w:rPr>
                <w:sz w:val="20"/>
                <w:szCs w:val="20"/>
                <w:color w:val="auto"/>
              </w:rPr>
            </w:pPr>
            <w:r>
              <w:rPr>
                <w:rFonts w:ascii="Arial" w:cs="Arial" w:eastAsia="Arial" w:hAnsi="Arial"/>
                <w:sz w:val="14"/>
                <w:szCs w:val="14"/>
                <w:b w:val="1"/>
                <w:bCs w:val="1"/>
                <w:color w:val="auto"/>
                <w:w w:val="93"/>
              </w:rPr>
              <w:t>Three Months Ended 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4"/>
                <w:szCs w:val="14"/>
                <w:b w:val="1"/>
                <w:bCs w:val="1"/>
                <w:color w:val="auto"/>
                <w:w w:val="92"/>
              </w:rPr>
              <w:t>Six Months Ended 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40" w:type="dxa"/>
            <w:vAlign w:val="bottom"/>
          </w:tcPr>
          <w:p>
            <w:pPr>
              <w:jc w:val="right"/>
              <w:ind w:right="595"/>
              <w:spacing w:after="0" w:line="153"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60" w:type="dxa"/>
            <w:vAlign w:val="bottom"/>
          </w:tcPr>
          <w:p>
            <w:pPr>
              <w:jc w:val="right"/>
              <w:ind w:right="595"/>
              <w:spacing w:after="0" w:line="153"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55"/>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80" w:type="dxa"/>
            <w:vAlign w:val="bottom"/>
            <w:gridSpan w:val="4"/>
          </w:tcPr>
          <w:p>
            <w:pPr>
              <w:jc w:val="right"/>
              <w:ind w:right="373"/>
              <w:spacing w:after="0"/>
              <w:rPr>
                <w:sz w:val="20"/>
                <w:szCs w:val="20"/>
                <w:color w:val="auto"/>
              </w:rPr>
            </w:pPr>
            <w:r>
              <w:rPr>
                <w:rFonts w:ascii="Arial" w:cs="Arial" w:eastAsia="Arial" w:hAnsi="Arial"/>
                <w:sz w:val="14"/>
                <w:szCs w:val="14"/>
                <w:b w:val="1"/>
                <w:bCs w:val="1"/>
                <w:i w:val="1"/>
                <w:iCs w:val="1"/>
                <w:color w:val="auto"/>
              </w:rPr>
              <w:t>(Dollars in thousands)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24,210</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14,516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74,637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48,131</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26,506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19,402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50,771</w:t>
            </w:r>
          </w:p>
        </w:tc>
        <w:tc>
          <w:tcPr>
            <w:tcW w:w="260" w:type="dxa"/>
            <w:vAlign w:val="bottom"/>
          </w:tcPr>
          <w:p>
            <w:pPr>
              <w:spacing w:after="0"/>
              <w:rPr>
                <w:sz w:val="21"/>
                <w:szCs w:val="21"/>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(31,369)</w:t>
            </w: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62,501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104,745</w:t>
            </w:r>
          </w:p>
        </w:tc>
        <w:tc>
          <w:tcPr>
            <w:tcW w:w="240" w:type="dxa"/>
            <w:vAlign w:val="bottom"/>
          </w:tcPr>
          <w:p>
            <w:pPr>
              <w:spacing w:after="0"/>
              <w:rPr>
                <w:sz w:val="21"/>
                <w:szCs w:val="21"/>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(42,244)</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30,122</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28,806</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1,316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60,655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56,670</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3,985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21"/>
                <w:szCs w:val="21"/>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(264)</w:t>
            </w: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1,104</w:t>
            </w:r>
          </w:p>
        </w:tc>
        <w:tc>
          <w:tcPr>
            <w:tcW w:w="240" w:type="dxa"/>
            <w:vAlign w:val="bottom"/>
          </w:tcPr>
          <w:p>
            <w:pPr>
              <w:spacing w:after="0"/>
              <w:rPr>
                <w:sz w:val="21"/>
                <w:szCs w:val="21"/>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(1,351)</w:t>
            </w: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104,132</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(15,801)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197,546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210,650</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(13,104)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2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 Segment Information in the notes to the consolidated financial statements for additional information on segments and a reconciliation of segment profit to pre-tax income from continuing operations.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Consumer segment profit decreased $31.4 million in the second quarter of 2020 from the second quarter of 2019, and decreased $42.2 million in the first six months of 2020 from the first six months of 2019, primarily due to decreases in revenue, partially offset by corresponding decreases in selling and marketing expense. The biggest challenge facing many of our consumer Network Partners, and in turn our own business, is a lack of visibility into the true health of consumer balance sheets. Credit performance across consumer lenders of varying shapes and sizes has seemingly fared better than expected, and unemployment has begun to improve after peaking at nearly 15% in April. But questions remain as to the impact on these trends from government stimulus, forbearance and deferment programs offered by the lenders, and ultimately, our country's ability to re-open safely.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card issuers and personal loan lenders appetite for risk is temporarily diminished until there is further evidence of economic stabilization. We do believe the revenue opportunity in our Consumer segment has hit the trough as many of our consumer Network Partners who initially paused entirely are beginning to return to the platform. In most cases, those consumer Network Partners are returning to reach narrower bands of consumers, with much stricter credit standards, smaller budgets, and less aggressive bids.</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Home segment profit increased $14.5 million in the second quarter of 2020 from the second quarter of 2019, and increased $26.5 million in the first six months of 2020 from the first six months of 2019, due to increases in revenue and decreases in selling and marketing expense. Historically, as explained, in periods similar to those experienced in the second quarter of 2020 with sharp declines in interest rates and increased consumer interest, our mortgage Network Partners become inundated with more organic volume than they can process and their demand for our services diminishes for a period of time. While that dynamic has remained very relevant for us in the second quarter, our improved ability to withstand it is evident. We've developed differentiated offerings and price points for mortgage Network Partners to better serve a wider array of their needs. Our Home segment has benefited from a decrease in unit marketing costs during the COVID-19 pandemic. With heightened interest in refinancing and home-buying activity, we managed to meet the demand of our Network Partners in an optimized and cost-efficient way. We expect Home unit marketing costs in the third quarter of 2020 to return to levels experienced prior to the second quarter of 2020.</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Insurance segment profit increased $1.3 million in the second quarter of 2020 from the second quarter of 2019 due to an increase in revenue and a decrease in selling and marketing expense, and increased $4.0 million in the first six months of 2020 from the first six months of 2019 due to an increase in revenue, partially offset by corresponding increases in selling and marketing expense. At the end of the first quarter of 2020, we noted a slowdown in consumers searching for auto insurance which we attributed to slumping car sales amid the pandemic. While those trends have steadily begun to recover since early April, reduced search engine traffic has continued to present a modest headwind to achieving the levels of growth in the Insurance segment that we've historically experienced and we have taken on several initiatives to combat these trends. We've seen demonstrable traffic growth through several non-search channels and the agent portion of the Insurance segment is achieving record-highs as agents find increasing value in our services in a remote work environment.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70" w:lineRule="auto"/>
        <w:tabs>
          <w:tab w:leader="none" w:pos="263"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restructuring and severance expenses, (5) litigation settlements and contingencies,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(8,616)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10,360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13,531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13,756</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27,513</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3,550</w:t>
            </w:r>
          </w:p>
        </w:tc>
        <w:tc>
          <w:tcPr>
            <w:tcW w:w="4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6,928</w:t>
            </w:r>
          </w:p>
        </w:tc>
        <w:tc>
          <w:tcPr>
            <w:tcW w:w="4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5,041</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190</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Loss (gain) on impairments and disposal of assets</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552</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(1,978)</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13,158</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25,075</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30,035</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9,175</w:t>
            </w:r>
          </w:p>
        </w:tc>
        <w:tc>
          <w:tcPr>
            <w:tcW w:w="4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1,053</w:t>
            </w:r>
          </w:p>
        </w:tc>
        <w:tc>
          <w:tcPr>
            <w:tcW w:w="4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17,382</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2,200</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(1,325)</w:t>
            </w:r>
          </w:p>
        </w:tc>
        <w:tc>
          <w:tcPr>
            <w:tcW w:w="4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4,955</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9,789</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10,563</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(3,880)</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(6,941)</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(13,441)</w:t>
            </w:r>
          </w:p>
        </w:tc>
      </w:tr>
      <w:tr>
        <w:trPr>
          <w:trHeight w:val="27"/>
        </w:trPr>
        <w:tc>
          <w:tcPr>
            <w:tcW w:w="5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30,847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46,273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75,723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89,277</w:t>
            </w:r>
          </w:p>
        </w:tc>
      </w:tr>
      <w:tr>
        <w:trPr>
          <w:trHeight w:val="27"/>
        </w:trPr>
        <w:tc>
          <w:tcPr>
            <w:tcW w:w="59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2020, we had $101.8 million of cash and cash equivalents, compared to $60.2 million of cash and cash equivalents as of December 31, 2019.</w:t>
      </w:r>
    </w:p>
    <w:p>
      <w:pPr>
        <w:spacing w:after="0" w:line="6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 xml:space="preserve">In February 2020, we acquired an equity interest in Stash for $80.0 million. The investment was funded through $80.0 million drawn on our Amended Revolving Credit Facility.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7—Equity Investment to the consolidated financial statements included elsewhere in this report for more information.</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six months of 2020, we paid down $25.0 million on our Amended Revolving Credit Facility. We made net repayments of $130.0 million on our Amended Revolving Credit Facility in July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first six months of 2020, we made two contingent consideration payments of $3.0 million each, related to the prior acquisition of SnapCap.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could make additional potential contingent consideration payments of up to $4.4 million for Ovation and $46.8 million for QuoteWizard.</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2020, we made litigation settlement payments of $26.5 million to the ResCap Liquidating Trust and $36.0 million to the HLC bankruptcy Trustee for the matters noted in Note 18—Discontinued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2020, we issued $575.0 million of our 0.50% Convertible Senior Notes due July 15, 2025 (the “2025 Notes”) for estimated net proceeds of approximately $559.8 million. We used approximately $63.0 million of the net proceeds to enter into Convertible Note Hedge and Warrant transactions. Further, we used approximately $234.0 million of the net proceeds to repurchase approximately $130.3 million principal amount of our 0.625% Convertible Senior Notes due June 1, 2022 (the “2022 Notes”). To the extent of the repurchases of the 2022 Notes, we received approximately $15.6 million as a result of terminating a corresponding portion of the Convertible Note Hedge and Warrant transactions entered into on May 31, 2017. See Note 19—Subsequent Events for additional information.</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 We will continue to monitor the impact of the ongoing COVID-19 pandemic on our liquidity and capital resources. We expect our cashflow from operating activities to be negatively impacted by the economic recession.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December 10, 2019, we entered into an amended and restated $500.0 million five-year senior secured revolving credit facility, which matures on December 10, 2024 (the “Amended Revolving Credit Facility”). Borrowings under the Amended Revolving Credit Facility can be used to finance working capital needs, capital expenditures and general corporate purposes, including to finance permitted acquisitions. In July 2020, we executed a temporary amendment to the Amended Revolving Credit Facility to provide for certain covenant relief, primarily to facilitate the issuance of the 2025 Notes, the repurchase of a portion of the 2022 Notes, and to pay down existing borrowings under the credit facility.</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August 4, 2020, we have a $0.2 million letter of credit under the Amended Revolving Credit Facility. The remaining borrowing capacity at August 4, 2020 is $499.8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87,916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67,875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(89,108)</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(90,838)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45,282</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(24,653)</w:t>
            </w:r>
          </w:p>
        </w:tc>
      </w:tr>
      <w:tr>
        <w:trPr>
          <w:trHeight w:val="20"/>
        </w:trPr>
        <w:tc>
          <w:tcPr>
            <w:tcW w:w="8220" w:type="dxa"/>
            <w:vAlign w:val="bottom"/>
            <w:shd w:val="clear" w:color="auto" w:fill="999999"/>
          </w:tcPr>
          <w:p>
            <w:pPr>
              <w:spacing w:after="0" w:line="20" w:lineRule="exact"/>
              <w:rPr>
                <w:sz w:val="1"/>
                <w:szCs w:val="1"/>
                <w:color w:val="auto"/>
              </w:rPr>
            </w:pPr>
          </w:p>
        </w:tc>
        <w:tc>
          <w:tcPr>
            <w:tcW w:w="340" w:type="dxa"/>
            <w:vAlign w:val="bottom"/>
            <w:shd w:val="clear" w:color="auto" w:fill="999999"/>
          </w:tcPr>
          <w:p>
            <w:pPr>
              <w:spacing w:after="0" w:line="20" w:lineRule="exact"/>
              <w:rPr>
                <w:sz w:val="1"/>
                <w:szCs w:val="1"/>
                <w:color w:val="auto"/>
              </w:rPr>
            </w:pPr>
          </w:p>
        </w:tc>
        <w:tc>
          <w:tcPr>
            <w:tcW w:w="116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98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increased in the first six months of 2020 from the first six months of 2019 primarily due to changes in accounts receivable, partially offset by changes in accounts payable, accrued expenses and other current liabilities. The first six months of 2020 also experienced a decrease in revenue, partially offset by a corresponding decrease in selling and marketing expense, compared to the first six months of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attributable to continuing operations in the first six months of 2020 of $89.1 million consisted of the purchase of an $80.0 million equity interest in Stash and capital expenditures of $9.1 million primarily related to internally developed software.</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2019 of $90.8 million consisted primarily of the acquisition of ValuePenguin for $105.6 million, net of cash acquired, and capital expenditures of $9.8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primarily related to internally developed software. This was partially offset by proceeds of $24.1 million on the sale of two office buildings, net of closing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the first six months of 2020 of $45.3 million consisted primarily of $55.0 million of net proceeds from our Amended Revolving Credit Facility, partially offset by $6.1 million in withholding taxes paid upon surrender of shares to satisfy obligations on equity awards, net of proceeds from the exercise of stock options, and $3.3 million related to contingent consideration payments for SnapCap.</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attributable to continuing operations in the first six months of 2019 of $24.7 million consisted primarily of $10.0 million of net repayments on our 2017 Revolving Credit Facility, $4.0 million for the repurchase of our common stock, $7.6 million in withholding taxes paid upon surrender of shares to satisfy obligations on equity awards, net of proceeds from the exercise of stock options, and a $3.0 million contingent consideration payment for SnapCap.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our Amended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Amended Revolving Credit Facility, if any. As of August 4, 2020, there were no borrowings under the Amended Revolving Credit Facility.</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defined in Exchange Act Rule 13a-15(e). Based upon that evaluation, our Chief Executive Officer and Chief Financial Officer concluded that our disclosure controls and procedures are effective, as of June 30, 2020,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2020 that has materially affected, or is reasonably likely to materially affect, our internal controls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2019 Annual Report and updated that information in Note 15—Contingencies and Note 18—Discontinued Operations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risk factor set forth below, 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2019 Annual Report.</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COVID-19 pandemic has impacted our business, and the ultimate impact on our business, financial condition and results of operations will depend on future developments, which are highly uncertain and cannot be predicted, including the scope and duration of the pandemic and actions taken by governmental authorities in response to the pandemic.</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has negatively impacted the global economy, disrupted global supply chains, lowered equity market valuations, created significant volatility and disruption in financial markets, and increased unemployment levels. In addition, the pandemic has resulted in temporary closures of many businesses and the institution of social distancing and sheltering in place requirements in many states and communities. As a result, the demand for our products, in particular in our Consumer segment, has been and may continue to be significantly impacted. Within our Consumer segment we have seen reductions of over 70% in near-term lender demand for our services reflecting those lenders' uncertainty over the length and depth of the economic recession. Our business operations may also be disrupted if significant portions of our workforce are unable to work effectively, including because of illness, quarantines, government actions, or other restrictions in connection with the pandemic. The extent to which the COVID-19 pandemic impacts our business, financial condition and results of operations, as well as our regulatory capital and liquidity ratios, will depend on future developments, which are highly uncertain and cannot be predicted, including the scope and duration of the pandemic and actions taken by governmental authorities and other third parties in response to the pandemic.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June 30, 2020, no shares of common stock were repurchased under the stock repurchase program. As of </w:t>
      </w:r>
      <w:r>
        <w:rPr>
          <w:rFonts w:ascii="Arial" w:cs="Arial" w:eastAsia="Arial" w:hAnsi="Arial"/>
          <w:sz w:val="15"/>
          <w:szCs w:val="15"/>
          <w:color w:val="auto"/>
        </w:rPr>
        <w:t>July 29, 2020</w:t>
      </w:r>
      <w:r>
        <w:rPr>
          <w:rFonts w:ascii="Arial" w:cs="Arial" w:eastAsia="Arial" w:hAnsi="Arial"/>
          <w:sz w:val="16"/>
          <w:szCs w:val="16"/>
          <w:color w:val="auto"/>
        </w:rPr>
        <w:t>, approximately $179.7 million remains authorized for share repurchase.</w:t>
      </w:r>
    </w:p>
    <w:p>
      <w:pPr>
        <w:spacing w:after="0" w:line="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Sixth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2020, 7,724 shares were purchased related to these obligations under the LendingTree Sixth Amended and Restated 2008 Stock and Award Incentive Plan and 711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180" w:type="dxa"/>
            <w:vAlign w:val="bottom"/>
          </w:tcPr>
          <w:p>
            <w:pPr>
              <w:spacing w:after="0"/>
              <w:rPr>
                <w:sz w:val="14"/>
                <w:szCs w:val="14"/>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2"/>
                <w:szCs w:val="12"/>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840" w:type="dxa"/>
            <w:vAlign w:val="bottom"/>
            <w:gridSpan w:val="2"/>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8"/>
                <w:szCs w:val="8"/>
                <w:b w:val="1"/>
                <w:bCs w:val="1"/>
                <w:color w:val="auto"/>
                <w:w w:val="89"/>
              </w:rPr>
              <w:t>(1)</w:t>
            </w:r>
          </w:p>
        </w:tc>
        <w:tc>
          <w:tcPr>
            <w:tcW w:w="24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(2)</w:t>
            </w:r>
          </w:p>
        </w:tc>
        <w:tc>
          <w:tcPr>
            <w:tcW w:w="180" w:type="dxa"/>
            <w:vAlign w:val="bottom"/>
          </w:tcPr>
          <w:p>
            <w:pPr>
              <w:spacing w:after="0"/>
              <w:rPr>
                <w:sz w:val="16"/>
                <w:szCs w:val="16"/>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79"/>
        </w:trPr>
        <w:tc>
          <w:tcPr>
            <w:tcW w:w="3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4/1/20 - 4/30/20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195.19</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5/1/20 - 5/31/20</w:t>
            </w:r>
          </w:p>
        </w:tc>
        <w:tc>
          <w:tcPr>
            <w:tcW w:w="120" w:type="dxa"/>
            <w:vAlign w:val="bottom"/>
          </w:tcPr>
          <w:p>
            <w:pPr>
              <w:spacing w:after="0"/>
              <w:rPr>
                <w:sz w:val="21"/>
                <w:szCs w:val="21"/>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245.33</w:t>
            </w:r>
          </w:p>
        </w:tc>
        <w:tc>
          <w:tcPr>
            <w:tcW w:w="100" w:type="dxa"/>
            <w:vAlign w:val="bottom"/>
          </w:tcPr>
          <w:p>
            <w:pPr>
              <w:spacing w:after="0"/>
              <w:rPr>
                <w:sz w:val="21"/>
                <w:szCs w:val="21"/>
                <w:color w:val="auto"/>
              </w:rPr>
            </w:pPr>
          </w:p>
        </w:tc>
        <w:tc>
          <w:tcPr>
            <w:tcW w:w="19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6/1/20 - 6/30/20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279.74</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8,435</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271.38</w:t>
            </w:r>
          </w:p>
        </w:tc>
        <w:tc>
          <w:tcPr>
            <w:tcW w:w="1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ind w:left="15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34"/>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right="2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April 2020, May 2020 and June 2020, 480 shares, 870 shares and 7,085 shares, respectively (totaling 8,435 shares), were purchased to satisfy federal and state withholding obligations of our employees upon the settlement of restricted stock units and restricted stock awards, all in accordance with our Sixth Amended and Restated 2008 Stock and Award Incentive Plan and 2017 Inducement Grant Plan, as described above.</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Exhibit</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5"/>
          </w:tcPr>
          <w:p>
            <w:pPr>
              <w:ind w:left="1280"/>
              <w:spacing w:after="0"/>
              <w:rPr>
                <w:sz w:val="20"/>
                <w:szCs w:val="20"/>
                <w:color w:val="auto"/>
              </w:rPr>
            </w:pPr>
            <w:r>
              <w:rPr>
                <w:rFonts w:ascii="Arial" w:cs="Arial" w:eastAsia="Arial" w:hAnsi="Arial"/>
                <w:sz w:val="14"/>
                <w:szCs w:val="14"/>
                <w:b w:val="1"/>
                <w:bCs w:val="1"/>
                <w:color w:val="auto"/>
              </w:rPr>
              <w:t>Description</w:t>
            </w:r>
          </w:p>
        </w:tc>
        <w:tc>
          <w:tcPr>
            <w:tcW w:w="29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w:t>
            </w:r>
          </w:p>
        </w:tc>
        <w:tc>
          <w:tcPr>
            <w:tcW w:w="7200" w:type="dxa"/>
            <w:vAlign w:val="bottom"/>
            <w:gridSpan w:val="8"/>
            <w:shd w:val="clear" w:color="auto" w:fill="CCEEFF"/>
          </w:tcPr>
          <w:p>
            <w:pPr>
              <w:spacing w:after="0"/>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Amended and Restated Certificate of Incorporation of LendingTree, Inc.</w:t>
              </w:r>
            </w:hyperlink>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Exhibit 3.1 to the Registrant's Current</w:t>
            </w:r>
          </w:p>
        </w:tc>
      </w:tr>
      <w:tr>
        <w:trPr>
          <w:trHeight w:val="216"/>
        </w:trPr>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Report on Form 8-K filed August 25,</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2008</w:t>
            </w:r>
          </w:p>
        </w:tc>
      </w:tr>
      <w:tr>
        <w:trPr>
          <w:trHeight w:val="229"/>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3.2</w:t>
            </w:r>
          </w:p>
        </w:tc>
        <w:tc>
          <w:tcPr>
            <w:tcW w:w="7200" w:type="dxa"/>
            <w:vAlign w:val="bottom"/>
            <w:gridSpan w:val="8"/>
          </w:tcPr>
          <w:p>
            <w:pPr>
              <w:spacing w:after="0"/>
              <w:rPr>
                <w:rFonts w:ascii="Arial" w:cs="Arial" w:eastAsia="Arial" w:hAnsi="Arial"/>
                <w:sz w:val="18"/>
                <w:szCs w:val="18"/>
                <w:color w:val="0000FF"/>
              </w:rPr>
            </w:pPr>
            <w:hyperlink r:id="rId20">
              <w:r>
                <w:rPr>
                  <w:rFonts w:ascii="Arial" w:cs="Arial" w:eastAsia="Arial" w:hAnsi="Arial"/>
                  <w:sz w:val="18"/>
                  <w:szCs w:val="18"/>
                  <w:u w:val="single" w:color="auto"/>
                  <w:color w:val="0000FF"/>
                </w:rPr>
                <w:t>Fourth Amended and Restated By-laws of LendingTree, Inc</w:t>
              </w:r>
              <w:r>
                <w:rPr>
                  <w:rFonts w:ascii="Arial" w:cs="Arial" w:eastAsia="Arial" w:hAnsi="Arial"/>
                  <w:sz w:val="18"/>
                  <w:szCs w:val="18"/>
                  <w:color w:val="0000FF"/>
                </w:rPr>
                <w:t>.</w:t>
              </w:r>
            </w:hyperlink>
          </w:p>
        </w:tc>
        <w:tc>
          <w:tcPr>
            <w:tcW w:w="2980" w:type="dxa"/>
            <w:vAlign w:val="bottom"/>
          </w:tcPr>
          <w:p>
            <w:pPr>
              <w:ind w:left="100"/>
              <w:spacing w:after="0"/>
              <w:rPr>
                <w:sz w:val="20"/>
                <w:szCs w:val="20"/>
                <w:color w:val="auto"/>
              </w:rPr>
            </w:pPr>
            <w:r>
              <w:rPr>
                <w:rFonts w:ascii="Arial" w:cs="Arial" w:eastAsia="Arial" w:hAnsi="Arial"/>
                <w:sz w:val="18"/>
                <w:szCs w:val="18"/>
                <w:color w:val="auto"/>
                <w:w w:val="95"/>
              </w:rPr>
              <w:t>Exhibit 3.1 to the Registrant's Current</w:t>
            </w:r>
          </w:p>
        </w:tc>
      </w:tr>
      <w:tr>
        <w:trPr>
          <w:trHeight w:val="216"/>
        </w:trPr>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Report on Form 8-K filed November</w:t>
            </w:r>
          </w:p>
        </w:tc>
      </w:tr>
      <w:tr>
        <w:trPr>
          <w:trHeight w:val="230"/>
        </w:trPr>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15, 2017</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03"/>
        </w:trPr>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10.1</w:t>
            </w:r>
          </w:p>
        </w:tc>
        <w:tc>
          <w:tcPr>
            <w:tcW w:w="7200" w:type="dxa"/>
            <w:vAlign w:val="bottom"/>
            <w:gridSpan w:val="8"/>
            <w:shd w:val="clear" w:color="auto" w:fill="CCEEFF"/>
          </w:tcPr>
          <w:p>
            <w:pPr>
              <w:spacing w:after="0" w:line="202" w:lineRule="exact"/>
              <w:rPr>
                <w:rFonts w:ascii="Arial" w:cs="Arial" w:eastAsia="Arial" w:hAnsi="Arial"/>
                <w:sz w:val="18"/>
                <w:szCs w:val="18"/>
                <w:color w:val="0000FF"/>
                <w:w w:val="98"/>
              </w:rPr>
            </w:pPr>
            <w:hyperlink w:anchor="page49">
              <w:r>
                <w:rPr>
                  <w:rFonts w:ascii="Arial" w:cs="Arial" w:eastAsia="Arial" w:hAnsi="Arial"/>
                  <w:sz w:val="18"/>
                  <w:szCs w:val="18"/>
                  <w:color w:val="0000FF"/>
                  <w:w w:val="98"/>
                </w:rPr>
                <w:t>Form of Notice of Stock Option Award Granted Under the LendingTree, Inc. 2008 Stock and</w:t>
              </w:r>
            </w:hyperlink>
          </w:p>
        </w:tc>
        <w:tc>
          <w:tcPr>
            <w:tcW w:w="2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Annual Incentive Plan</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10.2</w:t>
            </w:r>
          </w:p>
        </w:tc>
        <w:tc>
          <w:tcPr>
            <w:tcW w:w="7140" w:type="dxa"/>
            <w:vAlign w:val="bottom"/>
            <w:tcBorders>
              <w:bottom w:val="single" w:sz="8" w:color="0000FF"/>
            </w:tcBorders>
            <w:gridSpan w:val="7"/>
          </w:tcPr>
          <w:p>
            <w:pPr>
              <w:spacing w:after="0" w:line="202" w:lineRule="exact"/>
              <w:rPr>
                <w:rFonts w:ascii="Arial" w:cs="Arial" w:eastAsia="Arial" w:hAnsi="Arial"/>
                <w:sz w:val="18"/>
                <w:szCs w:val="18"/>
                <w:color w:val="0000FF"/>
                <w:w w:val="93"/>
              </w:rPr>
            </w:pPr>
            <w:hyperlink w:anchor="page53">
              <w:r>
                <w:rPr>
                  <w:rFonts w:ascii="Arial" w:cs="Arial" w:eastAsia="Arial" w:hAnsi="Arial"/>
                  <w:sz w:val="18"/>
                  <w:szCs w:val="18"/>
                  <w:color w:val="0000FF"/>
                  <w:w w:val="93"/>
                </w:rPr>
                <w:t>Form of Notice of Restricted Stock Unit Award Granted Under the LendingTree, Inc. 2008 Stock</w:t>
              </w:r>
            </w:hyperlink>
          </w:p>
        </w:tc>
        <w:tc>
          <w:tcPr>
            <w:tcW w:w="60" w:type="dxa"/>
            <w:vAlign w:val="bottom"/>
          </w:tcPr>
          <w:p>
            <w:pPr>
              <w:spacing w:after="0"/>
              <w:rPr>
                <w:sz w:val="17"/>
                <w:szCs w:val="17"/>
                <w:color w:val="auto"/>
              </w:rPr>
            </w:pPr>
          </w:p>
        </w:tc>
        <w:tc>
          <w:tcPr>
            <w:tcW w:w="29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Pr>
          <w:p>
            <w:pPr>
              <w:spacing w:after="0"/>
              <w:rPr>
                <w:sz w:val="17"/>
                <w:szCs w:val="17"/>
                <w:color w:val="auto"/>
              </w:rPr>
            </w:pPr>
          </w:p>
        </w:tc>
        <w:tc>
          <w:tcPr>
            <w:tcW w:w="7200" w:type="dxa"/>
            <w:vAlign w:val="bottom"/>
            <w:gridSpan w:val="8"/>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and Annual Incentive Plan</w:t>
              </w:r>
            </w:hyperlink>
          </w:p>
        </w:tc>
        <w:tc>
          <w:tcPr>
            <w:tcW w:w="2980" w:type="dxa"/>
            <w:vAlign w:val="bottom"/>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03"/>
        </w:trPr>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10.3</w:t>
            </w:r>
          </w:p>
        </w:tc>
        <w:tc>
          <w:tcPr>
            <w:tcW w:w="7200" w:type="dxa"/>
            <w:vAlign w:val="bottom"/>
            <w:gridSpan w:val="8"/>
            <w:shd w:val="clear" w:color="auto" w:fill="CCEEFF"/>
          </w:tcPr>
          <w:p>
            <w:pPr>
              <w:spacing w:after="0" w:line="202" w:lineRule="exact"/>
              <w:rPr>
                <w:rFonts w:ascii="Arial" w:cs="Arial" w:eastAsia="Arial" w:hAnsi="Arial"/>
                <w:sz w:val="18"/>
                <w:szCs w:val="18"/>
                <w:color w:val="0000FF"/>
                <w:w w:val="97"/>
              </w:rPr>
            </w:pPr>
            <w:hyperlink w:anchor="page57">
              <w:r>
                <w:rPr>
                  <w:rFonts w:ascii="Arial" w:cs="Arial" w:eastAsia="Arial" w:hAnsi="Arial"/>
                  <w:sz w:val="18"/>
                  <w:szCs w:val="18"/>
                  <w:color w:val="0000FF"/>
                  <w:w w:val="97"/>
                </w:rPr>
                <w:t>Form  of  Notice  of  Stock  Option  Award  Granted  to  Non-Employee  Directors  Under  the</w:t>
              </w:r>
            </w:hyperlink>
          </w:p>
        </w:tc>
        <w:tc>
          <w:tcPr>
            <w:tcW w:w="2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LendingTree, Inc. 2008 Stock and Annual Incentive Plan</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10.4</w:t>
            </w:r>
          </w:p>
        </w:tc>
        <w:tc>
          <w:tcPr>
            <w:tcW w:w="7140" w:type="dxa"/>
            <w:vAlign w:val="bottom"/>
            <w:tcBorders>
              <w:bottom w:val="single" w:sz="8" w:color="0000FF"/>
            </w:tcBorders>
            <w:gridSpan w:val="7"/>
          </w:tcPr>
          <w:p>
            <w:pPr>
              <w:spacing w:after="0" w:line="202" w:lineRule="exact"/>
              <w:rPr>
                <w:rFonts w:ascii="Arial" w:cs="Arial" w:eastAsia="Arial" w:hAnsi="Arial"/>
                <w:sz w:val="18"/>
                <w:szCs w:val="18"/>
                <w:color w:val="0000FF"/>
                <w:w w:val="95"/>
              </w:rPr>
            </w:pPr>
            <w:hyperlink w:anchor="page60">
              <w:r>
                <w:rPr>
                  <w:rFonts w:ascii="Arial" w:cs="Arial" w:eastAsia="Arial" w:hAnsi="Arial"/>
                  <w:sz w:val="18"/>
                  <w:szCs w:val="18"/>
                  <w:color w:val="0000FF"/>
                  <w:w w:val="95"/>
                </w:rPr>
                <w:t>Form of Notice of Restricted Stock Unit Award Granted to Non-Employee Directors Under the</w:t>
              </w:r>
            </w:hyperlink>
          </w:p>
        </w:tc>
        <w:tc>
          <w:tcPr>
            <w:tcW w:w="60" w:type="dxa"/>
            <w:vAlign w:val="bottom"/>
          </w:tcPr>
          <w:p>
            <w:pPr>
              <w:spacing w:after="0"/>
              <w:rPr>
                <w:sz w:val="17"/>
                <w:szCs w:val="17"/>
                <w:color w:val="auto"/>
              </w:rPr>
            </w:pPr>
          </w:p>
        </w:tc>
        <w:tc>
          <w:tcPr>
            <w:tcW w:w="29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Pr>
          <w:p>
            <w:pPr>
              <w:spacing w:after="0"/>
              <w:rPr>
                <w:sz w:val="17"/>
                <w:szCs w:val="17"/>
                <w:color w:val="auto"/>
              </w:rPr>
            </w:pPr>
          </w:p>
        </w:tc>
        <w:tc>
          <w:tcPr>
            <w:tcW w:w="7200" w:type="dxa"/>
            <w:vAlign w:val="bottom"/>
            <w:gridSpan w:val="8"/>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LendingTree, Inc. 2008 Stock and Annual Incentive Plan</w:t>
              </w:r>
            </w:hyperlink>
          </w:p>
        </w:tc>
        <w:tc>
          <w:tcPr>
            <w:tcW w:w="2980" w:type="dxa"/>
            <w:vAlign w:val="bottom"/>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03"/>
        </w:trPr>
        <w:tc>
          <w:tcPr>
            <w:tcW w:w="1060" w:type="dxa"/>
            <w:vAlign w:val="bottom"/>
            <w:tcBorders>
              <w:bottom w:val="single" w:sz="8" w:color="CCEEFF"/>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31.1</w:t>
            </w:r>
          </w:p>
        </w:tc>
        <w:tc>
          <w:tcPr>
            <w:tcW w:w="714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5"/>
              </w:rPr>
            </w:pPr>
            <w:hyperlink w:anchor="page64">
              <w:r>
                <w:rPr>
                  <w:rFonts w:ascii="Arial" w:cs="Arial" w:eastAsia="Arial" w:hAnsi="Arial"/>
                  <w:sz w:val="18"/>
                  <w:szCs w:val="18"/>
                  <w:color w:val="0000FF"/>
                  <w:w w:val="95"/>
                </w:rPr>
                <w:t>Certification of the Chief Executive Officer pursuant to Rule 13a-14(a) or Rule 15d-14(a) of the</w:t>
              </w:r>
            </w:hyperlink>
          </w:p>
        </w:tc>
        <w:tc>
          <w:tcPr>
            <w:tcW w:w="6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shd w:val="clear" w:color="auto" w:fill="CCEEFF"/>
          </w:tcPr>
          <w:p>
            <w:pPr>
              <w:spacing w:after="0"/>
              <w:rPr>
                <w:sz w:val="17"/>
                <w:szCs w:val="17"/>
                <w:color w:val="auto"/>
              </w:rPr>
            </w:pPr>
          </w:p>
        </w:tc>
        <w:tc>
          <w:tcPr>
            <w:tcW w:w="7200" w:type="dxa"/>
            <w:vAlign w:val="bottom"/>
            <w:gridSpan w:val="8"/>
            <w:shd w:val="clear" w:color="auto" w:fill="CCEEFF"/>
          </w:tcPr>
          <w:p>
            <w:pPr>
              <w:spacing w:after="0" w:line="196" w:lineRule="exact"/>
              <w:rPr>
                <w:rFonts w:ascii="Arial" w:cs="Arial" w:eastAsia="Arial" w:hAnsi="Arial"/>
                <w:sz w:val="18"/>
                <w:szCs w:val="18"/>
                <w:color w:val="0000FF"/>
                <w:w w:val="91"/>
              </w:rPr>
            </w:pPr>
            <w:hyperlink w:anchor="page64">
              <w:r>
                <w:rPr>
                  <w:rFonts w:ascii="Arial" w:cs="Arial" w:eastAsia="Arial" w:hAnsi="Arial"/>
                  <w:sz w:val="18"/>
                  <w:szCs w:val="18"/>
                  <w:color w:val="0000FF"/>
                  <w:w w:val="91"/>
                </w:rPr>
                <w:t>Securities Exchange Act of 1934 as adopted pursuant to Section 302 of the Sarbanes-Oxley Act of</w:t>
              </w:r>
            </w:hyperlink>
          </w:p>
        </w:tc>
        <w:tc>
          <w:tcPr>
            <w:tcW w:w="2980" w:type="dxa"/>
            <w:vAlign w:val="bottom"/>
            <w:shd w:val="clear" w:color="auto" w:fill="CCEEFF"/>
          </w:tcPr>
          <w:p>
            <w:pPr>
              <w:spacing w:after="0"/>
              <w:rPr>
                <w:sz w:val="17"/>
                <w:szCs w:val="17"/>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w:anchor="page64">
              <w:r>
                <w:rPr>
                  <w:rFonts w:ascii="Arial" w:cs="Arial" w:eastAsia="Arial" w:hAnsi="Arial"/>
                  <w:sz w:val="18"/>
                  <w:szCs w:val="18"/>
                  <w:color w:val="0000FF"/>
                </w:rPr>
                <w:t>2002.</w:t>
              </w:r>
            </w:hyperlink>
          </w:p>
        </w:tc>
        <w:tc>
          <w:tcPr>
            <w:tcW w:w="320" w:type="dxa"/>
            <w:vAlign w:val="bottom"/>
            <w:tcBorders>
              <w:top w:val="single" w:sz="8" w:color="0000FF"/>
            </w:tcBorders>
            <w:shd w:val="clear" w:color="auto" w:fill="CCEEFF"/>
          </w:tcPr>
          <w:p>
            <w:pPr>
              <w:spacing w:after="0"/>
              <w:rPr>
                <w:sz w:val="17"/>
                <w:szCs w:val="17"/>
                <w:color w:val="auto"/>
              </w:rPr>
            </w:pPr>
          </w:p>
        </w:tc>
        <w:tc>
          <w:tcPr>
            <w:tcW w:w="218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28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31.2</w:t>
            </w:r>
          </w:p>
        </w:tc>
        <w:tc>
          <w:tcPr>
            <w:tcW w:w="7120" w:type="dxa"/>
            <w:vAlign w:val="bottom"/>
            <w:tcBorders>
              <w:bottom w:val="single" w:sz="8" w:color="0000FF"/>
            </w:tcBorders>
            <w:gridSpan w:val="6"/>
          </w:tcPr>
          <w:p>
            <w:pPr>
              <w:spacing w:after="0" w:line="202" w:lineRule="exact"/>
              <w:rPr>
                <w:rFonts w:ascii="Arial" w:cs="Arial" w:eastAsia="Arial" w:hAnsi="Arial"/>
                <w:sz w:val="18"/>
                <w:szCs w:val="18"/>
                <w:color w:val="0000FF"/>
                <w:w w:val="95"/>
              </w:rPr>
            </w:pPr>
            <w:hyperlink w:anchor="page65">
              <w:r>
                <w:rPr>
                  <w:rFonts w:ascii="Arial" w:cs="Arial" w:eastAsia="Arial" w:hAnsi="Arial"/>
                  <w:sz w:val="18"/>
                  <w:szCs w:val="18"/>
                  <w:color w:val="0000FF"/>
                  <w:w w:val="95"/>
                </w:rPr>
                <w:t>Certification of the Chief Financial Officer pursuant to Rule 13a-14(a) or Rule 15d-14(a) of the</w:t>
              </w:r>
            </w:hyperlink>
          </w:p>
        </w:tc>
        <w:tc>
          <w:tcPr>
            <w:tcW w:w="80" w:type="dxa"/>
            <w:vAlign w:val="bottom"/>
            <w:gridSpan w:val="2"/>
          </w:tcPr>
          <w:p>
            <w:pPr>
              <w:spacing w:after="0"/>
              <w:rPr>
                <w:sz w:val="17"/>
                <w:szCs w:val="17"/>
                <w:color w:val="auto"/>
              </w:rPr>
            </w:pPr>
          </w:p>
        </w:tc>
        <w:tc>
          <w:tcPr>
            <w:tcW w:w="29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Pr>
          <w:p>
            <w:pPr>
              <w:spacing w:after="0"/>
              <w:rPr>
                <w:sz w:val="17"/>
                <w:szCs w:val="17"/>
                <w:color w:val="auto"/>
              </w:rPr>
            </w:pPr>
          </w:p>
        </w:tc>
        <w:tc>
          <w:tcPr>
            <w:tcW w:w="7200" w:type="dxa"/>
            <w:vAlign w:val="bottom"/>
            <w:gridSpan w:val="8"/>
          </w:tcPr>
          <w:p>
            <w:pPr>
              <w:spacing w:after="0" w:line="196" w:lineRule="exact"/>
              <w:rPr>
                <w:rFonts w:ascii="Arial" w:cs="Arial" w:eastAsia="Arial" w:hAnsi="Arial"/>
                <w:sz w:val="18"/>
                <w:szCs w:val="18"/>
                <w:color w:val="0000FF"/>
                <w:w w:val="91"/>
              </w:rPr>
            </w:pPr>
            <w:hyperlink w:anchor="page65">
              <w:r>
                <w:rPr>
                  <w:rFonts w:ascii="Arial" w:cs="Arial" w:eastAsia="Arial" w:hAnsi="Arial"/>
                  <w:sz w:val="18"/>
                  <w:szCs w:val="18"/>
                  <w:color w:val="0000FF"/>
                  <w:w w:val="91"/>
                </w:rPr>
                <w:t>Securities Exchange Act of 1934 as adopted pursuant to Section 302 of the Sarbanes-Oxley Act of</w:t>
              </w:r>
            </w:hyperlink>
          </w:p>
        </w:tc>
        <w:tc>
          <w:tcPr>
            <w:tcW w:w="29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6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65">
              <w:r>
                <w:rPr>
                  <w:rFonts w:ascii="Arial" w:cs="Arial" w:eastAsia="Arial" w:hAnsi="Arial"/>
                  <w:sz w:val="18"/>
                  <w:szCs w:val="18"/>
                  <w:color w:val="0000FF"/>
                </w:rPr>
                <w:t>2002.</w:t>
              </w:r>
            </w:hyperlink>
          </w:p>
        </w:tc>
        <w:tc>
          <w:tcPr>
            <w:tcW w:w="32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03"/>
        </w:trPr>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32.1</w:t>
            </w:r>
          </w:p>
        </w:tc>
        <w:tc>
          <w:tcPr>
            <w:tcW w:w="7200" w:type="dxa"/>
            <w:vAlign w:val="bottom"/>
            <w:gridSpan w:val="8"/>
            <w:shd w:val="clear" w:color="auto" w:fill="CCEEFF"/>
          </w:tcPr>
          <w:p>
            <w:pPr>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Certification of the Chief Executive Officer pursuant to 18 U.S.C. Section 1350 as adopted</w:t>
              </w:r>
            </w:hyperlink>
          </w:p>
        </w:tc>
        <w:tc>
          <w:tcPr>
            <w:tcW w:w="2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pursuant to Section 906 of the Sarbanes-Oxley Act of 2002.</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32.2</w:t>
            </w:r>
          </w:p>
        </w:tc>
        <w:tc>
          <w:tcPr>
            <w:tcW w:w="7200" w:type="dxa"/>
            <w:vAlign w:val="bottom"/>
            <w:gridSpan w:val="8"/>
          </w:tcPr>
          <w:p>
            <w:pPr>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Certification of the Chief Financial Officer pursuant to 18 U.S.C. Section 1350 as adopted</w:t>
              </w:r>
            </w:hyperlink>
          </w:p>
        </w:tc>
        <w:tc>
          <w:tcPr>
            <w:tcW w:w="29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Pr>
          <w:p>
            <w:pPr>
              <w:spacing w:after="0"/>
              <w:rPr>
                <w:sz w:val="17"/>
                <w:szCs w:val="17"/>
                <w:color w:val="auto"/>
              </w:rPr>
            </w:pPr>
          </w:p>
        </w:tc>
        <w:tc>
          <w:tcPr>
            <w:tcW w:w="71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pursuant to Section 906 of the Sarbanes-Oxley Act of 2002.</w:t>
              </w:r>
            </w:hyperlink>
          </w:p>
        </w:tc>
        <w:tc>
          <w:tcPr>
            <w:tcW w:w="80" w:type="dxa"/>
            <w:vAlign w:val="bottom"/>
            <w:gridSpan w:val="2"/>
          </w:tcPr>
          <w:p>
            <w:pPr>
              <w:spacing w:after="0"/>
              <w:rPr>
                <w:sz w:val="17"/>
                <w:szCs w:val="17"/>
                <w:color w:val="auto"/>
              </w:rPr>
            </w:pPr>
          </w:p>
        </w:tc>
        <w:tc>
          <w:tcPr>
            <w:tcW w:w="2980" w:type="dxa"/>
            <w:vAlign w:val="bottom"/>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29"/>
        </w:trPr>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101.INS</w:t>
            </w:r>
          </w:p>
        </w:tc>
        <w:tc>
          <w:tcPr>
            <w:tcW w:w="72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 xml:space="preserve">XBRL Instance Document </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The instance document does not appear in the Interactive Data File</w:t>
            </w:r>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80" w:type="dxa"/>
            <w:vAlign w:val="bottom"/>
            <w:tcBorders>
              <w:bottom w:val="single" w:sz="8" w:color="CCEEFF"/>
            </w:tcBorders>
            <w:shd w:val="clear" w:color="auto" w:fill="CCEEFF"/>
          </w:tcPr>
          <w:p>
            <w:pPr>
              <w:spacing w:after="0"/>
              <w:rPr>
                <w:sz w:val="20"/>
                <w:szCs w:val="20"/>
                <w:color w:val="auto"/>
              </w:rPr>
            </w:pPr>
          </w:p>
        </w:tc>
      </w:tr>
      <w:tr>
        <w:trPr>
          <w:trHeight w:val="243"/>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101.SCH</w:t>
            </w:r>
          </w:p>
        </w:tc>
        <w:tc>
          <w:tcPr>
            <w:tcW w:w="72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101.CAL</w:t>
            </w:r>
          </w:p>
        </w:tc>
        <w:tc>
          <w:tcPr>
            <w:tcW w:w="72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101.DEF</w:t>
            </w:r>
          </w:p>
        </w:tc>
        <w:tc>
          <w:tcPr>
            <w:tcW w:w="72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101.LAB</w:t>
            </w:r>
          </w:p>
        </w:tc>
        <w:tc>
          <w:tcPr>
            <w:tcW w:w="72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101.PRE</w:t>
            </w:r>
          </w:p>
        </w:tc>
        <w:tc>
          <w:tcPr>
            <w:tcW w:w="72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56"/>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104</w:t>
            </w:r>
          </w:p>
        </w:tc>
        <w:tc>
          <w:tcPr>
            <w:tcW w:w="7200" w:type="dxa"/>
            <w:vAlign w:val="bottom"/>
            <w:gridSpan w:val="8"/>
          </w:tcPr>
          <w:p>
            <w:pPr>
              <w:spacing w:after="0"/>
              <w:rPr>
                <w:sz w:val="20"/>
                <w:szCs w:val="20"/>
                <w:color w:val="auto"/>
              </w:rPr>
            </w:pPr>
            <w:r>
              <w:rPr>
                <w:rFonts w:ascii="Arial" w:cs="Arial" w:eastAsia="Arial" w:hAnsi="Arial"/>
                <w:sz w:val="18"/>
                <w:szCs w:val="18"/>
                <w:color w:val="auto"/>
                <w:w w:val="99"/>
              </w:rPr>
              <w:t>Cover Page Interactive Data File (embedded within the Inline XBRL document contained in</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7200" w:type="dxa"/>
            <w:vAlign w:val="bottom"/>
            <w:gridSpan w:val="8"/>
          </w:tcPr>
          <w:p>
            <w:pPr>
              <w:spacing w:after="0"/>
              <w:rPr>
                <w:sz w:val="20"/>
                <w:szCs w:val="20"/>
                <w:color w:val="auto"/>
              </w:rPr>
            </w:pPr>
            <w:r>
              <w:rPr>
                <w:rFonts w:ascii="Arial" w:cs="Arial" w:eastAsia="Arial" w:hAnsi="Arial"/>
                <w:sz w:val="18"/>
                <w:szCs w:val="18"/>
                <w:color w:val="auto"/>
              </w:rPr>
              <w:t>Exhibit 101)</w:t>
            </w:r>
          </w:p>
        </w:tc>
        <w:tc>
          <w:tcPr>
            <w:tcW w:w="2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3" w:lineRule="auto"/>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3" w:lineRule="exact"/>
        <w:rPr>
          <w:sz w:val="20"/>
          <w:szCs w:val="20"/>
          <w:color w:val="auto"/>
        </w:rPr>
      </w:pPr>
    </w:p>
    <w:p>
      <w:pPr>
        <w:jc w:val="both"/>
        <w:ind w:firstLine="8"/>
        <w:spacing w:after="0" w:line="286" w:lineRule="auto"/>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38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64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34290</wp:posOffset>
            </wp:positionV>
            <wp:extent cx="37630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6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Award Granted Under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2008 Stock and Annual Incentive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You must login to your account to obtain other important information concerning this Award, such as a copy of the LendingTree, Inc. 2008 Stock and Annual Incentive Plan as the same has been amended and restated from time to time up to the date of this Award (the “2008 Plan”) and the Terms and Conditions for Stock Option Awards (the “Terms and Conditions”). You acknowledge that you have received copies of the 2008 Plan and the 2008 Plan’s prospectus.</w:t>
      </w:r>
    </w:p>
    <w:p>
      <w:pPr>
        <w:spacing w:after="0" w:line="34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Award Recipient:</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Stock Option Award: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Under the 2008 Plan:</w:t>
      </w:r>
    </w:p>
    <w:p>
      <w:pPr>
        <w:spacing w:after="0" w:line="200"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spacing w:after="0" w:line="48" w:lineRule="exact"/>
        <w:rPr>
          <w:sz w:val="20"/>
          <w:szCs w:val="20"/>
          <w:color w:val="auto"/>
        </w:rPr>
      </w:pPr>
    </w:p>
    <w:p>
      <w:pPr>
        <w:ind w:left="3320"/>
        <w:spacing w:after="0" w:line="342" w:lineRule="auto"/>
        <w:rPr>
          <w:sz w:val="20"/>
          <w:szCs w:val="20"/>
          <w:color w:val="auto"/>
        </w:rPr>
      </w:pPr>
      <w:r>
        <w:rPr>
          <w:rFonts w:ascii="Arial" w:cs="Arial" w:eastAsia="Arial" w:hAnsi="Arial"/>
          <w:sz w:val="16"/>
          <w:szCs w:val="16"/>
          <w:color w:val="auto"/>
        </w:rPr>
        <w:t xml:space="preserve">You have been awarded a nonqualified option to acquire an “Exercise Price” of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per Share (“Stock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Shares of LendingTree common stock at</w:t>
      </w:r>
    </w:p>
    <w:p>
      <w:pPr>
        <w:spacing w:after="0" w:line="514" w:lineRule="exact"/>
        <w:rPr>
          <w:sz w:val="20"/>
          <w:szCs w:val="20"/>
          <w:color w:val="auto"/>
        </w:rPr>
      </w:pPr>
    </w:p>
    <w:p>
      <w:pPr>
        <w:sectPr>
          <w:pgSz w:w="11900" w:h="16838" w:orient="portrait"/>
          <w:cols w:equalWidth="0" w:num="2">
            <w:col w:w="7460" w:space="320"/>
            <w:col w:w="3460"/>
          </w:cols>
          <w:pgMar w:left="320" w:top="121" w:right="33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Award Date:</w:t>
      </w:r>
    </w:p>
    <w:p>
      <w:pPr>
        <w:sectPr>
          <w:pgSz w:w="11900" w:h="16838" w:orient="portrait"/>
          <w:cols w:equalWidth="0" w:num="1">
            <w:col w:w="11240"/>
          </w:cols>
          <w:pgMar w:left="320" w:top="121" w:right="339" w:bottom="1440" w:gutter="0" w:footer="0" w:header="0"/>
          <w:type w:val="continuous"/>
        </w:sectPr>
      </w:pPr>
    </w:p>
    <w:p>
      <w:pPr>
        <w:spacing w:after="0" w:line="86"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Subject to your continued employment with LendingTree or its Subsidiaries or Affiliates, your Stock Option shall, subject to the provisions of the 2008 Plan and the Terms and Conditions, vest and no longer be subject to any restriction as of the vesting dates, as set forth below:</w:t>
      </w:r>
    </w:p>
    <w:p>
      <w:pPr>
        <w:spacing w:after="0" w:line="1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4880"/>
        <w:spacing w:after="0"/>
        <w:rPr>
          <w:sz w:val="20"/>
          <w:szCs w:val="20"/>
          <w:color w:val="auto"/>
        </w:rPr>
      </w:pPr>
      <w:r>
        <w:rPr>
          <w:rFonts w:ascii="Arial" w:cs="Arial" w:eastAsia="Arial" w:hAnsi="Arial"/>
          <w:sz w:val="15"/>
          <w:szCs w:val="15"/>
          <w:b w:val="1"/>
          <w:bCs w:val="1"/>
          <w:color w:val="auto"/>
        </w:rPr>
        <w:t>Vest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Shares Vesting</w:t>
      </w:r>
    </w:p>
    <w:p>
      <w:pPr>
        <w:spacing w:after="0" w:line="200" w:lineRule="exact"/>
        <w:rPr>
          <w:sz w:val="20"/>
          <w:szCs w:val="20"/>
          <w:color w:val="auto"/>
        </w:rPr>
      </w:pPr>
    </w:p>
    <w:p>
      <w:pPr>
        <w:sectPr>
          <w:pgSz w:w="11900" w:h="16838" w:orient="portrait"/>
          <w:cols w:equalWidth="0" w:num="2">
            <w:col w:w="7700" w:space="720"/>
            <w:col w:w="28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500"/>
        <w:spacing w:after="0" w:line="275" w:lineRule="auto"/>
        <w:rPr>
          <w:sz w:val="20"/>
          <w:szCs w:val="20"/>
          <w:color w:val="auto"/>
        </w:rPr>
      </w:pPr>
      <w:r>
        <w:rPr>
          <w:rFonts w:ascii="Arial" w:cs="Arial" w:eastAsia="Arial" w:hAnsi="Arial"/>
          <w:sz w:val="17"/>
          <w:szCs w:val="17"/>
          <w:color w:val="auto"/>
        </w:rPr>
        <w:t>Once vested, your Stock Option will expire upon the earlier of (i) the expiration of the 12-month period following your Termination of Employment for any reason other than due to death, Disability or Retirement, (ii) the expiration of the one-year period following your Termination of Employment due to death, Disability or Retirement or (iii) 10 years from your Award Date (the “Expiration Date”), except as otherwise provided in the 2008 Plan or the attached Terms and Conditions.</w:t>
      </w:r>
    </w:p>
    <w:p>
      <w:pPr>
        <w:spacing w:after="0" w:line="176"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320" w:right="500"/>
        <w:spacing w:after="0" w:line="277" w:lineRule="auto"/>
        <w:rPr>
          <w:sz w:val="20"/>
          <w:szCs w:val="20"/>
          <w:color w:val="auto"/>
        </w:rPr>
      </w:pPr>
      <w:r>
        <w:rPr>
          <w:rFonts w:ascii="Arial" w:cs="Arial" w:eastAsia="Arial" w:hAnsi="Arial"/>
          <w:sz w:val="18"/>
          <w:szCs w:val="18"/>
          <w:color w:val="auto"/>
        </w:rPr>
        <w:t>If you do not exercise your vested Stock Option before the Expiration Date, your unexercised Stock Option will be forfeited and canceled in its entirety.</w:t>
      </w:r>
    </w:p>
    <w:p>
      <w:pPr>
        <w:sectPr>
          <w:pgSz w:w="11900" w:h="16838" w:orient="portrait"/>
          <w:cols w:equalWidth="0" w:num="1">
            <w:col w:w="11240"/>
          </w:cols>
          <w:pgMar w:left="320" w:top="121" w:right="339" w:bottom="1440" w:gutter="0" w:footer="0" w:header="0"/>
          <w:type w:val="continuous"/>
        </w:sectPr>
      </w:pP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Impact of a Termination of</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Employment: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right="500"/>
        <w:spacing w:after="0" w:line="285" w:lineRule="auto"/>
        <w:rPr>
          <w:sz w:val="20"/>
          <w:szCs w:val="20"/>
          <w:color w:val="auto"/>
        </w:rPr>
      </w:pPr>
      <w:r>
        <w:rPr>
          <w:rFonts w:ascii="Arial" w:cs="Arial" w:eastAsia="Arial" w:hAnsi="Arial"/>
          <w:sz w:val="17"/>
          <w:szCs w:val="17"/>
          <w:color w:val="auto"/>
        </w:rPr>
        <w:t>Except as otherwise provided in the 2008 Plan, the Terms and Conditions and any Individual Agreement between you and LendingTree, the unvested portion of this Stock Option will be forfeited without consideration and canceled in its entirety upon your Termination of Employment.</w:t>
      </w:r>
    </w:p>
    <w:p>
      <w:pPr>
        <w:spacing w:after="0" w:line="2" w:lineRule="exact"/>
        <w:rPr>
          <w:sz w:val="20"/>
          <w:szCs w:val="20"/>
          <w:color w:val="auto"/>
        </w:rPr>
      </w:pPr>
    </w:p>
    <w:p>
      <w:pPr>
        <w:sectPr>
          <w:pgSz w:w="11900" w:h="16838" w:orient="portrait"/>
          <w:cols w:equalWidth="0" w:num="2">
            <w:col w:w="2620" w:space="700"/>
            <w:col w:w="7920"/>
          </w:cols>
          <w:pgMar w:left="320" w:top="121" w:right="33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Terms and Conditions:</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Capitalized terms used (but not defined) in this Award Notice shall have the meanings set forth in the 2008 Plan.</w:t>
      </w:r>
    </w:p>
    <w:p>
      <w:pPr>
        <w:spacing w:after="0" w:line="170"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jc w:val="both"/>
        <w:ind w:left="3320" w:right="500"/>
        <w:spacing w:after="0" w:line="311" w:lineRule="auto"/>
        <w:rPr>
          <w:sz w:val="20"/>
          <w:szCs w:val="20"/>
          <w:color w:val="auto"/>
        </w:rPr>
      </w:pPr>
      <w:r>
        <w:rPr>
          <w:rFonts w:ascii="Arial" w:cs="Arial" w:eastAsia="Arial" w:hAnsi="Arial"/>
          <w:sz w:val="16"/>
          <w:szCs w:val="16"/>
          <w:color w:val="auto"/>
        </w:rPr>
        <w:t>Your Stock Option is subject to the Terms and Conditions attached hereto and the 2008 Plan. Copies of these documents are also available upon request from the Human Resources Department. In the event of a conflict between the Terms and Conditions and this Notice, this Notice shall control.</w:t>
      </w:r>
    </w:p>
    <w:p>
      <w:pPr>
        <w:spacing w:after="0" w:line="149" w:lineRule="exact"/>
        <w:rPr>
          <w:sz w:val="20"/>
          <w:szCs w:val="20"/>
          <w:color w:val="auto"/>
        </w:rPr>
      </w:pPr>
    </w:p>
    <w:p>
      <w:pPr>
        <w:ind w:left="3320" w:right="500"/>
        <w:spacing w:after="0" w:line="277" w:lineRule="auto"/>
        <w:rPr>
          <w:sz w:val="20"/>
          <w:szCs w:val="20"/>
          <w:color w:val="auto"/>
        </w:rPr>
      </w:pPr>
      <w:r>
        <w:rPr>
          <w:rFonts w:ascii="Arial" w:cs="Arial" w:eastAsia="Arial" w:hAnsi="Arial"/>
          <w:sz w:val="18"/>
          <w:szCs w:val="18"/>
          <w:color w:val="auto"/>
        </w:rPr>
        <w:t>Without a complete review of these documents, you will not have a full understanding of all the material terms of your Stock Option.</w:t>
      </w:r>
    </w:p>
    <w:p>
      <w:pPr>
        <w:sectPr>
          <w:pgSz w:w="11900" w:h="16838" w:orient="portrait"/>
          <w:cols w:equalWidth="0" w:num="1">
            <w:col w:w="11240"/>
          </w:cols>
          <w:pgMar w:left="320" w:top="121" w:right="339" w:bottom="1440" w:gutter="0" w:footer="0" w:header="0"/>
          <w:type w:val="continuous"/>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for Stock Option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Terms and Conditions apply to the stock option (the “Award”) awarded to you by LendingTree, Inc. (“LendingTree” or the “Company”) pursuant to Section 5 of the LendingTree, Inc. 2008 Stock and Annual Incentive Plan as the same has been amended and restated from time to time (the “2008 Plan”). You were notified of your Award by way of an award notice (the “Award Notice”). All capitalized terms used herein, to the extent not defined, shall have the meaning as set forth in the 2008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Service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the Award to vest, you must be continuously employed by LendingTree or any of its Subsidiaries or Affiliates during the Restriction Period (as defined below) or as otherwise provided in the Vesting section below. Nothing in your Award Notice, these Terms and Conditions, or the 2008 Plan shall confer upon you any right to continue in the employ or service of LendingTree or any of its Subsidiaries or Affiliates or interfere in any way with their rights to terminate your employment or service at any time and for any or no reason.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Subject to the Award Notice, these Terms and Conditions and the 2008 Plan, the Award shall vest and no longer be subject to satisfaction of any restriction as set forth in the Vesting Schedule section of the Award Notice. The period during which such restrictions apply is the “Restriction Period.”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vesting of your Award is conditioned upon your continuous employment with LendingTree or its Subsidiaries or Affiliates through each respective vesting date. Notwithstanding the foregoing, 100% of your then-outstanding and unvested portion of your Award shall vest upon the occurrence of a Change in Control which occurs during your employment with LendingTree (or any Subsidiary or Affiliate). The term “Change in Control” is defined in the 2008 Plan, and includes certain events affecting LendingTree (not events only affecting specific businesses of LendingTree).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your Termination of Employment with LendingTree or any of its Subsidiaries or Affiliates during the Restriction Period for any reason, any unvested portion of this Award shall be forfeited and canceled in its entirety without consideration effective immediately upon such Termination of Employment. The then vested portion of this Stock Option may remain exercisable after your Termination Employment to the extent permitted under section 5(i) of the 2008 Plan.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avoidance of doubt, transfers of employment among the Company and its Subsidiaries and Affiliates, without any break in service, is not a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you wish to exercise this Award, you must notify the Company by filing a “Notice of Exercise” in the form prescribed by LendingTree at the address given on the form. Your notice must specify how many Shares you wish to purchase and is subject to the minimum purchase limitation set forth in section 5(g) of the 2008 Plan. The notice can only become effective after it is received and approved by the Company. If someone else wants to exercise this Stock Option after your death, that person must prove to the Company’s satisfaction that he or she is entitled to do so.</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you submit your Notice of Exercise, you must include payment of the aggregate Exercise Price for the Shares you are purchasing. Payment may be made in one (or a combination) of (i) certified or bank check or (ii) to the extent approved by the Committee by any of the methods described in sections 5(g)(i), 5(g)(ii), or 5(g)(iii) of the 2008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and Withholding</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 later than the date as of which an amount in respect of any part of this Award first becomes includable in your gross income for federal, state, local or foreign income or employment or other tax purposes, LendingTree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Award that gives rise to the withholding requirement. In the event Shares are deducted to cover tax withholdings, the number of Shares withheld shall generally have a Fair Market Value equal to the aggregate amount of</w:t>
      </w:r>
    </w:p>
    <w:p>
      <w:pPr>
        <w:sectPr>
          <w:pgSz w:w="11900" w:h="16838" w:orient="portrait"/>
          <w:cols w:equalWidth="0" w:num="1">
            <w:col w:w="11240"/>
          </w:cols>
          <w:pgMar w:left="320" w:top="121"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LendingTree’s withholding obligation on the date of exercise of the Stock Option. If the event that any such deduction and/or withholding is prohibited by law, you shall, prior to or contemporaneously with the settlement of your Award, be required to pay to LendingTree, or make arrangements satisfactory to LendingTree regarding the payment of, any federal, state, local or foreign taxes of any kind required by law to be withheld with respect to such amount. To the extent approved by the Committee, you may satisfy the applicable tax withholding amounts as permitted under section 13(d) of the 2008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the Award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Your Award shall not be transferable by you by means of sale, assignment, exchange, encumbrance, pledge, hedge or otherwise except as may be permitted under section 5(j) of the 2008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Stockholder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Until your Award is exercised and settled with Shares, you shall not be entitled to any rights of a stockholder with respect to the Award (including the right to vote the underlying Shares or receive dividends). Moreover, if LendingTree declares and pays dividends on the Common Stock during the Restriction Period, this Award will not be credited with any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Restrictions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and/or any issuance of Shares under the Award shall not be effective unless such listing, registration, qualification, consent or approval shall have been effected or obtained free of any conditions not acceptable to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and Interpretation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the event of any conflict between these Terms and Conditions and the 2008 Plan, the 2008 Plan shall control; provided, that an action or provision that is permissive under the terms of the 2008 Plan, 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LendingTree’s intranet or given to you directly or indirectly through the Agent (including information posted on </w:t>
      </w:r>
      <w:r>
        <w:rPr>
          <w:rFonts w:ascii="Arial" w:cs="Arial" w:eastAsia="Arial" w:hAnsi="Arial"/>
          <w:sz w:val="17"/>
          <w:szCs w:val="17"/>
          <w:u w:val="single" w:color="auto"/>
          <w:color w:val="0000FF"/>
        </w:rPr>
        <w:t>https://us.etrade.com/stock-plans</w:t>
      </w:r>
      <w:r>
        <w:rPr>
          <w:rFonts w:ascii="Arial" w:cs="Arial" w:eastAsia="Arial" w:hAnsi="Arial"/>
          <w:sz w:val="17"/>
          <w:szCs w:val="17"/>
          <w:color w:val="auto"/>
        </w:rPr>
        <w:t xml:space="preserve">) and LendingTree’s books and records, or (ii) ambiguity in the Award Notice (or any information posted on LendingTree’s intranet or given to you directly or indirectly through the Agent (including information posted on </w:t>
      </w:r>
      <w:r>
        <w:rPr>
          <w:rFonts w:ascii="Arial" w:cs="Arial" w:eastAsia="Arial" w:hAnsi="Arial"/>
          <w:sz w:val="17"/>
          <w:szCs w:val="17"/>
          <w:u w:val="single" w:color="auto"/>
          <w:color w:val="0000FF"/>
        </w:rPr>
        <w:t>https://us.etrade.com/stock-plans</w:t>
      </w:r>
      <w:r>
        <w:rPr>
          <w:rFonts w:ascii="Arial" w:cs="Arial" w:eastAsia="Arial" w:hAnsi="Arial"/>
          <w:sz w:val="17"/>
          <w:szCs w:val="17"/>
          <w:color w:val="auto"/>
        </w:rPr>
        <w:t>), LendingTree’s books and records shall control.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LendingTree may modify, amend or waive the terms of your Awards, prospectively or retroactively, but no such modification, amendment or waiver shall materially impair your rights without your consent, except as required by applicable law, NASDAQ or stock exchange rules, tax rules or accounting rules.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acceptance of your Award constitutes your authorization of the release from time to time to LendingTree or any of its Subsidiaries or Affiliates and to the agent selected by LendingTree to administer the 2008 Plan (the “Agent”) (together, the “Relevant Companies”) of any and all personal or professional data that is necessary or desirable for the administration of your Award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Award and/or the 2008 Plan and/or to implement or structure any further grants of equity awards (if any)). The acceptance of your Award also constitutes your authorization of the transfer of the Relevant Information to any jurisdiction in which LendingTree, your employing company or the Agent considers appropriate. You shall have access to, and the right to change, the Relevant Information, which will only be used in accordance with applicable law.</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Sections 409A, 280G and 4999 of the Code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Your Award is not intended to constitute “nonqualified deferred compensation” within the meaning of Section 409A of the Code and related rules and regulations (“Section 409A”). In no event shall LendingTree be required to pay you any “gross-up” or other payment with respect to any taxes or penalties imposed under Section 409A (or Code Section 280G or 4999) with respect to any amounts or benefits paid to you in respect of your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Changes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changes to these Terms and Conditions shall either be posted on LendingTree’s intranet or communicated (either directly by LendingTree or indirectly through any of its Subsidiaries, Affiliates or the Agent) to you electronically via e-mail (or otherwise in writing) after such change becomes effective.</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5"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Restricted Stock Unit Award Granted Under the</w:t>
      </w:r>
    </w:p>
    <w:p>
      <w:pPr>
        <w:spacing w:after="0" w:line="220"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LendingTree, Inc. 2008 Stock and Annual Incentive Plan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u w:val="single" w:color="auto"/>
          <w:color w:val="auto"/>
        </w:rPr>
        <w:t>Important Note</w:t>
      </w:r>
      <w:r>
        <w:rPr>
          <w:rFonts w:ascii="Arial" w:cs="Arial" w:eastAsia="Arial" w:hAnsi="Arial"/>
          <w:sz w:val="22"/>
          <w:szCs w:val="22"/>
          <w:b w:val="1"/>
          <w:bCs w:val="1"/>
          <w:color w:val="auto"/>
        </w:rPr>
        <w:t>: You must login to your account to obtain other important information concerning this Award, such as a copy of the LendingTree, Inc. 2008 Stock and Annual Incentive Plan as the same has been amended and restated from time to time up to the date of this Award (the “2008 Plan”) and the Terms and Conditions for Restricted Stock Unit Awards (the “Terms and Conditions”). You acknowledge that you have received copies of the 2008 Plan and the 2008 Plan’s prospectus.</w:t>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Award Recipient:</w:t>
            </w:r>
          </w:p>
        </w:tc>
        <w:tc>
          <w:tcPr>
            <w:tcW w:w="3800" w:type="dxa"/>
            <w:vAlign w:val="bottom"/>
            <w:tcBorders>
              <w:top w:val="single" w:sz="8" w:color="auto"/>
              <w:bottom w:val="single" w:sz="8" w:color="auto"/>
            </w:tcBorders>
          </w:tcPr>
          <w:p>
            <w:pPr>
              <w:spacing w:after="0"/>
              <w:rPr>
                <w:sz w:val="24"/>
                <w:szCs w:val="24"/>
                <w:color w:val="auto"/>
              </w:rPr>
            </w:pPr>
          </w:p>
        </w:tc>
        <w:tc>
          <w:tcPr>
            <w:tcW w:w="4080" w:type="dxa"/>
            <w:vAlign w:val="bottom"/>
            <w:tcBorders>
              <w:top w:val="single" w:sz="8" w:color="auto"/>
              <w:bottom w:val="single" w:sz="8" w:color="auto"/>
              <w:right w:val="single" w:sz="8" w:color="auto"/>
            </w:tcBorders>
          </w:tcPr>
          <w:p>
            <w:pPr>
              <w:spacing w:after="0"/>
              <w:rPr>
                <w:sz w:val="24"/>
                <w:szCs w:val="24"/>
                <w:color w:val="auto"/>
              </w:rPr>
            </w:pPr>
          </w:p>
        </w:tc>
      </w:tr>
      <w:tr>
        <w:trPr>
          <w:trHeight w:val="243"/>
        </w:trPr>
        <w:tc>
          <w:tcPr>
            <w:tcW w:w="20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Restricted Stock</w:t>
            </w:r>
          </w:p>
        </w:tc>
        <w:tc>
          <w:tcPr>
            <w:tcW w:w="3800" w:type="dxa"/>
            <w:vAlign w:val="bottom"/>
          </w:tcPr>
          <w:p>
            <w:pPr>
              <w:spacing w:after="0"/>
              <w:rPr>
                <w:sz w:val="21"/>
                <w:szCs w:val="21"/>
                <w:color w:val="auto"/>
              </w:rPr>
            </w:pPr>
          </w:p>
        </w:tc>
        <w:tc>
          <w:tcPr>
            <w:tcW w:w="4080" w:type="dxa"/>
            <w:vAlign w:val="bottom"/>
            <w:tcBorders>
              <w:right w:val="single" w:sz="8" w:color="auto"/>
            </w:tcBorders>
          </w:tcPr>
          <w:p>
            <w:pPr>
              <w:spacing w:after="0"/>
              <w:rPr>
                <w:sz w:val="21"/>
                <w:szCs w:val="21"/>
                <w:color w:val="auto"/>
              </w:rPr>
            </w:pPr>
          </w:p>
        </w:tc>
      </w:tr>
      <w:tr>
        <w:trPr>
          <w:trHeight w:val="291"/>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Unit Award:</w:t>
            </w:r>
          </w:p>
        </w:tc>
        <w:tc>
          <w:tcPr>
            <w:tcW w:w="788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22"/>
                <w:szCs w:val="22"/>
                <w:color w:val="auto"/>
              </w:rPr>
              <w:t>Restricted stock units (“RSUs”) granted under the 2008 Plan.</w:t>
            </w:r>
          </w:p>
        </w:tc>
      </w:tr>
      <w:tr>
        <w:trPr>
          <w:trHeight w:val="291"/>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Award Date:</w:t>
            </w:r>
          </w:p>
        </w:tc>
        <w:tc>
          <w:tcPr>
            <w:tcW w:w="3800" w:type="dxa"/>
            <w:vAlign w:val="bottom"/>
            <w:tcBorders>
              <w:bottom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r>
      <w:tr>
        <w:trPr>
          <w:trHeight w:val="249"/>
        </w:trPr>
        <w:tc>
          <w:tcPr>
            <w:tcW w:w="202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Vesting Schedule:</w:t>
            </w:r>
          </w:p>
        </w:tc>
        <w:tc>
          <w:tcPr>
            <w:tcW w:w="7880" w:type="dxa"/>
            <w:vAlign w:val="bottom"/>
            <w:tcBorders>
              <w:right w:val="single" w:sz="8" w:color="auto"/>
            </w:tcBorders>
            <w:gridSpan w:val="2"/>
          </w:tcPr>
          <w:p>
            <w:pPr>
              <w:ind w:left="20"/>
              <w:spacing w:after="0" w:line="248" w:lineRule="exact"/>
              <w:rPr>
                <w:sz w:val="20"/>
                <w:szCs w:val="20"/>
                <w:color w:val="auto"/>
              </w:rPr>
            </w:pPr>
            <w:r>
              <w:rPr>
                <w:rFonts w:ascii="Arial" w:cs="Arial" w:eastAsia="Arial" w:hAnsi="Arial"/>
                <w:sz w:val="22"/>
                <w:szCs w:val="22"/>
                <w:color w:val="auto"/>
                <w:w w:val="96"/>
              </w:rPr>
              <w:t>Subject to your continuous employment with LendingTree, Inc. or its Subsidiaries or</w:t>
            </w:r>
          </w:p>
        </w:tc>
      </w:tr>
      <w:tr>
        <w:trPr>
          <w:trHeight w:val="243"/>
        </w:trPr>
        <w:tc>
          <w:tcPr>
            <w:tcW w:w="2020" w:type="dxa"/>
            <w:vAlign w:val="bottom"/>
            <w:tcBorders>
              <w:left w:val="single" w:sz="8" w:color="auto"/>
              <w:right w:val="single" w:sz="8" w:color="auto"/>
            </w:tcBorders>
          </w:tcPr>
          <w:p>
            <w:pPr>
              <w:spacing w:after="0"/>
              <w:rPr>
                <w:sz w:val="21"/>
                <w:szCs w:val="21"/>
                <w:color w:val="auto"/>
              </w:rPr>
            </w:pPr>
          </w:p>
        </w:tc>
        <w:tc>
          <w:tcPr>
            <w:tcW w:w="78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91"/>
              </w:rPr>
              <w:t>Affiliates, your RSUs shall, subject to the provisions of the 2008 Plan and the Terms and</w:t>
            </w:r>
          </w:p>
        </w:tc>
      </w:tr>
      <w:tr>
        <w:trPr>
          <w:trHeight w:val="243"/>
        </w:trPr>
        <w:tc>
          <w:tcPr>
            <w:tcW w:w="2020" w:type="dxa"/>
            <w:vAlign w:val="bottom"/>
            <w:tcBorders>
              <w:left w:val="single" w:sz="8" w:color="auto"/>
              <w:right w:val="single" w:sz="8" w:color="auto"/>
            </w:tcBorders>
          </w:tcPr>
          <w:p>
            <w:pPr>
              <w:spacing w:after="0"/>
              <w:rPr>
                <w:sz w:val="21"/>
                <w:szCs w:val="21"/>
                <w:color w:val="auto"/>
              </w:rPr>
            </w:pPr>
          </w:p>
        </w:tc>
        <w:tc>
          <w:tcPr>
            <w:tcW w:w="78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89"/>
              </w:rPr>
              <w:t>Conditions, vest and no longer be subject to any restriction as of the vesting dates and the</w:t>
            </w:r>
          </w:p>
        </w:tc>
      </w:tr>
      <w:tr>
        <w:trPr>
          <w:trHeight w:val="274"/>
        </w:trPr>
        <w:tc>
          <w:tcPr>
            <w:tcW w:w="2020" w:type="dxa"/>
            <w:vAlign w:val="bottom"/>
            <w:tcBorders>
              <w:left w:val="single" w:sz="8" w:color="auto"/>
              <w:right w:val="single" w:sz="8" w:color="auto"/>
            </w:tcBorders>
          </w:tcPr>
          <w:p>
            <w:pPr>
              <w:spacing w:after="0"/>
              <w:rPr>
                <w:sz w:val="23"/>
                <w:szCs w:val="23"/>
                <w:color w:val="auto"/>
              </w:rPr>
            </w:pPr>
          </w:p>
        </w:tc>
        <w:tc>
          <w:tcPr>
            <w:tcW w:w="788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rPr>
              <w:t>achievement of any applicable performance goals, as set forth below:</w:t>
            </w:r>
          </w:p>
        </w:tc>
      </w:tr>
      <w:tr>
        <w:trPr>
          <w:trHeight w:val="793"/>
        </w:trPr>
        <w:tc>
          <w:tcPr>
            <w:tcW w:w="202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tcBorders>
          </w:tcPr>
          <w:p>
            <w:pPr>
              <w:ind w:left="1520"/>
              <w:spacing w:after="0"/>
              <w:rPr>
                <w:sz w:val="20"/>
                <w:szCs w:val="20"/>
                <w:color w:val="auto"/>
              </w:rPr>
            </w:pPr>
            <w:r>
              <w:rPr>
                <w:rFonts w:ascii="Arial" w:cs="Arial" w:eastAsia="Arial" w:hAnsi="Arial"/>
                <w:sz w:val="22"/>
                <w:szCs w:val="22"/>
                <w:b w:val="1"/>
                <w:bCs w:val="1"/>
                <w:color w:val="auto"/>
              </w:rPr>
              <w:t>Vest Date</w:t>
            </w:r>
          </w:p>
        </w:tc>
        <w:tc>
          <w:tcPr>
            <w:tcW w:w="4080" w:type="dxa"/>
            <w:vAlign w:val="bottom"/>
            <w:tcBorders>
              <w:bottom w:val="single" w:sz="8" w:color="auto"/>
              <w:right w:val="single" w:sz="8" w:color="auto"/>
            </w:tcBorders>
          </w:tcPr>
          <w:p>
            <w:pPr>
              <w:ind w:left="1420"/>
              <w:spacing w:after="0"/>
              <w:rPr>
                <w:sz w:val="20"/>
                <w:szCs w:val="20"/>
                <w:color w:val="auto"/>
              </w:rPr>
            </w:pPr>
            <w:r>
              <w:rPr>
                <w:rFonts w:ascii="Arial" w:cs="Arial" w:eastAsia="Arial" w:hAnsi="Arial"/>
                <w:sz w:val="22"/>
                <w:szCs w:val="22"/>
                <w:b w:val="1"/>
                <w:bCs w:val="1"/>
                <w:color w:val="auto"/>
              </w:rPr>
              <w:t>Shares Vesting</w:t>
            </w:r>
          </w:p>
        </w:tc>
      </w:tr>
      <w:tr>
        <w:trPr>
          <w:trHeight w:val="243"/>
        </w:trPr>
        <w:tc>
          <w:tcPr>
            <w:tcW w:w="20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Impact of a</w:t>
            </w:r>
          </w:p>
        </w:tc>
        <w:tc>
          <w:tcPr>
            <w:tcW w:w="78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93"/>
              </w:rPr>
              <w:t>Except as otherwise provided in the 2008 Plan or in the Terms and Conditions, or any</w:t>
            </w:r>
          </w:p>
        </w:tc>
      </w:tr>
      <w:tr>
        <w:trPr>
          <w:trHeight w:val="243"/>
        </w:trPr>
        <w:tc>
          <w:tcPr>
            <w:tcW w:w="20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Termination of</w:t>
            </w:r>
          </w:p>
        </w:tc>
        <w:tc>
          <w:tcPr>
            <w:tcW w:w="78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93"/>
              </w:rPr>
              <w:t>Individual Agreement, all of your unvested RSUs will be forfeited and canceled without</w:t>
            </w:r>
          </w:p>
        </w:tc>
      </w:tr>
      <w:tr>
        <w:trPr>
          <w:trHeight w:val="291"/>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Employment:</w:t>
            </w:r>
          </w:p>
        </w:tc>
        <w:tc>
          <w:tcPr>
            <w:tcW w:w="78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consideration in their entirety upon a Termination of Employment.</w:t>
            </w:r>
          </w:p>
        </w:tc>
      </w:tr>
      <w:tr>
        <w:trPr>
          <w:trHeight w:val="243"/>
        </w:trPr>
        <w:tc>
          <w:tcPr>
            <w:tcW w:w="20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Terms and</w:t>
            </w:r>
          </w:p>
        </w:tc>
        <w:tc>
          <w:tcPr>
            <w:tcW w:w="78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89"/>
              </w:rPr>
              <w:t>Capitalized terms used (but not defined) in this Award Notice shall have the meanings set</w:t>
            </w:r>
          </w:p>
        </w:tc>
      </w:tr>
      <w:tr>
        <w:trPr>
          <w:trHeight w:val="280"/>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Conditions:</w:t>
            </w:r>
          </w:p>
        </w:tc>
        <w:tc>
          <w:tcPr>
            <w:tcW w:w="3800" w:type="dxa"/>
            <w:vAlign w:val="bottom"/>
          </w:tcPr>
          <w:p>
            <w:pPr>
              <w:ind w:left="20"/>
              <w:spacing w:after="0"/>
              <w:rPr>
                <w:sz w:val="20"/>
                <w:szCs w:val="20"/>
                <w:color w:val="auto"/>
              </w:rPr>
            </w:pPr>
            <w:r>
              <w:rPr>
                <w:rFonts w:ascii="Arial" w:cs="Arial" w:eastAsia="Arial" w:hAnsi="Arial"/>
                <w:sz w:val="22"/>
                <w:szCs w:val="22"/>
                <w:color w:val="auto"/>
              </w:rPr>
              <w:t>forth in the 2008 Plan.</w:t>
            </w:r>
          </w:p>
        </w:tc>
        <w:tc>
          <w:tcPr>
            <w:tcW w:w="4080" w:type="dxa"/>
            <w:vAlign w:val="bottom"/>
            <w:tcBorders>
              <w:right w:val="single" w:sz="8" w:color="auto"/>
            </w:tcBorders>
          </w:tcPr>
          <w:p>
            <w:pPr>
              <w:spacing w:after="0"/>
              <w:rPr>
                <w:sz w:val="24"/>
                <w:szCs w:val="24"/>
                <w:color w:val="auto"/>
              </w:rPr>
            </w:pPr>
          </w:p>
        </w:tc>
      </w:tr>
      <w:tr>
        <w:trPr>
          <w:trHeight w:val="455"/>
        </w:trPr>
        <w:tc>
          <w:tcPr>
            <w:tcW w:w="202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w w:val="95"/>
              </w:rPr>
              <w:t>Your RSUs are subject to the Terms and Conditions and the 2008 Plan. We strongly</w:t>
            </w:r>
          </w:p>
        </w:tc>
      </w:tr>
      <w:tr>
        <w:trPr>
          <w:trHeight w:val="243"/>
        </w:trPr>
        <w:tc>
          <w:tcPr>
            <w:tcW w:w="2020" w:type="dxa"/>
            <w:vAlign w:val="bottom"/>
            <w:tcBorders>
              <w:left w:val="single" w:sz="8" w:color="auto"/>
              <w:right w:val="single" w:sz="8" w:color="auto"/>
            </w:tcBorders>
          </w:tcPr>
          <w:p>
            <w:pPr>
              <w:spacing w:after="0"/>
              <w:rPr>
                <w:sz w:val="21"/>
                <w:szCs w:val="21"/>
                <w:color w:val="auto"/>
              </w:rPr>
            </w:pPr>
          </w:p>
        </w:tc>
        <w:tc>
          <w:tcPr>
            <w:tcW w:w="78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89"/>
              </w:rPr>
              <w:t>encourage you to review the Terms and Conditions and the 2008 Plan. These documents</w:t>
            </w:r>
          </w:p>
        </w:tc>
      </w:tr>
      <w:tr>
        <w:trPr>
          <w:trHeight w:val="285"/>
        </w:trPr>
        <w:tc>
          <w:tcPr>
            <w:tcW w:w="2020" w:type="dxa"/>
            <w:vAlign w:val="bottom"/>
            <w:tcBorders>
              <w:left w:val="single" w:sz="8" w:color="auto"/>
              <w:bottom w:val="single" w:sz="8" w:color="auto"/>
              <w:right w:val="single" w:sz="8" w:color="auto"/>
            </w:tcBorders>
          </w:tcPr>
          <w:p>
            <w:pPr>
              <w:spacing w:after="0"/>
              <w:rPr>
                <w:sz w:val="24"/>
                <w:szCs w:val="24"/>
                <w:color w:val="auto"/>
              </w:rPr>
            </w:pPr>
          </w:p>
        </w:tc>
        <w:tc>
          <w:tcPr>
            <w:tcW w:w="78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will help provide you with a full understanding of your RSU award.</w:t>
            </w: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for Restricted Stock Unit Award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These Terms and Conditions apply to the restricted stock units (the “Award”) awarded to you by LendingTree, Inc. (“LendingTree” or the “Company”) pursuant to Section 7 of the LendingTree, Inc. 2008 Stock and Annual Incentive Plan as the same has been amended and restated from time to time up to the date of this Award (the “2008 Plan”). You were notified of your Award by way of an award notice (the “Award Notice”). All capitalized terms used herein, to the extent not defined, shall have the meaning as set forth in the 2008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Continuous Service</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order for RSUs to vest, you must be continuously employed by LendingTree or any of its Subsidiaries or Affiliates during the Restriction Period (as defined below) or as otherwise provided in the Vesting section below. Nothing in your Award Notice, these Terms and Conditions, or the 2008 Plan shall confer upon you any right to continue in the employ or service of LendingTree or any of its Subsidiaries or Affiliates or interfere in any way with their rights to terminate your employment or service at any time and for any or no reason.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Subject to the Award Notice, these Terms and Conditions and the 2008 Plan, the RSUs in respect to your Award, shall vest and no longer be subject to satisfaction of any restriction, including any applicable performance conditions, as set forth in the Vesting Schedule section of the Award Notice. The period during which restrictions apply is the “Restriction Period.”</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vesting of your Award is conditioned upon your continuous employment with LendingTree or its Subsidiaries or Affiliates through each respective vesting date.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the foregoing, 100% of your then-outstanding and unvested portion of your Award shall vest upon the occurrence of a Change in Control which occurs during your employment with LendingTree (or any Subsidiary or Affiliate). The term “Change in Control” is defined in the 2008 Plan, and includes certain events affecting LendingTree (not events only affecting specific businesses of LendingTree).</w:t>
      </w:r>
    </w:p>
    <w:p>
      <w:pPr>
        <w:spacing w:after="0" w:line="188"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Notwithstanding the foregoing, in the event you experience a Termination of Employment due to your death or Disability, then 100% of your then-outstanding and unvested portion of your Award shall vest upon such Termination of Employment.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Employment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the Termination of your Employment with LendingTree or any of its Subsidiaries or Affiliates during the Restriction Period for any reason, any unvested portion of this RSU Award shall be forfeited and canceled in its entirety without consideration effective immediately upon such Termination of Employment.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avoidance of doubt, transfers of employment among the Company and its Subsidiaries and Affiliates, without any break in service, is not a Termination of Employment.</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Settlement</w:t>
      </w: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Subject to your satisfaction of the tax obligations described immediately below under “Taxes and Withholding,” as soon as practicable after any RSUs in respect of your Award have vested and are no longer subject to the restrictions that apply during the Restriction Period (but in no event later than two and one-half months after the end of the fiscal year in which the RSUs vest), such RSUs shall be settled. For each RSU settled, LendingTree shall issue one Share (or cash equivalent) for each RSU that has vested. Notwithstanding the foregoing, LendingTree shall be entitled to hold the Shares or cash issuable to you upon settlement of all RSUs that have vested until LendingTree or the agent selected by LendingTree to administer the 2008 Plan (the “Agent”) has received from you (i) a duly executed Form W-9 or W-8 and (ii) payment for any federal, state, local or foreign taxes of any kind required by law to be withheld with respect to such RSUs.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Taxes and Withholding</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 later than the date as of which an amount in respect of any RSUs first becomes includable in your gross income for federal, state, local or foreign income or employment or other tax purposes, LendingTree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RSUs that gives rise to the withholding requirement. In the event Shares are deducted to cover tax withholdings, the number of Shares withheld shall generally have a Fair Market Value equal to the aggregate amount of LendingTree’s withholding obligation on the date of settlement. If the event that any such deduction and/or withholding is prohibited by law, you shall, prior to or contemporaneously with the settlement of your RSUs, be required to pay to LendingTree, or make arrangements satisfactory to LendingTree regarding the payment of, any federal, state, local or foreign taxes of any kind required by law to be withheld with respect to such amount.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the RSUs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Until such time as your RSUs are ultimately settled, they shall not be transferable by you by means of sale, assignment, exchange, encumbrance, pledge, hedge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Rights as a Stockholder</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Except as otherwise specifically provided in the 2008 Plan, unless and until your RSUs are settled with Shares, you shall not be entitled to any rights of a stockholder with respect to the RSUs (including the right to vote the underlying Shares or receive dividends). Notwithstanding the foregoing, if LendingTree declares and pays dividends on the Common Stock during the Restriction Period for particular RSUs in respect of your Award, you will be credited with additional amounts for each RSU underlying such Award equal to the dividend that would have been paid with respect to such RSU as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(and shall be settled at the same time as the underlying RSUs and also subject to satisfaction of tax withholding).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Restrictions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RSUs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w:t>
      </w:r>
    </w:p>
    <w:p>
      <w:pPr>
        <w:sectPr>
          <w:pgSz w:w="11900" w:h="16838" w:orient="portrait"/>
          <w:cols w:equalWidth="0" w:num="1">
            <w:col w:w="11240"/>
          </w:cols>
          <w:pgMar w:left="320" w:top="121" w:right="339" w:bottom="1440" w:gutter="0" w:footer="0" w:header="0"/>
        </w:sectPr>
      </w:pPr>
    </w:p>
    <w:bookmarkStart w:id="55" w:name="page56"/>
    <w:bookmarkEnd w:id="55"/>
    <w:p>
      <w:pPr>
        <w:ind w:left="10320"/>
        <w:spacing w:after="0"/>
        <w:rPr>
          <w:sz w:val="20"/>
          <w:szCs w:val="20"/>
          <w:color w:val="auto"/>
        </w:rPr>
      </w:pPr>
      <w:r>
        <w:rPr>
          <w:rFonts w:ascii="Arial" w:cs="Arial" w:eastAsia="Arial" w:hAnsi="Arial"/>
          <w:sz w:val="16"/>
          <w:szCs w:val="16"/>
          <w:b w:val="1"/>
          <w:bCs w:val="1"/>
          <w:color w:val="auto"/>
        </w:rPr>
        <w:t>Exhibit 10.2</w:t>
      </w:r>
    </w:p>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regulatory body is necessary or desirable as a condition of, or in connection with, the delivery of shares, then in any such event, the award of RSUs shall not be effective unless such listing, registration, qualification, consent or approval shall have been effected or obtained free of any conditions not acceptable to the Committee.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and Interpretation</w:t>
      </w:r>
    </w:p>
    <w:p>
      <w:pPr>
        <w:spacing w:after="0" w:line="22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In the event of any conflict between these Terms and Conditions and the 2008 Plan, the 2008 Plan shall control; provided, that an action or provision that is permissive under the terms of the 2008 Plan, 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LendingTree’s intranet or given to you directly or indirectly through the Agent (including information posted on </w:t>
      </w:r>
      <w:r>
        <w:rPr>
          <w:rFonts w:ascii="Arial" w:cs="Arial" w:eastAsia="Arial" w:hAnsi="Arial"/>
          <w:sz w:val="22"/>
          <w:szCs w:val="22"/>
          <w:u w:val="single" w:color="auto"/>
          <w:color w:val="0000FF"/>
        </w:rPr>
        <w:t>https://us.etrade.com/stock-plans</w:t>
      </w:r>
      <w:r>
        <w:rPr>
          <w:rFonts w:ascii="Arial" w:cs="Arial" w:eastAsia="Arial" w:hAnsi="Arial"/>
          <w:sz w:val="22"/>
          <w:szCs w:val="22"/>
          <w:color w:val="auto"/>
        </w:rPr>
        <w:t xml:space="preserve">) and LendingTree’s books and records, or (ii) ambiguity in the Award Notice (or any information posted on LendingTree’s intranet or given to you directly or indirectly through the Agent (including information posted on </w:t>
      </w:r>
      <w:r>
        <w:rPr>
          <w:rFonts w:ascii="Arial" w:cs="Arial" w:eastAsia="Arial" w:hAnsi="Arial"/>
          <w:sz w:val="22"/>
          <w:szCs w:val="22"/>
          <w:u w:val="single" w:color="auto"/>
          <w:color w:val="0000FF"/>
        </w:rPr>
        <w:t>https://us.etrade.com/stock-plans</w:t>
      </w:r>
      <w:r>
        <w:rPr>
          <w:rFonts w:ascii="Arial" w:cs="Arial" w:eastAsia="Arial" w:hAnsi="Arial"/>
          <w:sz w:val="22"/>
          <w:szCs w:val="22"/>
          <w:color w:val="auto"/>
        </w:rPr>
        <w:t>), LendingTree’s books and records shall control.</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LendingTree may modify, amend or waive the terms of your RSUs, prospectively or retroactively, but no such modification, amendment or waiver shall materially impair your rights without your consent, except as required by applicable law, NASDAQ or stock exchange rules, tax rules or accounting rules.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Protection</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acceptance of your RSUs constitutes your authorization of the release from time to time to LendingTree or any of its Subsidiaries or Affiliates and to the Agent (together, the “Relevant Companies”) of any and all personal or professional data that is necessary or desirable for the administration of your RSUs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RSUs and/or the 2008 Plan and/or to implement or structure any further grants of equity awards (if any)). The acceptance of your RSUs also constitutes your authorization of the transfer of the Relevant Information to any jurisdiction in which LendingTree, your employing company or the Agent considers appropriate. You shall have access to, and the right to change, the Relevant Information, which will only be used in accordance with applicable law.</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Sections 409A, 280G and 4999 of the Code</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Your Award is not intended to constitute “nonqualified deferred compensation” within the meaning of Section 409A of the Code and related rules and regulations (“Section 409A”). In no event shall LendingTree be required </w:t>
      </w:r>
      <w:r>
        <w:rPr>
          <w:rFonts w:ascii="Arial" w:cs="Arial" w:eastAsia="Arial" w:hAnsi="Arial"/>
          <w:sz w:val="22"/>
          <w:szCs w:val="22"/>
          <w:b w:val="1"/>
          <w:bCs w:val="1"/>
          <w:color w:val="auto"/>
        </w:rPr>
        <w:t>t</w:t>
      </w:r>
      <w:r>
        <w:rPr>
          <w:rFonts w:ascii="Arial" w:cs="Arial" w:eastAsia="Arial" w:hAnsi="Arial"/>
          <w:sz w:val="22"/>
          <w:szCs w:val="22"/>
          <w:color w:val="auto"/>
        </w:rPr>
        <w:t>o pay you any “gross-up” or other payment with respect to any taxes or penalties imposed under Section 409A (or Code Section 280G or 4999) with respect to any amounts or benefits paid to you in respect of your Award.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 of Changes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changes to these Terms and Conditions shall either be posted on LendingTree’s intranet or communicated (either directly by LendingTree or indirectly through any of its Subsidiaries, Affiliates or the Agent) to you electronically via e-mail (or otherwise in writing) after such change becomes effective.</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Stock Option Award Granted to Non-Employee Directors Under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2008 Stock and Annual Incentive Plan</w:t>
      </w:r>
    </w:p>
    <w:p>
      <w:pPr>
        <w:spacing w:after="0" w:line="200" w:lineRule="exact"/>
        <w:rPr>
          <w:sz w:val="20"/>
          <w:szCs w:val="20"/>
          <w:color w:val="auto"/>
        </w:rPr>
      </w:pP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u w:val="single" w:color="auto"/>
          <w:color w:val="auto"/>
        </w:rPr>
        <w:t>Important Note</w:t>
      </w:r>
      <w:r>
        <w:rPr>
          <w:rFonts w:ascii="Arial" w:cs="Arial" w:eastAsia="Arial" w:hAnsi="Arial"/>
          <w:sz w:val="19"/>
          <w:szCs w:val="19"/>
          <w:b w:val="1"/>
          <w:bCs w:val="1"/>
          <w:color w:val="auto"/>
        </w:rPr>
        <w:t>: You must login to your account to obtain other important information concerning this Award, such as a copy of the LendingTree, Inc. 2008 Stock and Annual Incentive Plan as the same has been amended and restated from time to time up to the date of this Award (the “2008 Plan”) and the Terms and Conditions for Option Awards (the “Terms and Conditions”). You acknowledge that you have received copies of the 2008 Plan and the 2008 Plan’s prospectus.</w:t>
      </w:r>
    </w:p>
    <w:p>
      <w:pPr>
        <w:spacing w:after="0" w:line="200" w:lineRule="exact"/>
        <w:rPr>
          <w:sz w:val="20"/>
          <w:szCs w:val="20"/>
          <w:color w:val="auto"/>
        </w:rPr>
      </w:pPr>
    </w:p>
    <w:p>
      <w:pPr>
        <w:spacing w:after="0" w:line="347"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Award Recipient:</w:t>
      </w:r>
    </w:p>
    <w:p>
      <w:pPr>
        <w:spacing w:after="0" w:line="54" w:lineRule="exact"/>
        <w:rPr>
          <w:sz w:val="20"/>
          <w:szCs w:val="20"/>
          <w:color w:val="auto"/>
        </w:rPr>
      </w:pPr>
    </w:p>
    <w:p>
      <w:pPr>
        <w:ind w:left="580"/>
        <w:spacing w:after="0"/>
        <w:tabs>
          <w:tab w:leader="none" w:pos="3200" w:val="left"/>
        </w:tabs>
        <w:rPr>
          <w:sz w:val="20"/>
          <w:szCs w:val="20"/>
          <w:color w:val="auto"/>
        </w:rPr>
      </w:pPr>
      <w:r>
        <w:rPr>
          <w:rFonts w:ascii="Arial" w:cs="Arial" w:eastAsia="Arial" w:hAnsi="Arial"/>
          <w:sz w:val="20"/>
          <w:szCs w:val="20"/>
          <w:b w:val="1"/>
          <w:bCs w:val="1"/>
          <w:color w:val="auto"/>
        </w:rPr>
        <w:t>Stock Option Award:</w:t>
      </w:r>
      <w:r>
        <w:rPr>
          <w:sz w:val="20"/>
          <w:szCs w:val="20"/>
          <w:color w:val="auto"/>
        </w:rPr>
        <w:tab/>
      </w:r>
      <w:r>
        <w:rPr>
          <w:rFonts w:ascii="Arial" w:cs="Arial" w:eastAsia="Arial" w:hAnsi="Arial"/>
          <w:sz w:val="16"/>
          <w:szCs w:val="16"/>
          <w:color w:val="auto"/>
        </w:rPr>
        <w:t>Under the 2008 Plan:</w:t>
      </w:r>
    </w:p>
    <w:p>
      <w:pPr>
        <w:spacing w:after="0" w:line="222" w:lineRule="exact"/>
        <w:rPr>
          <w:sz w:val="20"/>
          <w:szCs w:val="20"/>
          <w:color w:val="auto"/>
        </w:rPr>
      </w:pPr>
    </w:p>
    <w:p>
      <w:pPr>
        <w:ind w:left="3220" w:right="520"/>
        <w:spacing w:after="0" w:line="260" w:lineRule="auto"/>
        <w:rPr>
          <w:sz w:val="20"/>
          <w:szCs w:val="20"/>
          <w:color w:val="auto"/>
        </w:rPr>
      </w:pPr>
      <w:r>
        <w:rPr>
          <w:rFonts w:ascii="Arial" w:cs="Arial" w:eastAsia="Arial" w:hAnsi="Arial"/>
          <w:sz w:val="20"/>
          <w:szCs w:val="20"/>
          <w:color w:val="auto"/>
        </w:rPr>
        <w:t xml:space="preserve">You have been awarded a nonqualified option to acquire Shares of LendingTree common stock at an “Exercise Price” of </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per Share (“Stock Option”);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Award Date:</w:t>
      </w:r>
    </w:p>
    <w:p>
      <w:pPr>
        <w:spacing w:after="0" w:line="54" w:lineRule="exact"/>
        <w:rPr>
          <w:sz w:val="20"/>
          <w:szCs w:val="20"/>
          <w:color w:val="auto"/>
        </w:rPr>
      </w:pPr>
    </w:p>
    <w:p>
      <w:pPr>
        <w:jc w:val="both"/>
        <w:ind w:left="3220" w:right="520" w:hanging="2645"/>
        <w:spacing w:after="0" w:line="286" w:lineRule="auto"/>
        <w:tabs>
          <w:tab w:leader="none" w:pos="320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8"/>
          <w:szCs w:val="18"/>
          <w:color w:val="auto"/>
        </w:rPr>
        <w:t>Subject to your continuous service with LendingTree or its Subsidiaries or Affiliates, your Stock Option shall, subject to the provisions of the 2008 Plan and the Terms and Conditions, vest and no longer be subject to any restriction as of the vesting dates, as set forth below:</w:t>
      </w:r>
    </w:p>
    <w:p>
      <w:pPr>
        <w:spacing w:after="0" w:line="3" w:lineRule="exact"/>
        <w:rPr>
          <w:sz w:val="20"/>
          <w:szCs w:val="20"/>
          <w:color w:val="auto"/>
        </w:rPr>
      </w:pPr>
    </w:p>
    <w:p>
      <w:pPr>
        <w:ind w:left="4680"/>
        <w:spacing w:after="0"/>
        <w:tabs>
          <w:tab w:leader="none" w:pos="8220" w:val="left"/>
        </w:tabs>
        <w:rPr>
          <w:sz w:val="20"/>
          <w:szCs w:val="20"/>
          <w:color w:val="auto"/>
        </w:rPr>
      </w:pPr>
      <w:r>
        <w:rPr>
          <w:rFonts w:ascii="Arial" w:cs="Arial" w:eastAsia="Arial" w:hAnsi="Arial"/>
          <w:sz w:val="20"/>
          <w:szCs w:val="20"/>
          <w:b w:val="1"/>
          <w:bCs w:val="1"/>
          <w:color w:val="auto"/>
        </w:rPr>
        <w:t>Vest Date</w:t>
      </w:r>
      <w:r>
        <w:rPr>
          <w:sz w:val="20"/>
          <w:szCs w:val="20"/>
          <w:color w:val="auto"/>
        </w:rPr>
        <w:tab/>
      </w:r>
      <w:r>
        <w:rPr>
          <w:rFonts w:ascii="Arial" w:cs="Arial" w:eastAsia="Arial" w:hAnsi="Arial"/>
          <w:sz w:val="16"/>
          <w:szCs w:val="16"/>
          <w:b w:val="1"/>
          <w:bCs w:val="1"/>
          <w:color w:val="auto"/>
        </w:rPr>
        <w:t>Shares Vesting</w:t>
      </w:r>
    </w:p>
    <w:p>
      <w:pPr>
        <w:spacing w:after="0" w:line="202" w:lineRule="exact"/>
        <w:rPr>
          <w:sz w:val="20"/>
          <w:szCs w:val="20"/>
          <w:color w:val="auto"/>
        </w:rPr>
      </w:pPr>
    </w:p>
    <w:p>
      <w:pPr>
        <w:jc w:val="both"/>
        <w:ind w:left="3220" w:right="520" w:hanging="2645"/>
        <w:spacing w:after="0" w:line="278" w:lineRule="auto"/>
        <w:tabs>
          <w:tab w:leader="none" w:pos="3200" w:val="left"/>
        </w:tabs>
        <w:rPr>
          <w:sz w:val="20"/>
          <w:szCs w:val="20"/>
          <w:color w:val="auto"/>
        </w:rPr>
      </w:pPr>
      <w:r>
        <w:rPr>
          <w:rFonts w:ascii="Arial" w:cs="Arial" w:eastAsia="Arial" w:hAnsi="Arial"/>
          <w:sz w:val="20"/>
          <w:szCs w:val="20"/>
          <w:b w:val="1"/>
          <w:bCs w:val="1"/>
          <w:color w:val="auto"/>
        </w:rPr>
        <w:t>Expiration Date:</w:t>
      </w:r>
      <w:r>
        <w:rPr>
          <w:sz w:val="20"/>
          <w:szCs w:val="20"/>
          <w:color w:val="auto"/>
        </w:rPr>
        <w:tab/>
      </w:r>
      <w:r>
        <w:rPr>
          <w:rFonts w:ascii="Arial" w:cs="Arial" w:eastAsia="Arial" w:hAnsi="Arial"/>
          <w:sz w:val="18"/>
          <w:szCs w:val="18"/>
          <w:color w:val="auto"/>
        </w:rPr>
        <w:t>Once vested, your Stock Option will expire upon the earlier of (i) the expiration of the 24-month period following your termination of service for any reason other than due to death or Disability, (ii) the expiration of the 24-month period following your termination of service due to death or Disability, or (iii) 10 years from your Award Date (the “Expiration Date”), except as otherwise provided in the 2008 Plan or the attached Terms and Conditions.</w:t>
      </w:r>
    </w:p>
    <w:p>
      <w:pPr>
        <w:spacing w:after="0" w:line="171" w:lineRule="exact"/>
        <w:rPr>
          <w:sz w:val="20"/>
          <w:szCs w:val="20"/>
          <w:color w:val="auto"/>
        </w:rPr>
      </w:pPr>
    </w:p>
    <w:p>
      <w:pPr>
        <w:ind w:left="3220" w:right="520"/>
        <w:spacing w:after="0" w:line="260" w:lineRule="auto"/>
        <w:rPr>
          <w:sz w:val="20"/>
          <w:szCs w:val="20"/>
          <w:color w:val="auto"/>
        </w:rPr>
      </w:pPr>
      <w:r>
        <w:rPr>
          <w:rFonts w:ascii="Arial" w:cs="Arial" w:eastAsia="Arial" w:hAnsi="Arial"/>
          <w:sz w:val="20"/>
          <w:szCs w:val="20"/>
          <w:color w:val="auto"/>
        </w:rPr>
        <w:t>If you do not exercise your vested Stock Option before the Expiration Date, your unexercised Stock Option will be forfeited and canceled in its entirety.</w:t>
      </w:r>
    </w:p>
    <w:p>
      <w:pPr>
        <w:spacing w:after="0" w:line="9" w:lineRule="exact"/>
        <w:rPr>
          <w:sz w:val="20"/>
          <w:szCs w:val="20"/>
          <w:color w:val="auto"/>
        </w:rPr>
      </w:pPr>
    </w:p>
    <w:p>
      <w:pPr>
        <w:jc w:val="center"/>
        <w:ind w:right="-59"/>
        <w:spacing w:after="0"/>
        <w:tabs>
          <w:tab w:leader="none" w:pos="340" w:val="left"/>
        </w:tabs>
        <w:rPr>
          <w:sz w:val="20"/>
          <w:szCs w:val="20"/>
          <w:color w:val="auto"/>
        </w:rPr>
      </w:pPr>
      <w:r>
        <w:rPr>
          <w:rFonts w:ascii="Arial" w:cs="Arial" w:eastAsia="Arial" w:hAnsi="Arial"/>
          <w:sz w:val="20"/>
          <w:szCs w:val="20"/>
          <w:b w:val="1"/>
          <w:bCs w:val="1"/>
          <w:color w:val="auto"/>
        </w:rPr>
        <w:t>Impact of a Termination of</w:t>
      </w:r>
      <w:r>
        <w:rPr>
          <w:sz w:val="20"/>
          <w:szCs w:val="20"/>
          <w:color w:val="auto"/>
        </w:rPr>
        <w:tab/>
      </w:r>
      <w:r>
        <w:rPr>
          <w:rFonts w:ascii="Arial" w:cs="Arial" w:eastAsia="Arial" w:hAnsi="Arial"/>
          <w:sz w:val="18"/>
          <w:szCs w:val="18"/>
          <w:color w:val="auto"/>
        </w:rPr>
        <w:t>Except as otherwise provided in the 2008 Plan, the Terms and Conditions and any Individual</w:t>
      </w:r>
    </w:p>
    <w:p>
      <w:pPr>
        <w:spacing w:after="0" w:line="22" w:lineRule="exact"/>
        <w:rPr>
          <w:sz w:val="20"/>
          <w:szCs w:val="20"/>
          <w:color w:val="auto"/>
        </w:rPr>
      </w:pPr>
    </w:p>
    <w:p>
      <w:pPr>
        <w:jc w:val="both"/>
        <w:ind w:left="3220" w:right="520" w:hanging="2639"/>
        <w:spacing w:after="0" w:line="284" w:lineRule="auto"/>
        <w:tabs>
          <w:tab w:leader="none" w:pos="3200" w:val="left"/>
        </w:tabs>
        <w:rPr>
          <w:sz w:val="20"/>
          <w:szCs w:val="20"/>
          <w:color w:val="auto"/>
        </w:rPr>
      </w:pPr>
      <w:r>
        <w:rPr>
          <w:rFonts w:ascii="Arial" w:cs="Arial" w:eastAsia="Arial" w:hAnsi="Arial"/>
          <w:sz w:val="18"/>
          <w:szCs w:val="18"/>
          <w:b w:val="1"/>
          <w:bCs w:val="1"/>
          <w:color w:val="auto"/>
        </w:rPr>
        <w:t>Service:</w:t>
      </w:r>
      <w:r>
        <w:rPr>
          <w:sz w:val="20"/>
          <w:szCs w:val="20"/>
          <w:color w:val="auto"/>
        </w:rPr>
        <w:tab/>
      </w:r>
      <w:r>
        <w:rPr>
          <w:rFonts w:ascii="Arial" w:cs="Arial" w:eastAsia="Arial" w:hAnsi="Arial"/>
          <w:sz w:val="18"/>
          <w:szCs w:val="18"/>
          <w:color w:val="auto"/>
        </w:rPr>
        <w:t>Agreement between you and LendingTree, the unvested portion of this Stock Option will be forfeited without consideration and canceled in its entirety upon a termination of your service.</w:t>
      </w:r>
    </w:p>
    <w:p>
      <w:pPr>
        <w:spacing w:after="0" w:line="1" w:lineRule="exact"/>
        <w:rPr>
          <w:sz w:val="20"/>
          <w:szCs w:val="20"/>
          <w:color w:val="auto"/>
        </w:rPr>
      </w:pPr>
    </w:p>
    <w:p>
      <w:pPr>
        <w:ind w:left="3220" w:right="520" w:hanging="2645"/>
        <w:spacing w:after="0" w:line="260" w:lineRule="auto"/>
        <w:tabs>
          <w:tab w:leader="none" w:pos="3200" w:val="left"/>
        </w:tabs>
        <w:rPr>
          <w:sz w:val="20"/>
          <w:szCs w:val="20"/>
          <w:color w:val="auto"/>
        </w:rPr>
      </w:pPr>
      <w:r>
        <w:rPr>
          <w:rFonts w:ascii="Arial" w:cs="Arial" w:eastAsia="Arial" w:hAnsi="Arial"/>
          <w:sz w:val="20"/>
          <w:szCs w:val="20"/>
          <w:b w:val="1"/>
          <w:bCs w:val="1"/>
          <w:color w:val="auto"/>
        </w:rPr>
        <w:t>Terms and Conditions:</w:t>
      </w:r>
      <w:r>
        <w:rPr>
          <w:sz w:val="20"/>
          <w:szCs w:val="20"/>
          <w:color w:val="auto"/>
        </w:rPr>
        <w:tab/>
      </w:r>
      <w:r>
        <w:rPr>
          <w:rFonts w:ascii="Arial" w:cs="Arial" w:eastAsia="Arial" w:hAnsi="Arial"/>
          <w:sz w:val="20"/>
          <w:szCs w:val="20"/>
          <w:color w:val="auto"/>
        </w:rPr>
        <w:t>Capitalized terms used (but not defined) in this Award Notice shall have the meanings set forth in the 2008 Plan.</w:t>
      </w:r>
    </w:p>
    <w:p>
      <w:pPr>
        <w:spacing w:after="0" w:line="183"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Your Stock Option is subject to the Terms and Conditions attached hereto and the 2008 Plan.</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Copies of these documents are also available upon request from the Human Resources</w:t>
      </w:r>
    </w:p>
    <w:p>
      <w:pPr>
        <w:ind w:left="3220"/>
        <w:spacing w:after="0"/>
        <w:rPr>
          <w:sz w:val="20"/>
          <w:szCs w:val="20"/>
          <w:color w:val="auto"/>
        </w:rPr>
      </w:pPr>
      <w:r>
        <w:rPr>
          <w:rFonts w:ascii="Arial" w:cs="Arial" w:eastAsia="Arial" w:hAnsi="Arial"/>
          <w:sz w:val="19"/>
          <w:szCs w:val="19"/>
          <w:color w:val="auto"/>
        </w:rPr>
        <w:t>Department. In the event of a conflict between the Terms and Conditions and this Notice, this</w:t>
      </w:r>
    </w:p>
    <w:p>
      <w:pPr>
        <w:spacing w:after="0" w:line="11"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Notice shall control.</w:t>
      </w:r>
    </w:p>
    <w:p>
      <w:pPr>
        <w:spacing w:after="0" w:line="200" w:lineRule="exact"/>
        <w:rPr>
          <w:sz w:val="20"/>
          <w:szCs w:val="20"/>
          <w:color w:val="auto"/>
        </w:rPr>
      </w:pPr>
    </w:p>
    <w:p>
      <w:pPr>
        <w:ind w:left="3220" w:right="520"/>
        <w:spacing w:after="0" w:line="260" w:lineRule="auto"/>
        <w:rPr>
          <w:sz w:val="20"/>
          <w:szCs w:val="20"/>
          <w:color w:val="auto"/>
        </w:rPr>
      </w:pPr>
      <w:r>
        <w:rPr>
          <w:rFonts w:ascii="Arial" w:cs="Arial" w:eastAsia="Arial" w:hAnsi="Arial"/>
          <w:sz w:val="20"/>
          <w:szCs w:val="20"/>
          <w:color w:val="auto"/>
        </w:rPr>
        <w:t>Without a complete review of these documents, you will not have a full understanding of all the material terms of your Stock Option.</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for Stock Option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Terms and Conditions apply to the stock option (the “Award”) awarded to you by LendingTree, Inc. (“LendingTree” or the “Company”) pursuant to Section 5 of the LendingTree, Inc. 2008 Stock and Annual Incentive Plan as the same has been amended and restated from time to time up to the date of this Award (the “2008 Plan”). You were notified of your Award by way of an award notice (the “Award Notice”). All capitalized terms used herein, to the extent not defined, shall have the meaning as set forth in the 2008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Service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the Award to vest, you must maintain service as a director of LendingTree or any of its Subsidiaries or Affiliates during the Restriction Period (as defined below) or as otherwise provided in the Vesting section below. Nothing in your Award Notice, these Terms and Conditions, or the 2008 Plan shall confer upon you any right to continue in the service of LendingTree or any of its Subsidiaries or Affiliates or interfere in any way with their rights to terminate your service at any time and for any or no reason.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Subject to the Award Notice, these Terms and Conditions and the 2008 Plan, the Award shall vest and no longer be subject to satisfaction of any restriction as set forth in the Vesting Schedule section of the Award Notice. The period during which such restrictions apply is the “Restriction Period.”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vesting of your Award is conditioned upon your continuous service as a director of LendingTree or its Subsidiaries or Affiliates through each respective vesting date. Notwithstanding the foregoing, 100% of your then-outstanding and unvested portion of your Award shall vest upon the occurrence of a Change in Control which occurs during your service with LendingTree (or any Subsidiary or Affiliate). The term “Change in Control” is defined in the 2008 Plan, and includes certain events affecting LendingTree (not events only affecting specific businesses of LendingTree).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the foregoing, in the event you experience a termination of service due to your death or Disability, then 100% of your then-outstanding and unvested portion of your Award shall vest upon such termination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Service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the termination of your service with LendingTree or any of its Subsidiaries or Affiliates during the Restriction Period for any reason, any unvested portion of this Award shall be forfeited and canceled in its entirety without consideration effective immediately upon such termination of service. The then vested portion of this Stock Option may remain exercisable after your termination of service to the extent permitted under section 5(i) of the 2008 Plan.</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avoidance of doubt, transfers of service among the Company and its Subsidiaries and Affiliates, without any break in service, is not a termination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you wish to exercise this Award, you must notify the Company by filing a “Notice of Exercise” in the form prescribed by LendingTree at the address given on the form. Your notice must specify how many Shares you wish to purchase and is subject to the minimum purchase limitation set forth in section 5(g) of the 2008 Plan. The notice can only become effective after it is received and approved by the Company. If someone else wants to exercise this Stock Option after your death, that person must prove to the Company’s satisfaction that he or she is entitled to do so.</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you submit your Notice of Exercise, you must include payment of the aggregate Exercise Price for the Shares you are purchasing. Payment may be made in one (or a combination) of (i) certified or bank check or (ii) to the extent approved by the Committee by any of the methods described in sections 5(g)(i), 5(g)(ii), or 5(g)(iii) of the 2008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the Award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Your Award shall not be transferable by you by means of sale, assignment, exchange, encumbrance, pledge, hedge or otherwise except as may be permitted under section 5(j) of the 2008 Plan.</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Stockholder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Until your Award is exercised and settled with Shares, you shall not be entitled to any rights of a stockholder with respect to the Award (including the right to vote the underlying Shares or receive dividends). Moreover, if LendingTree declares and pays dividends on the Common Stock during the Restriction Period, this Award will not be credited with any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Restrictions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and/or any issuance of Shares under the Award shall not be effective unless such listing, registration, qualification, consent or approval shall have been effected or obtained free of any conditions not acceptable to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and Interpretation</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the event of any conflict between these Terms and Conditions and the 2008 Plan, the 2008 Plan shall control; provided, that an action or provision that is permissive under the terms of the 2008 Plan, 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LendingTree’s intranet or given to you directly or indirectly through the Agent (including information posted on </w:t>
      </w:r>
      <w:r>
        <w:rPr>
          <w:rFonts w:ascii="Arial" w:cs="Arial" w:eastAsia="Arial" w:hAnsi="Arial"/>
          <w:sz w:val="17"/>
          <w:szCs w:val="17"/>
          <w:u w:val="single" w:color="auto"/>
          <w:color w:val="0000FF"/>
        </w:rPr>
        <w:t>https://us.etrade.com/stock-plans</w:t>
      </w:r>
      <w:r>
        <w:rPr>
          <w:rFonts w:ascii="Arial" w:cs="Arial" w:eastAsia="Arial" w:hAnsi="Arial"/>
          <w:sz w:val="17"/>
          <w:szCs w:val="17"/>
          <w:color w:val="auto"/>
        </w:rPr>
        <w:t xml:space="preserve">) and LendingTree’s books and records, or (ii) ambiguity in the Award Notice (or any information posted on LendingTree’s intranet or given to you directly or indirectly through the Agent (including information posted on </w:t>
      </w:r>
      <w:r>
        <w:rPr>
          <w:rFonts w:ascii="Arial" w:cs="Arial" w:eastAsia="Arial" w:hAnsi="Arial"/>
          <w:sz w:val="17"/>
          <w:szCs w:val="17"/>
          <w:u w:val="single" w:color="auto"/>
          <w:color w:val="0000FF"/>
        </w:rPr>
        <w:t>https://us.etrade.com/stock-plans</w:t>
      </w:r>
      <w:r>
        <w:rPr>
          <w:rFonts w:ascii="Arial" w:cs="Arial" w:eastAsia="Arial" w:hAnsi="Arial"/>
          <w:sz w:val="17"/>
          <w:szCs w:val="17"/>
          <w:color w:val="auto"/>
        </w:rPr>
        <w:t>)</w:t>
      </w:r>
      <w:r>
        <w:rPr>
          <w:rFonts w:ascii="Arial" w:cs="Arial" w:eastAsia="Arial" w:hAnsi="Arial"/>
          <w:sz w:val="18"/>
          <w:szCs w:val="18"/>
          <w:color w:val="auto"/>
        </w:rPr>
        <w:t>,</w:t>
      </w:r>
      <w:r>
        <w:rPr>
          <w:rFonts w:ascii="Arial" w:cs="Arial" w:eastAsia="Arial" w:hAnsi="Arial"/>
          <w:sz w:val="17"/>
          <w:szCs w:val="17"/>
          <w:color w:val="auto"/>
        </w:rPr>
        <w:t xml:space="preserve"> LendingTree’s books and records shall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LendingTree may modify, amend or waive the terms of your Awards, prospectively or retroactively, but no such modification, amendment or waiver shall materially impair your rights without your consent, except as required by applicable law, NASDAQ or stock exchange rules, tax rules or accounting rules.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acceptance of your Award constitutes your authorization of the release from time to time to LendingTree or any of its Subsidiaries or Affiliates and to the agent selected by LendingTree to administer the 2008 Plan (the “Agent”) (together, the “Relevant Companies”) of any and all personal or professional data that is necessary or desirable for the administration of your Award and/or the 2008 Plan (the “Relevant Information”). Without limiting the above, this authorization permits LendingTree to collect, process, register and transfer to the Relevant Companies all Relevant Information (including any professional and personal data that may be useful or necessary for the purposes of the administration of your Award and/or the 2008 Plan and/or to implement or structure any further grants of equity awards (if any)). The acceptance of your Award also constitutes your authorization of the transfer of the Relevant Information to any jurisdiction in which LendingTree or the Agent considers appropriate. You shall have access to, and the right to change, the Relevant Information, which will only be used in accordance with applicable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Sections 409A, 280G and 4999 of the Code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Your Award is not intended to constitute “nonqualified deferred compensation” within the meaning of Section 409A of the Code and related rules and regulations (“Section 409A”). In no event shall LendingTree be required to pay you any “gross-up” or other payment with respect to any taxes or penalties imposed under Section 409A (or Code Section 280G or 4999) with respect to any amounts or benefits paid to you in respect of your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Changes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changes to these Terms and Conditions shall either be posted on LendingTree’s intranet or communicated (either directly by LendingTree or indirectly through any of its Subsidiaries, Affiliates or the Agent) to you electronically via e-mail (or otherwise in writing) after such change becomes effective.</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Unit Award Granted to Non-Employee Directors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LendingTree, Inc. 2008 Stock and 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u w:val="single" w:color="auto"/>
          <w:color w:val="auto"/>
        </w:rPr>
        <w:t>Important Note</w:t>
      </w:r>
      <w:r>
        <w:rPr>
          <w:rFonts w:ascii="Arial" w:cs="Arial" w:eastAsia="Arial" w:hAnsi="Arial"/>
          <w:sz w:val="22"/>
          <w:szCs w:val="22"/>
          <w:b w:val="1"/>
          <w:bCs w:val="1"/>
          <w:color w:val="auto"/>
        </w:rPr>
        <w:t>: You must login to your account to obtain other important information concerning this Award, such as a copy of the LendingTree, Inc. 2008 Stock and Annual Incentive Plan as the same has been amended and restated from time to time up to the date of this Award (the “2008 Plan”) and the Terms and Conditions for Restricted Stock Unit Awards (the “Terms and Conditions”). You acknowledge that you have received copies of the 2008 Plan and the 2008 Plan’s prospectus.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1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Award Recipient:</w:t>
            </w:r>
          </w:p>
        </w:tc>
        <w:tc>
          <w:tcPr>
            <w:tcW w:w="5320" w:type="dxa"/>
            <w:vAlign w:val="bottom"/>
            <w:tcBorders>
              <w:top w:val="single" w:sz="8" w:color="auto"/>
              <w:bottom w:val="single" w:sz="8" w:color="auto"/>
            </w:tcBorders>
          </w:tcPr>
          <w:p>
            <w:pPr>
              <w:spacing w:after="0"/>
              <w:rPr>
                <w:sz w:val="24"/>
                <w:szCs w:val="24"/>
                <w:color w:val="auto"/>
              </w:rPr>
            </w:pPr>
          </w:p>
        </w:tc>
        <w:tc>
          <w:tcPr>
            <w:tcW w:w="2960" w:type="dxa"/>
            <w:vAlign w:val="bottom"/>
            <w:tcBorders>
              <w:top w:val="single" w:sz="8" w:color="auto"/>
              <w:bottom w:val="single" w:sz="8" w:color="auto"/>
              <w:right w:val="single" w:sz="8" w:color="auto"/>
            </w:tcBorders>
          </w:tcPr>
          <w:p>
            <w:pPr>
              <w:spacing w:after="0"/>
              <w:rPr>
                <w:sz w:val="24"/>
                <w:szCs w:val="24"/>
                <w:color w:val="auto"/>
              </w:rPr>
            </w:pPr>
          </w:p>
        </w:tc>
      </w:tr>
      <w:tr>
        <w:trPr>
          <w:trHeight w:val="243"/>
        </w:trPr>
        <w:tc>
          <w:tcPr>
            <w:tcW w:w="21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w w:val="90"/>
              </w:rPr>
              <w:t>Restricted Stock Unit</w:t>
            </w:r>
          </w:p>
        </w:tc>
        <w:tc>
          <w:tcPr>
            <w:tcW w:w="8280" w:type="dxa"/>
            <w:vAlign w:val="bottom"/>
            <w:tcBorders>
              <w:right w:val="single" w:sz="8" w:color="auto"/>
            </w:tcBorders>
            <w:gridSpan w:val="2"/>
          </w:tcPr>
          <w:p>
            <w:pPr>
              <w:ind w:left="400"/>
              <w:spacing w:after="0" w:line="243" w:lineRule="exact"/>
              <w:rPr>
                <w:sz w:val="20"/>
                <w:szCs w:val="20"/>
                <w:color w:val="auto"/>
              </w:rPr>
            </w:pPr>
            <w:r>
              <w:rPr>
                <w:rFonts w:ascii="Arial" w:cs="Arial" w:eastAsia="Arial" w:hAnsi="Arial"/>
                <w:sz w:val="22"/>
                <w:szCs w:val="22"/>
                <w:color w:val="auto"/>
              </w:rPr>
              <w:t>Restricted stock units (“RSUs”) granted under the 2008 Plan.</w:t>
            </w:r>
          </w:p>
        </w:tc>
      </w:tr>
      <w:tr>
        <w:trPr>
          <w:trHeight w:val="291"/>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Award:</w:t>
            </w:r>
          </w:p>
        </w:tc>
        <w:tc>
          <w:tcPr>
            <w:tcW w:w="53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r>
      <w:tr>
        <w:trPr>
          <w:trHeight w:val="290"/>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Award Date:</w:t>
            </w:r>
          </w:p>
        </w:tc>
        <w:tc>
          <w:tcPr>
            <w:tcW w:w="53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r>
      <w:tr>
        <w:trPr>
          <w:trHeight w:val="249"/>
        </w:trPr>
        <w:tc>
          <w:tcPr>
            <w:tcW w:w="21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Vesting Schedule:</w:t>
            </w:r>
          </w:p>
        </w:tc>
        <w:tc>
          <w:tcPr>
            <w:tcW w:w="8280" w:type="dxa"/>
            <w:vAlign w:val="bottom"/>
            <w:tcBorders>
              <w:right w:val="single" w:sz="8" w:color="auto"/>
            </w:tcBorders>
            <w:gridSpan w:val="2"/>
          </w:tcPr>
          <w:p>
            <w:pPr>
              <w:ind w:left="20"/>
              <w:spacing w:after="0" w:line="248" w:lineRule="exact"/>
              <w:rPr>
                <w:sz w:val="20"/>
                <w:szCs w:val="20"/>
                <w:color w:val="auto"/>
              </w:rPr>
            </w:pPr>
            <w:r>
              <w:rPr>
                <w:rFonts w:ascii="Arial" w:cs="Arial" w:eastAsia="Arial" w:hAnsi="Arial"/>
                <w:sz w:val="22"/>
                <w:szCs w:val="22"/>
                <w:color w:val="auto"/>
                <w:w w:val="93"/>
              </w:rPr>
              <w:t>Your RSUs shall, subject to the provisions of the 2008 Plan and the Terms and Conditions,</w:t>
            </w:r>
          </w:p>
        </w:tc>
      </w:tr>
      <w:tr>
        <w:trPr>
          <w:trHeight w:val="274"/>
        </w:trPr>
        <w:tc>
          <w:tcPr>
            <w:tcW w:w="2100" w:type="dxa"/>
            <w:vAlign w:val="bottom"/>
            <w:tcBorders>
              <w:left w:val="single" w:sz="8" w:color="auto"/>
              <w:right w:val="single" w:sz="8" w:color="auto"/>
            </w:tcBorders>
          </w:tcPr>
          <w:p>
            <w:pPr>
              <w:spacing w:after="0"/>
              <w:rPr>
                <w:sz w:val="23"/>
                <w:szCs w:val="23"/>
                <w:color w:val="auto"/>
              </w:rPr>
            </w:pPr>
          </w:p>
        </w:tc>
        <w:tc>
          <w:tcPr>
            <w:tcW w:w="828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w w:val="94"/>
              </w:rPr>
              <w:t>vest and no longer be subject to any restriction as of the vesting dates, as set forth below:</w:t>
            </w:r>
          </w:p>
        </w:tc>
      </w:tr>
      <w:tr>
        <w:trPr>
          <w:trHeight w:val="793"/>
        </w:trPr>
        <w:tc>
          <w:tcPr>
            <w:tcW w:w="210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tcBorders>
          </w:tcPr>
          <w:p>
            <w:pPr>
              <w:ind w:left="1680"/>
              <w:spacing w:after="0"/>
              <w:rPr>
                <w:sz w:val="20"/>
                <w:szCs w:val="20"/>
                <w:color w:val="auto"/>
              </w:rPr>
            </w:pPr>
            <w:r>
              <w:rPr>
                <w:rFonts w:ascii="Arial" w:cs="Arial" w:eastAsia="Arial" w:hAnsi="Arial"/>
                <w:sz w:val="22"/>
                <w:szCs w:val="22"/>
                <w:b w:val="1"/>
                <w:bCs w:val="1"/>
                <w:color w:val="auto"/>
              </w:rPr>
              <w:t>Vest Date</w:t>
            </w:r>
          </w:p>
        </w:tc>
        <w:tc>
          <w:tcPr>
            <w:tcW w:w="29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2"/>
                <w:szCs w:val="22"/>
                <w:b w:val="1"/>
                <w:bCs w:val="1"/>
                <w:color w:val="auto"/>
              </w:rPr>
              <w:t>Shares Vesting</w:t>
            </w:r>
          </w:p>
        </w:tc>
      </w:tr>
      <w:tr>
        <w:trPr>
          <w:trHeight w:val="243"/>
        </w:trPr>
        <w:tc>
          <w:tcPr>
            <w:tcW w:w="21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Impact of a</w:t>
            </w:r>
          </w:p>
        </w:tc>
        <w:tc>
          <w:tcPr>
            <w:tcW w:w="82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98"/>
              </w:rPr>
              <w:t>Except as otherwise provided in the 2008 Plan or in the Terms and Conditions, or any</w:t>
            </w:r>
          </w:p>
        </w:tc>
      </w:tr>
      <w:tr>
        <w:trPr>
          <w:trHeight w:val="243"/>
        </w:trPr>
        <w:tc>
          <w:tcPr>
            <w:tcW w:w="21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Termination of</w:t>
            </w:r>
          </w:p>
        </w:tc>
        <w:tc>
          <w:tcPr>
            <w:tcW w:w="82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97"/>
              </w:rPr>
              <w:t>Individual Agreement, all of your unvested RSUs will be forfeited and canceled without</w:t>
            </w:r>
          </w:p>
        </w:tc>
      </w:tr>
      <w:tr>
        <w:trPr>
          <w:trHeight w:val="291"/>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Service:</w:t>
            </w:r>
          </w:p>
        </w:tc>
        <w:tc>
          <w:tcPr>
            <w:tcW w:w="82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w w:val="90"/>
              </w:rPr>
              <w:t>consideration in their entirety upon a termination of your service as a director of LendingTree.</w:t>
            </w:r>
          </w:p>
        </w:tc>
      </w:tr>
      <w:tr>
        <w:trPr>
          <w:trHeight w:val="243"/>
        </w:trPr>
        <w:tc>
          <w:tcPr>
            <w:tcW w:w="21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Terms and</w:t>
            </w:r>
          </w:p>
        </w:tc>
        <w:tc>
          <w:tcPr>
            <w:tcW w:w="82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89"/>
              </w:rPr>
              <w:t>Capitalized terms used (but not defined) in this Award Notice shall have the meanings set forth</w:t>
            </w:r>
          </w:p>
        </w:tc>
      </w:tr>
      <w:tr>
        <w:trPr>
          <w:trHeight w:val="280"/>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Conditions:</w:t>
            </w:r>
          </w:p>
        </w:tc>
        <w:tc>
          <w:tcPr>
            <w:tcW w:w="5320" w:type="dxa"/>
            <w:vAlign w:val="bottom"/>
          </w:tcPr>
          <w:p>
            <w:pPr>
              <w:ind w:left="20"/>
              <w:spacing w:after="0"/>
              <w:rPr>
                <w:sz w:val="20"/>
                <w:szCs w:val="20"/>
                <w:color w:val="auto"/>
              </w:rPr>
            </w:pPr>
            <w:r>
              <w:rPr>
                <w:rFonts w:ascii="Arial" w:cs="Arial" w:eastAsia="Arial" w:hAnsi="Arial"/>
                <w:sz w:val="22"/>
                <w:szCs w:val="22"/>
                <w:color w:val="auto"/>
              </w:rPr>
              <w:t>in the 2008 Plan.</w:t>
            </w:r>
          </w:p>
        </w:tc>
        <w:tc>
          <w:tcPr>
            <w:tcW w:w="2960" w:type="dxa"/>
            <w:vAlign w:val="bottom"/>
            <w:tcBorders>
              <w:right w:val="single" w:sz="8" w:color="auto"/>
            </w:tcBorders>
          </w:tcPr>
          <w:p>
            <w:pPr>
              <w:spacing w:after="0"/>
              <w:rPr>
                <w:sz w:val="24"/>
                <w:szCs w:val="24"/>
                <w:color w:val="auto"/>
              </w:rPr>
            </w:pPr>
          </w:p>
        </w:tc>
      </w:tr>
      <w:tr>
        <w:trPr>
          <w:trHeight w:val="455"/>
        </w:trPr>
        <w:tc>
          <w:tcPr>
            <w:tcW w:w="210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w w:val="88"/>
              </w:rPr>
              <w:t>Your RSUs are subject to the Terms and Conditions and the 2008 Plan. We strongly encourage</w:t>
            </w: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8280" w:type="dxa"/>
            <w:vAlign w:val="bottom"/>
            <w:tcBorders>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w w:val="97"/>
              </w:rPr>
              <w:t>you to review the Terms and Conditions and the 2008 Plan. These documents will help</w:t>
            </w:r>
          </w:p>
        </w:tc>
      </w:tr>
      <w:tr>
        <w:trPr>
          <w:trHeight w:val="285"/>
        </w:trPr>
        <w:tc>
          <w:tcPr>
            <w:tcW w:w="210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w w:val="95"/>
              </w:rPr>
              <w:t>provide you with a full understanding of your RSU award.</w:t>
            </w:r>
          </w:p>
        </w:tc>
        <w:tc>
          <w:tcPr>
            <w:tcW w:w="296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 for Restricted Stock Unit Award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These Terms and Conditions apply to the restricted stock units (the “Award”) awarded to you by LendingTree, Inc. (“LendingTree” or the “Company”) pursuant to Section 7 of the LendingTree, Inc. 2008 Stock and Annual Incentive Plan as the same has been amended and restated from time to time up to the date of this</w:t>
      </w:r>
    </w:p>
    <w:p>
      <w:pPr>
        <w:sectPr>
          <w:pgSz w:w="11900" w:h="16838" w:orient="portrait"/>
          <w:cols w:equalWidth="0" w:num="1">
            <w:col w:w="11240"/>
          </w:cols>
          <w:pgMar w:left="320" w:top="121" w:right="339" w:bottom="1440" w:gutter="0" w:footer="0" w:header="0"/>
        </w:sectPr>
      </w:pPr>
    </w:p>
    <w:bookmarkStart w:id="60" w:name="page61"/>
    <w:bookmarkEnd w:id="60"/>
    <w:p>
      <w:pPr>
        <w:ind w:left="10320"/>
        <w:spacing w:after="0"/>
        <w:rPr>
          <w:sz w:val="20"/>
          <w:szCs w:val="20"/>
          <w:color w:val="auto"/>
        </w:rPr>
      </w:pPr>
      <w:r>
        <w:rPr>
          <w:rFonts w:ascii="Arial" w:cs="Arial" w:eastAsia="Arial" w:hAnsi="Arial"/>
          <w:sz w:val="16"/>
          <w:szCs w:val="16"/>
          <w:b w:val="1"/>
          <w:bCs w:val="1"/>
          <w:color w:val="auto"/>
        </w:rPr>
        <w:t>Exhibit 10.4</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Award (the “2008 Plan”). You were notified of your Award by way of an award notice (the “Award Notice”). All capitalized terms used herein, to the extent not defined, shall have the meaning as set forth in the 2008 Plan.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Continuous Service</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order for RSUs to vest, you must maintain service as a director of LendingTree or any of its Subsidiaries or Affiliates during the Restriction Period (as defined below) or as otherwise provided in the Vesting section below. Nothing in your Award Notice, these Terms and Conditions, or the 2008 Plan shall confer upon you any right to continue in the service of LendingTree or any of its Subsidiaries or Affiliates or interfere in any way with their rights to terminate your service at any time and for any or no reason.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Subject to the Award Notice, these Terms and Conditions and the 2008 Plan, the RSUs in respect to your Award shall vest and no longer be subject to satisfaction of any restriction as set forth in the Vesting Schedule section of the Award Notice. The period during which such restrictions apply is the “Restriction Period.”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vesting of your Award is conditioned upon your continuous service as a director of LendingTree or its Subsidiaries or Affiliates through each respective vesting date.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the foregoing, 100% of your then-outstanding and unvested portion of your Award shall vest upon the occurrence of a Change in Control which occurs during your service with LendingTree (or any Subsidiary or Affiliate). The term “Change in Control” is defined in the 2008 Plan, and includes certain events affecting LendingTree (not events only affecting specific businesses of LendingTree).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Notwithstanding the foregoing, in the event you experience a termination of service due to your death or Disability, then 100% of your then-outstanding and unvested portion of your Award shall vest upon such termination of service.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Service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the termination of your service with LendingTree or any of its Subsidiaries or Affiliates during the Restriction Period for any reason, any unvested portion of this RSU Award shall be forfeited and canceled in its entirety without consideration effective immediately upon such termination of service.</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For the avoidance of doubt, transfers of service among the Company and its Subsidiaries and Affiliates, without any break in service, is not a termination of service.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Settlement</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 soon as practicable after any RSUs in respect of your Award have vested and are no longer subject to the restrictions that apply during the Restriction Period (but in no event later than two and one-half months after the end of the fiscal year in which the RSUs vest), such RSUs shall be settled. For each RSU settled, LendingTree shall issue one Share (or cash equivalent) for each RSU that has vested. Notwithstanding the foregoing, LendingTree shall be entitled to hold the Shares or cash issuable to you upon settlement of all RSUs that have vested until LendingTree or the agent selected by LendingTree to administer the 2008 Plan (the “Agent”) has received from you a duly executed Form W-9 or W-8.</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the RSUs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Until such time as your RSUs are ultimately settled, they shall not be transferable by you by means of sale, assignment, exchange, encumbrance, pledge, hedge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Rights as a Stockholder</w:t>
      </w: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Except as otherwise specifically provided in the 2008 Plan, unless and until your RSUs are settled with Shares, you shall not be entitled to any rights of a stockholder with respect to the RSUs (including the right to vote the underlying Shares or receive dividends). Notwithstanding the foregoing, if LendingTree declares and pays dividends on the Common Stock during the Restriction Period for particular RSUs in respect of your Award, you will be credited with additional amounts for each RSU underlying such Award equal to the dividend that would have been paid with respect to such RSU as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(and shall be settled at the same time as the underlying RSUs).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Restrictions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RSUs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of RSUs shall not be effective unless such listing, registration, qualification, consent or approval shall have been effected or obtained free of any conditions not acceptable to the Committee.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and Interpretation</w:t>
      </w:r>
    </w:p>
    <w:p>
      <w:pPr>
        <w:spacing w:after="0" w:line="22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In the event of any conflict between these Terms and Conditions and the 2008 Plan, the 2008 Plan shall control; provided, that an action or provision that is permissive under the terms of the 2008 Plan, 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LendingTree’s intranet or given to you directly or indirectly through the Agent (including information posted on </w:t>
      </w:r>
      <w:r>
        <w:rPr>
          <w:rFonts w:ascii="Arial" w:cs="Arial" w:eastAsia="Arial" w:hAnsi="Arial"/>
          <w:sz w:val="22"/>
          <w:szCs w:val="22"/>
          <w:u w:val="single" w:color="auto"/>
          <w:color w:val="0000FF"/>
        </w:rPr>
        <w:t>https://us.etrade.com/stock-plans</w:t>
      </w:r>
      <w:r>
        <w:rPr>
          <w:rFonts w:ascii="Arial" w:cs="Arial" w:eastAsia="Arial" w:hAnsi="Arial"/>
          <w:sz w:val="22"/>
          <w:szCs w:val="22"/>
          <w:color w:val="auto"/>
        </w:rPr>
        <w:t xml:space="preserve">) and LendingTree’s books and records, or (ii) ambiguity in the Award Notice (or any information posted on LendingTree’s intranet or given to you directly or indirectly through the Agent (including information posted on </w:t>
      </w:r>
      <w:r>
        <w:rPr>
          <w:rFonts w:ascii="Arial" w:cs="Arial" w:eastAsia="Arial" w:hAnsi="Arial"/>
          <w:sz w:val="22"/>
          <w:szCs w:val="22"/>
          <w:u w:val="single" w:color="auto"/>
          <w:color w:val="0000FF"/>
        </w:rPr>
        <w:t>https://us.etrade.com/stock-plans</w:t>
      </w:r>
      <w:r>
        <w:rPr>
          <w:rFonts w:ascii="Arial" w:cs="Arial" w:eastAsia="Arial" w:hAnsi="Arial"/>
          <w:sz w:val="22"/>
          <w:szCs w:val="22"/>
          <w:color w:val="auto"/>
        </w:rPr>
        <w:t>), LendingTree’s books and records shall control.</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LendingTree may modify, amend or waive the terms of your RSUs, prospectively or retroactively, but no such modification, amendment or waiver shall materially impair your rights without your consent, except as required by applicable law, NASDAQ or stock exchange rules, tax rules or accounting rules.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Protection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acceptance of your RSUs constitutes your authorization of the release from time to time to LendingTree or any of its Subsidiaries or Affiliates and to the Agent (together, the “Relevant Companies”) of any and all</w:t>
      </w:r>
    </w:p>
    <w:p>
      <w:pPr>
        <w:sectPr>
          <w:pgSz w:w="11900" w:h="16838" w:orient="portrait"/>
          <w:cols w:equalWidth="0" w:num="1">
            <w:col w:w="11240"/>
          </w:cols>
          <w:pgMar w:left="320" w:top="121" w:right="339" w:bottom="1440" w:gutter="0" w:footer="0" w:header="0"/>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10.4</w:t>
      </w:r>
    </w:p>
    <w:p>
      <w:pPr>
        <w:spacing w:after="0" w:line="25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personal or professional data that is necessary or desirable for the administration of your RSUs and/or the 2008 Plan (the “Relevant Information”). Without limiting the above, this authorization permits LendingTree to collect, process, register and transfer to the Relevant Companies all Relevant Information (including any professional and personal data that may be useful or necessary for the purposes of the administration of your RSUs and/or the 2008 Plan and/or to implement or structure any further grants of equity awards (if any)). The acceptance of your RSUs also constitutes your authorization of the transfer of the Relevant Information to any jurisdiction in which LendingTree or the Agent considers appropriate. You shall have access to, and the right to change, the Relevant Information, which will only be used in accordance with applicable law.</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Sections 409A, 280G and 4999 of the Code</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Your Award is not intended to constitute “nonqualified deferred compensation” within the meaning of Section 409A of the Code and related rules and regulations (“Section 409A”). In no event shall LendingTree be required </w:t>
      </w:r>
      <w:r>
        <w:rPr>
          <w:rFonts w:ascii="Arial" w:cs="Arial" w:eastAsia="Arial" w:hAnsi="Arial"/>
          <w:sz w:val="22"/>
          <w:szCs w:val="22"/>
          <w:b w:val="1"/>
          <w:bCs w:val="1"/>
          <w:color w:val="auto"/>
        </w:rPr>
        <w:t>t</w:t>
      </w:r>
      <w:r>
        <w:rPr>
          <w:rFonts w:ascii="Arial" w:cs="Arial" w:eastAsia="Arial" w:hAnsi="Arial"/>
          <w:sz w:val="22"/>
          <w:szCs w:val="22"/>
          <w:color w:val="auto"/>
        </w:rPr>
        <w:t>o pay you any “gross-up” or other payment with respect to any taxes or penalties imposed under Section 409A (or Code Section 280G or 4999) with respect to any amounts or benefits paid to you in respect of your Award.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 of Changes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changes to these Terms and Conditions shall either be posted on LendingTree’s intranet or communicated (either directly by LendingTree or indirectly through any of its Subsidiaries, Affiliates or the Agent) to you electronically via e-mail (or otherwise in writing) after such change becomes effective.</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LendingTree,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3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LendingTree,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3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20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2020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240" w:firstLine="8"/>
        <w:spacing w:after="0" w:line="465"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August 4, 2020</w:t>
      </w:r>
    </w:p>
    <w:p>
      <w:pPr>
        <w:spacing w:after="0" w:line="3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3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94" w:lineRule="exact"/>
        <w:rPr>
          <w:sz w:val="20"/>
          <w:szCs w:val="20"/>
          <w:color w:val="auto"/>
        </w:rPr>
      </w:pPr>
    </w:p>
    <w:p>
      <w:pPr>
        <w:ind w:left="340" w:right="20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2020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240" w:firstLine="8"/>
        <w:spacing w:after="0" w:line="465"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August 4, 2020</w:t>
      </w:r>
    </w:p>
    <w:p>
      <w:pPr>
        <w:spacing w:after="0" w:line="3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6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9" Type="http://schemas.openxmlformats.org/officeDocument/2006/relationships/hyperlink" Target="http://www.sec.gov/Archives/edgar/data/1434621/000110465908054882/a08-22125_1ex3d1.htm" TargetMode="External"/><Relationship Id="rId20"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2020-08-04T15:18:54Z</dcterms:created>
  <dcterms:modified xsi:type="dcterms:W3CDTF">2020-08-04T15:18:54Z</dcterms:modified>
</cp:coreProperties>
</file>