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161290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46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8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39" w:orient="portrait"/>
          <w:cols w:equalWidth="0" w:num="1">
            <w:col w:w="11240"/>
          </w:cols>
          <w:pgMar w:left="240" w:top="685" w:right="419" w:bottom="0" w:gutter="0" w:footer="0" w:header="0"/>
        </w:sectPr>
      </w:pPr>
    </w:p>
    <w:p>
      <w:pPr>
        <w:spacing w:after="0" w:line="20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760"/>
        <w:spacing w:after="0"/>
        <w:rPr>
          <w:sz w:val="20"/>
          <w:szCs w:val="20"/>
          <w:color w:val="auto"/>
        </w:rPr>
      </w:pPr>
      <w:r>
        <w:rPr>
          <w:rFonts w:ascii="Arial" w:cs="Arial" w:eastAsia="Arial" w:hAnsi="Arial"/>
          <w:sz w:val="18"/>
          <w:szCs w:val="18"/>
          <w:b w:val="1"/>
          <w:bCs w:val="1"/>
          <w:color w:val="auto"/>
        </w:rPr>
        <w:t>26-2414818</w:t>
      </w:r>
    </w:p>
    <w:p>
      <w:pPr>
        <w:spacing w:after="0" w:line="21" w:lineRule="exact"/>
        <w:rPr>
          <w:sz w:val="24"/>
          <w:szCs w:val="24"/>
          <w:color w:val="auto"/>
        </w:rPr>
      </w:pPr>
    </w:p>
    <w:p>
      <w:pPr>
        <w:jc w:val="center"/>
        <w:ind w:right="276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939" w:orient="portrait"/>
          <w:cols w:equalWidth="0" w:num="2">
            <w:col w:w="5280" w:space="640"/>
            <w:col w:w="5320"/>
          </w:cols>
          <w:pgMar w:left="240" w:top="685" w:right="419" w:bottom="0" w:gutter="0" w:footer="0" w:header="0"/>
          <w:type w:val="continuous"/>
        </w:sectPr>
      </w:pP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Registrant's principal executive offices)</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ind w:left="3080"/>
        <w:spacing w:after="0"/>
        <w:tabs>
          <w:tab w:leader="none" w:pos="618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6"/>
          <w:szCs w:val="16"/>
          <w:color w:val="auto"/>
        </w:rPr>
        <w:t>Registered on the NASDAQ</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Exchange</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right="134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Indicated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40" w:firstLine="395"/>
        <w:spacing w:after="0" w:line="332"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w:t>
      </w:r>
    </w:p>
    <w:p>
      <w:pPr>
        <w:sectPr>
          <w:pgSz w:w="11900" w:h="16939" w:orient="portrait"/>
          <w:cols w:equalWidth="0" w:num="1">
            <w:col w:w="11240"/>
          </w:cols>
          <w:pgMar w:left="240" w:top="685" w:right="4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amendment to this Form 10-K. o</w:t>
      </w:r>
    </w:p>
    <w:p>
      <w:pPr>
        <w:spacing w:after="0" w:line="225" w:lineRule="exact"/>
        <w:rPr>
          <w:sz w:val="20"/>
          <w:szCs w:val="20"/>
          <w:color w:val="auto"/>
        </w:rPr>
      </w:pPr>
    </w:p>
    <w:p>
      <w:pPr>
        <w:ind w:right="26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63" w:lineRule="exact"/>
        <w:rPr>
          <w:sz w:val="20"/>
          <w:szCs w:val="20"/>
          <w:color w:val="auto"/>
        </w:rPr>
      </w:pPr>
    </w:p>
    <w:p>
      <w:pPr>
        <w:sectPr>
          <w:pgSz w:w="11900" w:h="16838" w:orient="portrait"/>
          <w:cols w:equalWidth="0" w:num="4">
            <w:col w:w="2580" w:space="720"/>
            <w:col w:w="1800" w:space="720"/>
            <w:col w:w="2360" w:space="720"/>
            <w:col w:w="2520"/>
          </w:cols>
          <w:pgMar w:left="240" w:top="131" w:right="239" w:bottom="1440" w:gutter="0" w:footer="0" w:header="0"/>
          <w:type w:val="continuous"/>
        </w:sectPr>
      </w:pPr>
    </w:p>
    <w:p>
      <w:pPr>
        <w:jc w:val="center"/>
        <w:ind w:left="1900"/>
        <w:spacing w:after="0"/>
        <w:rPr>
          <w:sz w:val="20"/>
          <w:szCs w:val="20"/>
          <w:color w:val="auto"/>
        </w:rPr>
      </w:pPr>
      <w:r>
        <w:rPr>
          <w:rFonts w:ascii="Arial" w:cs="Arial" w:eastAsia="Arial" w:hAnsi="Arial"/>
          <w:sz w:val="12"/>
          <w:szCs w:val="12"/>
          <w:color w:val="auto"/>
        </w:rPr>
        <w:t>(Do not check if a smaller</w:t>
      </w:r>
    </w:p>
    <w:p>
      <w:pPr>
        <w:jc w:val="center"/>
        <w:ind w:left="190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131" w:right="239" w:bottom="1440" w:gutter="0" w:footer="0" w:header="0"/>
          <w:type w:val="continuous"/>
        </w:sectPr>
      </w:pPr>
    </w:p>
    <w:p>
      <w:pPr>
        <w:spacing w:after="0" w:line="1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60" w:space="160"/>
            <w:col w:w="2400"/>
          </w:cols>
          <w:pgMar w:left="240" w:top="131" w:right="239" w:bottom="1440" w:gutter="0" w:footer="0" w:header="0"/>
          <w:type w:val="continuous"/>
        </w:sectPr>
      </w:pPr>
    </w:p>
    <w:p>
      <w:pPr>
        <w:spacing w:after="0" w:line="60" w:lineRule="exact"/>
        <w:rPr>
          <w:sz w:val="20"/>
          <w:szCs w:val="20"/>
          <w:color w:val="auto"/>
        </w:rPr>
      </w:pPr>
    </w:p>
    <w:p>
      <w:pPr>
        <w:ind w:firstLine="385"/>
        <w:spacing w:after="0" w:line="268" w:lineRule="auto"/>
        <w:rPr>
          <w:sz w:val="20"/>
          <w:szCs w:val="20"/>
          <w:color w:val="auto"/>
        </w:rPr>
      </w:pPr>
      <w:r>
        <w:rPr>
          <w:rFonts w:ascii="Arial" w:cs="Arial" w:eastAsia="Arial" w:hAnsi="Arial"/>
          <w:sz w:val="18"/>
          <w:szCs w:val="18"/>
          <w:color w:val="auto"/>
        </w:rPr>
        <w:t>As of June 30, 2008, there was no established public market for the registrant's common stock. Shares began trading August 21, 2008 after completion of the Spin-Off from IAC/ InterActiveCorp ("IAC").</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24, 2009, there were 9,980,388 shares of the Registrant's common stock, par value $.01 per share, outstanding.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Portions of the Registrant's proxy statement for its 2009 Annual Meeting of Stockholders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326390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20" w:type="dxa"/>
            <w:vAlign w:val="bottom"/>
            <w:gridSpan w:val="17"/>
          </w:tcPr>
          <w:p>
            <w:pPr>
              <w:ind w:left="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54"/>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780" w:type="dxa"/>
            <w:vAlign w:val="bottom"/>
          </w:tcPr>
          <w:p>
            <w:pPr>
              <w:spacing w:after="0"/>
              <w:rPr>
                <w:sz w:val="24"/>
                <w:szCs w:val="24"/>
                <w:color w:val="auto"/>
              </w:rPr>
            </w:pPr>
          </w:p>
        </w:tc>
      </w:tr>
      <w:tr>
        <w:trPr>
          <w:trHeight w:val="16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Number</w:t>
            </w:r>
          </w:p>
        </w:tc>
        <w:tc>
          <w:tcPr>
            <w:tcW w:w="780" w:type="dxa"/>
            <w:vAlign w:val="bottom"/>
          </w:tcPr>
          <w:p>
            <w:pPr>
              <w:spacing w:after="0"/>
              <w:rPr>
                <w:sz w:val="14"/>
                <w:szCs w:val="14"/>
                <w:color w:val="auto"/>
              </w:rPr>
            </w:pPr>
          </w:p>
        </w:tc>
      </w:tr>
      <w:tr>
        <w:trPr>
          <w:trHeight w:val="385"/>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tcPr>
          <w:p>
            <w:pPr>
              <w:jc w:val="center"/>
              <w:ind w:right="392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b w:val="1"/>
                <w:bCs w:val="1"/>
                <w:color w:val="0000EE"/>
                <w:w w:val="87"/>
              </w:rPr>
            </w:pPr>
            <w:hyperlink w:anchor="page4">
              <w:r>
                <w:rPr>
                  <w:rFonts w:ascii="Arial" w:cs="Arial" w:eastAsia="Arial" w:hAnsi="Arial"/>
                  <w:sz w:val="18"/>
                  <w:szCs w:val="18"/>
                  <w:b w:val="1"/>
                  <w:bCs w:val="1"/>
                  <w:color w:val="0000EE"/>
                  <w:w w:val="87"/>
                </w:rPr>
                <w:t>Item 1.</w:t>
              </w:r>
            </w:hyperlink>
          </w:p>
        </w:tc>
        <w:tc>
          <w:tcPr>
            <w:tcW w:w="520" w:type="dxa"/>
            <w:vAlign w:val="bottom"/>
            <w:gridSpan w:val="5"/>
          </w:tcPr>
          <w:p>
            <w:pPr>
              <w:spacing w:after="0"/>
              <w:rPr>
                <w:sz w:val="24"/>
                <w:szCs w:val="24"/>
                <w:color w:val="auto"/>
              </w:rPr>
            </w:pPr>
          </w:p>
        </w:tc>
        <w:tc>
          <w:tcPr>
            <w:tcW w:w="3800" w:type="dxa"/>
            <w:vAlign w:val="bottom"/>
            <w:gridSpan w:val="16"/>
          </w:tcPr>
          <w:p>
            <w:pPr>
              <w:spacing w:after="0"/>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Business</w:t>
              </w:r>
            </w:hyperlink>
          </w:p>
        </w:tc>
        <w:tc>
          <w:tcPr>
            <w:tcW w:w="560" w:type="dxa"/>
            <w:vAlign w:val="bottom"/>
            <w:tcBorders>
              <w:top w:val="single" w:sz="8" w:color="0000EE"/>
            </w:tcBorders>
            <w:gridSpan w:val="2"/>
          </w:tcPr>
          <w:p>
            <w:pPr>
              <w:spacing w:after="0"/>
              <w:rPr>
                <w:sz w:val="24"/>
                <w:szCs w:val="24"/>
                <w:color w:val="auto"/>
              </w:rPr>
            </w:pPr>
          </w:p>
        </w:tc>
        <w:tc>
          <w:tcPr>
            <w:tcW w:w="3960" w:type="dxa"/>
            <w:vAlign w:val="bottom"/>
            <w:gridSpan w:val="9"/>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7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Item 1A.</w:t>
              </w:r>
            </w:hyperlink>
          </w:p>
        </w:tc>
        <w:tc>
          <w:tcPr>
            <w:tcW w:w="380" w:type="dxa"/>
            <w:vAlign w:val="bottom"/>
            <w:gridSpan w:val="2"/>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9">
              <w:r>
                <w:rPr>
                  <w:rFonts w:ascii="Arial" w:cs="Arial" w:eastAsia="Arial" w:hAnsi="Arial"/>
                  <w:sz w:val="18"/>
                  <w:szCs w:val="18"/>
                  <w:b w:val="1"/>
                  <w:bCs w:val="1"/>
                  <w:i w:val="1"/>
                  <w:iCs w:val="1"/>
                  <w:color w:val="0000EE"/>
                </w:rPr>
                <w:t>Risk Factors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Item 1B.</w:t>
              </w:r>
            </w:hyperlink>
          </w:p>
        </w:tc>
        <w:tc>
          <w:tcPr>
            <w:tcW w:w="380" w:type="dxa"/>
            <w:vAlign w:val="bottom"/>
            <w:gridSpan w:val="2"/>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3"/>
              </w:rPr>
            </w:pPr>
            <w:hyperlink w:anchor="page20">
              <w:r>
                <w:rPr>
                  <w:rFonts w:ascii="Arial" w:cs="Arial" w:eastAsia="Arial" w:hAnsi="Arial"/>
                  <w:sz w:val="18"/>
                  <w:szCs w:val="18"/>
                  <w:b w:val="1"/>
                  <w:bCs w:val="1"/>
                  <w:i w:val="1"/>
                  <w:iCs w:val="1"/>
                  <w:color w:val="0000EE"/>
                  <w:w w:val="83"/>
                </w:rPr>
                <w:t>Unresolved Staff Comments</w:t>
              </w:r>
            </w:hyperlink>
          </w:p>
        </w:tc>
        <w:tc>
          <w:tcPr>
            <w:tcW w:w="6280" w:type="dxa"/>
            <w:vAlign w:val="bottom"/>
            <w:gridSpan w:val="18"/>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Item 2.</w:t>
              </w:r>
            </w:hyperlink>
          </w:p>
        </w:tc>
        <w:tc>
          <w:tcPr>
            <w:tcW w:w="520" w:type="dxa"/>
            <w:vAlign w:val="bottom"/>
            <w:gridSpan w:val="5"/>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20">
              <w:r>
                <w:rPr>
                  <w:rFonts w:ascii="Arial" w:cs="Arial" w:eastAsia="Arial" w:hAnsi="Arial"/>
                  <w:sz w:val="18"/>
                  <w:szCs w:val="18"/>
                  <w:b w:val="1"/>
                  <w:bCs w:val="1"/>
                  <w:i w:val="1"/>
                  <w:iCs w:val="1"/>
                  <w:color w:val="0000EE"/>
                </w:rPr>
                <w:t>Properties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b w:val="1"/>
                <w:bCs w:val="1"/>
                <w:color w:val="0000EE"/>
                <w:w w:val="87"/>
              </w:rPr>
            </w:pPr>
            <w:hyperlink w:anchor="page21">
              <w:r>
                <w:rPr>
                  <w:rFonts w:ascii="Arial" w:cs="Arial" w:eastAsia="Arial" w:hAnsi="Arial"/>
                  <w:sz w:val="18"/>
                  <w:szCs w:val="18"/>
                  <w:b w:val="1"/>
                  <w:bCs w:val="1"/>
                  <w:color w:val="0000EE"/>
                  <w:w w:val="87"/>
                </w:rPr>
                <w:t>Item 3.</w:t>
              </w:r>
            </w:hyperlink>
          </w:p>
        </w:tc>
        <w:tc>
          <w:tcPr>
            <w:tcW w:w="520" w:type="dxa"/>
            <w:vAlign w:val="bottom"/>
            <w:gridSpan w:val="5"/>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21">
              <w:r>
                <w:rPr>
                  <w:rFonts w:ascii="Arial" w:cs="Arial" w:eastAsia="Arial" w:hAnsi="Arial"/>
                  <w:sz w:val="18"/>
                  <w:szCs w:val="18"/>
                  <w:b w:val="1"/>
                  <w:bCs w:val="1"/>
                  <w:i w:val="1"/>
                  <w:iCs w:val="1"/>
                  <w:color w:val="0000EE"/>
                </w:rPr>
                <w:t>Legal Proceedings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b w:val="1"/>
                <w:bCs w:val="1"/>
                <w:color w:val="0000EE"/>
                <w:w w:val="87"/>
              </w:rPr>
            </w:pPr>
            <w:hyperlink w:anchor="page31">
              <w:r>
                <w:rPr>
                  <w:rFonts w:ascii="Arial" w:cs="Arial" w:eastAsia="Arial" w:hAnsi="Arial"/>
                  <w:sz w:val="18"/>
                  <w:szCs w:val="18"/>
                  <w:b w:val="1"/>
                  <w:bCs w:val="1"/>
                  <w:color w:val="0000EE"/>
                  <w:w w:val="87"/>
                </w:rPr>
                <w:t>Item 4.</w:t>
              </w:r>
            </w:hyperlink>
          </w:p>
        </w:tc>
        <w:tc>
          <w:tcPr>
            <w:tcW w:w="520" w:type="dxa"/>
            <w:vAlign w:val="bottom"/>
            <w:gridSpan w:val="5"/>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Submission of Matters to a Vote of Security Holders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392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Item 5.</w:t>
              </w:r>
            </w:hyperlink>
          </w:p>
        </w:tc>
        <w:tc>
          <w:tcPr>
            <w:tcW w:w="520" w:type="dxa"/>
            <w:vAlign w:val="bottom"/>
            <w:gridSpan w:val="5"/>
          </w:tcPr>
          <w:p>
            <w:pPr>
              <w:spacing w:after="0"/>
              <w:rPr>
                <w:sz w:val="24"/>
                <w:szCs w:val="24"/>
                <w:color w:val="auto"/>
              </w:rPr>
            </w:pPr>
          </w:p>
        </w:tc>
        <w:tc>
          <w:tcPr>
            <w:tcW w:w="8320" w:type="dxa"/>
            <w:vAlign w:val="bottom"/>
            <w:gridSpan w:val="27"/>
          </w:tcPr>
          <w:p>
            <w:pPr>
              <w:spacing w:after="0"/>
              <w:rPr>
                <w:rFonts w:ascii="Arial" w:cs="Arial" w:eastAsia="Arial" w:hAnsi="Arial"/>
                <w:sz w:val="18"/>
                <w:szCs w:val="18"/>
                <w:b w:val="1"/>
                <w:bCs w:val="1"/>
                <w:i w:val="1"/>
                <w:iCs w:val="1"/>
                <w:color w:val="0000EE"/>
                <w:w w:val="86"/>
              </w:rPr>
            </w:pPr>
            <w:hyperlink w:anchor="page32">
              <w:r>
                <w:rPr>
                  <w:rFonts w:ascii="Arial" w:cs="Arial" w:eastAsia="Arial" w:hAnsi="Arial"/>
                  <w:sz w:val="18"/>
                  <w:szCs w:val="18"/>
                  <w:b w:val="1"/>
                  <w:bCs w:val="1"/>
                  <w:i w:val="1"/>
                  <w:iCs w:val="1"/>
                  <w:color w:val="0000EE"/>
                  <w:w w:val="86"/>
                </w:rPr>
                <w:t>Market for Registrant's Common Equity, Related Stockholder Matters and Issuer Purchases of Equity Securities</w:t>
              </w:r>
            </w:hyperlink>
          </w:p>
        </w:tc>
        <w:tc>
          <w:tcPr>
            <w:tcW w:w="48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Item 6.</w:t>
              </w:r>
            </w:hyperlink>
          </w:p>
        </w:tc>
        <w:tc>
          <w:tcPr>
            <w:tcW w:w="520" w:type="dxa"/>
            <w:vAlign w:val="bottom"/>
            <w:gridSpan w:val="5"/>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i w:val="1"/>
                <w:iCs w:val="1"/>
                <w:color w:val="0000EE"/>
                <w:w w:val="86"/>
              </w:rPr>
            </w:pPr>
            <w:hyperlink w:anchor="page33">
              <w:r>
                <w:rPr>
                  <w:rFonts w:ascii="Arial" w:cs="Arial" w:eastAsia="Arial" w:hAnsi="Arial"/>
                  <w:sz w:val="18"/>
                  <w:szCs w:val="18"/>
                  <w:b w:val="1"/>
                  <w:bCs w:val="1"/>
                  <w:i w:val="1"/>
                  <w:iCs w:val="1"/>
                  <w:color w:val="0000EE"/>
                  <w:w w:val="86"/>
                </w:rPr>
                <w:t>Selected Financial Data</w:t>
              </w:r>
            </w:hyperlink>
          </w:p>
        </w:tc>
        <w:tc>
          <w:tcPr>
            <w:tcW w:w="6380" w:type="dxa"/>
            <w:vAlign w:val="bottom"/>
            <w:tcBorders>
              <w:top w:val="single" w:sz="8" w:color="0000EE"/>
            </w:tcBorders>
            <w:gridSpan w:val="20"/>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Item 7.</w:t>
              </w:r>
            </w:hyperlink>
          </w:p>
        </w:tc>
        <w:tc>
          <w:tcPr>
            <w:tcW w:w="520" w:type="dxa"/>
            <w:vAlign w:val="bottom"/>
            <w:gridSpan w:val="5"/>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34">
              <w:r>
                <w:rPr>
                  <w:rFonts w:ascii="Arial" w:cs="Arial" w:eastAsia="Arial" w:hAnsi="Arial"/>
                  <w:sz w:val="18"/>
                  <w:szCs w:val="18"/>
                  <w:b w:val="1"/>
                  <w:bCs w:val="1"/>
                  <w:i w:val="1"/>
                  <w:iCs w:val="1"/>
                  <w:color w:val="0000EE"/>
                </w:rPr>
                <w:t>Management's Discussion and Analysis of Financial Condition and Results of Operations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b w:val="1"/>
                <w:bCs w:val="1"/>
                <w:color w:val="0000EE"/>
                <w:w w:val="88"/>
              </w:rPr>
            </w:pPr>
            <w:hyperlink w:anchor="page46">
              <w:r>
                <w:rPr>
                  <w:rFonts w:ascii="Arial" w:cs="Arial" w:eastAsia="Arial" w:hAnsi="Arial"/>
                  <w:sz w:val="18"/>
                  <w:szCs w:val="18"/>
                  <w:b w:val="1"/>
                  <w:bCs w:val="1"/>
                  <w:color w:val="0000EE"/>
                  <w:w w:val="88"/>
                </w:rPr>
                <w:t>Item 7A.</w:t>
              </w:r>
            </w:hyperlink>
          </w:p>
        </w:tc>
        <w:tc>
          <w:tcPr>
            <w:tcW w:w="380" w:type="dxa"/>
            <w:vAlign w:val="bottom"/>
            <w:gridSpan w:val="2"/>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46">
              <w:r>
                <w:rPr>
                  <w:rFonts w:ascii="Arial" w:cs="Arial" w:eastAsia="Arial" w:hAnsi="Arial"/>
                  <w:sz w:val="18"/>
                  <w:szCs w:val="18"/>
                  <w:b w:val="1"/>
                  <w:bCs w:val="1"/>
                  <w:i w:val="1"/>
                  <w:iCs w:val="1"/>
                  <w:color w:val="0000EE"/>
                </w:rPr>
                <w:t>Quantitative and Qualitative Disclosures About Market Risk</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Item 8.</w:t>
              </w:r>
            </w:hyperlink>
          </w:p>
        </w:tc>
        <w:tc>
          <w:tcPr>
            <w:tcW w:w="140" w:type="dxa"/>
            <w:vAlign w:val="bottom"/>
            <w:tcBorders>
              <w:top w:val="single" w:sz="8" w:color="0000EE"/>
            </w:tcBorders>
            <w:gridSpan w:val="3"/>
          </w:tcPr>
          <w:p>
            <w:pPr>
              <w:spacing w:after="0"/>
              <w:rPr>
                <w:sz w:val="17"/>
                <w:szCs w:val="17"/>
                <w:color w:val="auto"/>
              </w:rPr>
            </w:pPr>
          </w:p>
        </w:tc>
        <w:tc>
          <w:tcPr>
            <w:tcW w:w="380" w:type="dxa"/>
            <w:vAlign w:val="bottom"/>
            <w:gridSpan w:val="2"/>
          </w:tcPr>
          <w:p>
            <w:pPr>
              <w:spacing w:after="0"/>
              <w:rPr>
                <w:sz w:val="17"/>
                <w:szCs w:val="17"/>
                <w:color w:val="auto"/>
              </w:rPr>
            </w:pPr>
          </w:p>
        </w:tc>
        <w:tc>
          <w:tcPr>
            <w:tcW w:w="3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i w:val="1"/>
                <w:iCs w:val="1"/>
                <w:color w:val="0000EE"/>
                <w:w w:val="85"/>
              </w:rPr>
            </w:pPr>
            <w:hyperlink w:anchor="page48">
              <w:r>
                <w:rPr>
                  <w:rFonts w:ascii="Arial" w:cs="Arial" w:eastAsia="Arial" w:hAnsi="Arial"/>
                  <w:sz w:val="18"/>
                  <w:szCs w:val="18"/>
                  <w:b w:val="1"/>
                  <w:bCs w:val="1"/>
                  <w:i w:val="1"/>
                  <w:iCs w:val="1"/>
                  <w:color w:val="0000EE"/>
                  <w:w w:val="85"/>
                </w:rPr>
                <w:t>Financial Statements and Supplementary Data</w:t>
              </w:r>
            </w:hyperlink>
          </w:p>
        </w:tc>
        <w:tc>
          <w:tcPr>
            <w:tcW w:w="960" w:type="dxa"/>
            <w:vAlign w:val="bottom"/>
            <w:tcBorders>
              <w:top w:val="single" w:sz="8" w:color="0000EE"/>
            </w:tcBorders>
            <w:gridSpan w:val="6"/>
          </w:tcPr>
          <w:p>
            <w:pPr>
              <w:spacing w:after="0"/>
              <w:rPr>
                <w:sz w:val="17"/>
                <w:szCs w:val="17"/>
                <w:color w:val="auto"/>
              </w:rPr>
            </w:pPr>
          </w:p>
        </w:tc>
        <w:tc>
          <w:tcPr>
            <w:tcW w:w="3960" w:type="dxa"/>
            <w:vAlign w:val="bottom"/>
            <w:gridSpan w:val="9"/>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45</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b w:val="1"/>
                <w:bCs w:val="1"/>
                <w:color w:val="0000EE"/>
                <w:w w:val="87"/>
              </w:rPr>
            </w:pPr>
            <w:hyperlink w:anchor="page91">
              <w:r>
                <w:rPr>
                  <w:rFonts w:ascii="Arial" w:cs="Arial" w:eastAsia="Arial" w:hAnsi="Arial"/>
                  <w:sz w:val="18"/>
                  <w:szCs w:val="18"/>
                  <w:b w:val="1"/>
                  <w:bCs w:val="1"/>
                  <w:color w:val="0000EE"/>
                  <w:w w:val="87"/>
                </w:rPr>
                <w:t>Item 9.</w:t>
              </w:r>
            </w:hyperlink>
          </w:p>
        </w:tc>
        <w:tc>
          <w:tcPr>
            <w:tcW w:w="520" w:type="dxa"/>
            <w:vAlign w:val="bottom"/>
            <w:gridSpan w:val="5"/>
          </w:tcPr>
          <w:p>
            <w:pPr>
              <w:spacing w:after="0"/>
              <w:rPr>
                <w:sz w:val="17"/>
                <w:szCs w:val="17"/>
                <w:color w:val="auto"/>
              </w:rPr>
            </w:pPr>
          </w:p>
        </w:tc>
        <w:tc>
          <w:tcPr>
            <w:tcW w:w="6580" w:type="dxa"/>
            <w:vAlign w:val="bottom"/>
            <w:tcBorders>
              <w:bottom w:val="single" w:sz="8" w:color="0000EE"/>
            </w:tcBorders>
            <w:gridSpan w:val="24"/>
          </w:tcPr>
          <w:p>
            <w:pPr>
              <w:spacing w:after="0" w:line="196" w:lineRule="exact"/>
              <w:rPr>
                <w:rFonts w:ascii="Arial" w:cs="Arial" w:eastAsia="Arial" w:hAnsi="Arial"/>
                <w:sz w:val="18"/>
                <w:szCs w:val="18"/>
                <w:b w:val="1"/>
                <w:bCs w:val="1"/>
                <w:i w:val="1"/>
                <w:iCs w:val="1"/>
                <w:color w:val="0000EE"/>
                <w:w w:val="85"/>
              </w:rPr>
            </w:pPr>
            <w:hyperlink w:anchor="page91">
              <w:r>
                <w:rPr>
                  <w:rFonts w:ascii="Arial" w:cs="Arial" w:eastAsia="Arial" w:hAnsi="Arial"/>
                  <w:sz w:val="18"/>
                  <w:szCs w:val="18"/>
                  <w:b w:val="1"/>
                  <w:bCs w:val="1"/>
                  <w:i w:val="1"/>
                  <w:iCs w:val="1"/>
                  <w:color w:val="0000EE"/>
                  <w:w w:val="85"/>
                </w:rPr>
                <w:t>Changes in and Disagreements with Accountants on Accounting and Financial Disclosure</w:t>
              </w:r>
            </w:hyperlink>
          </w:p>
        </w:tc>
        <w:tc>
          <w:tcPr>
            <w:tcW w:w="17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88</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360" w:type="dxa"/>
            <w:vAlign w:val="bottom"/>
            <w:gridSpan w:val="33"/>
          </w:tcPr>
          <w:p>
            <w:pPr>
              <w:spacing w:after="0" w:line="196" w:lineRule="exact"/>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 xml:space="preserve">Item 9A(T).  </w:t>
              </w:r>
              <w:r>
                <w:rPr>
                  <w:rFonts w:ascii="Arial" w:cs="Arial" w:eastAsia="Arial" w:hAnsi="Arial"/>
                  <w:sz w:val="18"/>
                  <w:szCs w:val="18"/>
                  <w:b w:val="1"/>
                  <w:bCs w:val="1"/>
                  <w:i w:val="1"/>
                  <w:iCs w:val="1"/>
                  <w:color w:val="0000EE"/>
                </w:rPr>
                <w:t>Controls and Procedures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Item 9B.</w:t>
              </w:r>
            </w:hyperlink>
          </w:p>
        </w:tc>
        <w:tc>
          <w:tcPr>
            <w:tcW w:w="160" w:type="dxa"/>
            <w:vAlign w:val="bottom"/>
          </w:tcPr>
          <w:p>
            <w:pPr>
              <w:spacing w:after="0"/>
              <w:rPr>
                <w:sz w:val="17"/>
                <w:szCs w:val="17"/>
                <w:color w:val="auto"/>
              </w:rPr>
            </w:pPr>
          </w:p>
        </w:tc>
        <w:tc>
          <w:tcPr>
            <w:tcW w:w="1820" w:type="dxa"/>
            <w:vAlign w:val="bottom"/>
            <w:tcBorders>
              <w:top w:val="single" w:sz="8" w:color="0000EE"/>
            </w:tcBorders>
            <w:gridSpan w:val="8"/>
          </w:tcPr>
          <w:p>
            <w:pPr>
              <w:spacing w:after="0" w:line="196" w:lineRule="exact"/>
              <w:rPr>
                <w:rFonts w:ascii="Arial" w:cs="Arial" w:eastAsia="Arial" w:hAnsi="Arial"/>
                <w:sz w:val="18"/>
                <w:szCs w:val="18"/>
                <w:b w:val="1"/>
                <w:bCs w:val="1"/>
                <w:i w:val="1"/>
                <w:iCs w:val="1"/>
                <w:color w:val="0000EE"/>
              </w:rPr>
            </w:pPr>
            <w:hyperlink w:anchor="page91">
              <w:r>
                <w:rPr>
                  <w:rFonts w:ascii="Arial" w:cs="Arial" w:eastAsia="Arial" w:hAnsi="Arial"/>
                  <w:sz w:val="18"/>
                  <w:szCs w:val="18"/>
                  <w:b w:val="1"/>
                  <w:bCs w:val="1"/>
                  <w:i w:val="1"/>
                  <w:iCs w:val="1"/>
                  <w:color w:val="0000EE"/>
                </w:rPr>
                <w:t>Other Information</w:t>
              </w:r>
            </w:hyperlink>
          </w:p>
        </w:tc>
        <w:tc>
          <w:tcPr>
            <w:tcW w:w="6500" w:type="dxa"/>
            <w:vAlign w:val="bottom"/>
            <w:gridSpan w:val="19"/>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88</w:t>
              </w:r>
            </w:hyperlink>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III</w:t>
              </w:r>
            </w:hyperlink>
          </w:p>
        </w:tc>
        <w:tc>
          <w:tcPr>
            <w:tcW w:w="388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92">
              <w:r>
                <w:rPr>
                  <w:rFonts w:ascii="Arial" w:cs="Arial" w:eastAsia="Arial" w:hAnsi="Arial"/>
                  <w:sz w:val="18"/>
                  <w:szCs w:val="18"/>
                  <w:b w:val="1"/>
                  <w:bCs w:val="1"/>
                  <w:color w:val="0000EE"/>
                  <w:w w:val="89"/>
                </w:rPr>
                <w:t>Item 10.</w:t>
              </w:r>
            </w:hyperlink>
          </w:p>
        </w:tc>
        <w:tc>
          <w:tcPr>
            <w:tcW w:w="420" w:type="dxa"/>
            <w:vAlign w:val="bottom"/>
            <w:gridSpan w:val="3"/>
          </w:tcPr>
          <w:p>
            <w:pPr>
              <w:spacing w:after="0"/>
              <w:rPr>
                <w:sz w:val="24"/>
                <w:szCs w:val="24"/>
                <w:color w:val="auto"/>
              </w:rPr>
            </w:pPr>
          </w:p>
        </w:tc>
        <w:tc>
          <w:tcPr>
            <w:tcW w:w="4120" w:type="dxa"/>
            <w:vAlign w:val="bottom"/>
            <w:tcBorders>
              <w:bottom w:val="single" w:sz="8" w:color="0000EE"/>
            </w:tcBorders>
            <w:gridSpan w:val="17"/>
          </w:tcPr>
          <w:p>
            <w:pPr>
              <w:spacing w:after="0"/>
              <w:rPr>
                <w:rFonts w:ascii="Arial" w:cs="Arial" w:eastAsia="Arial" w:hAnsi="Arial"/>
                <w:sz w:val="18"/>
                <w:szCs w:val="18"/>
                <w:b w:val="1"/>
                <w:bCs w:val="1"/>
                <w:i w:val="1"/>
                <w:iCs w:val="1"/>
                <w:color w:val="0000EE"/>
                <w:w w:val="84"/>
              </w:rPr>
            </w:pPr>
            <w:hyperlink w:anchor="page92">
              <w:r>
                <w:rPr>
                  <w:rFonts w:ascii="Arial" w:cs="Arial" w:eastAsia="Arial" w:hAnsi="Arial"/>
                  <w:sz w:val="18"/>
                  <w:szCs w:val="18"/>
                  <w:b w:val="1"/>
                  <w:bCs w:val="1"/>
                  <w:i w:val="1"/>
                  <w:iCs w:val="1"/>
                  <w:color w:val="0000EE"/>
                  <w:w w:val="84"/>
                </w:rPr>
                <w:t>Directors, Executive Officers and Corporate Governance</w:t>
              </w:r>
            </w:hyperlink>
          </w:p>
        </w:tc>
        <w:tc>
          <w:tcPr>
            <w:tcW w:w="420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c>
          <w:tcPr>
            <w:tcW w:w="7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600" w:type="dxa"/>
            <w:vAlign w:val="bottom"/>
            <w:gridSpan w:val="2"/>
          </w:tcPr>
          <w:p>
            <w:pPr>
              <w:spacing w:after="0" w:line="196" w:lineRule="exact"/>
              <w:rPr>
                <w:rFonts w:ascii="Arial" w:cs="Arial" w:eastAsia="Arial" w:hAnsi="Arial"/>
                <w:sz w:val="18"/>
                <w:szCs w:val="18"/>
                <w:b w:val="1"/>
                <w:bCs w:val="1"/>
                <w:color w:val="0000EE"/>
                <w:w w:val="86"/>
              </w:rPr>
            </w:pPr>
            <w:hyperlink w:anchor="page92">
              <w:r>
                <w:rPr>
                  <w:rFonts w:ascii="Arial" w:cs="Arial" w:eastAsia="Arial" w:hAnsi="Arial"/>
                  <w:sz w:val="18"/>
                  <w:szCs w:val="18"/>
                  <w:b w:val="1"/>
                  <w:bCs w:val="1"/>
                  <w:color w:val="0000EE"/>
                  <w:w w:val="86"/>
                </w:rPr>
                <w:t>Item 11.</w:t>
              </w:r>
            </w:hyperlink>
          </w:p>
        </w:tc>
        <w:tc>
          <w:tcPr>
            <w:tcW w:w="440" w:type="dxa"/>
            <w:vAlign w:val="bottom"/>
            <w:gridSpan w:val="4"/>
          </w:tcPr>
          <w:p>
            <w:pPr>
              <w:spacing w:after="0"/>
              <w:rPr>
                <w:sz w:val="17"/>
                <w:szCs w:val="17"/>
                <w:color w:val="auto"/>
              </w:rPr>
            </w:pPr>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92">
              <w:r>
                <w:rPr>
                  <w:rFonts w:ascii="Arial" w:cs="Arial" w:eastAsia="Arial" w:hAnsi="Arial"/>
                  <w:sz w:val="18"/>
                  <w:szCs w:val="18"/>
                  <w:b w:val="1"/>
                  <w:bCs w:val="1"/>
                  <w:i w:val="1"/>
                  <w:iCs w:val="1"/>
                  <w:color w:val="0000EE"/>
                </w:rPr>
                <w:t>Executive Compensation</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7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92">
              <w:r>
                <w:rPr>
                  <w:rFonts w:ascii="Arial" w:cs="Arial" w:eastAsia="Arial" w:hAnsi="Arial"/>
                  <w:sz w:val="18"/>
                  <w:szCs w:val="18"/>
                  <w:b w:val="1"/>
                  <w:bCs w:val="1"/>
                  <w:color w:val="0000EE"/>
                  <w:w w:val="89"/>
                </w:rPr>
                <w:t>Item 12.</w:t>
              </w:r>
            </w:hyperlink>
          </w:p>
        </w:tc>
        <w:tc>
          <w:tcPr>
            <w:tcW w:w="420" w:type="dxa"/>
            <w:vAlign w:val="bottom"/>
            <w:gridSpan w:val="3"/>
          </w:tcPr>
          <w:p>
            <w:pPr>
              <w:spacing w:after="0"/>
              <w:rPr>
                <w:sz w:val="17"/>
                <w:szCs w:val="17"/>
                <w:color w:val="auto"/>
              </w:rPr>
            </w:pPr>
          </w:p>
        </w:tc>
        <w:tc>
          <w:tcPr>
            <w:tcW w:w="7340" w:type="dxa"/>
            <w:vAlign w:val="bottom"/>
            <w:tcBorders>
              <w:bottom w:val="single" w:sz="8" w:color="0000EE"/>
            </w:tcBorders>
            <w:gridSpan w:val="25"/>
          </w:tcPr>
          <w:p>
            <w:pPr>
              <w:spacing w:after="0" w:line="196" w:lineRule="exact"/>
              <w:rPr>
                <w:rFonts w:ascii="Arial" w:cs="Arial" w:eastAsia="Arial" w:hAnsi="Arial"/>
                <w:sz w:val="18"/>
                <w:szCs w:val="18"/>
                <w:b w:val="1"/>
                <w:bCs w:val="1"/>
                <w:i w:val="1"/>
                <w:iCs w:val="1"/>
                <w:color w:val="0000EE"/>
                <w:w w:val="85"/>
              </w:rPr>
            </w:pPr>
            <w:hyperlink w:anchor="page92">
              <w:r>
                <w:rPr>
                  <w:rFonts w:ascii="Arial" w:cs="Arial" w:eastAsia="Arial" w:hAnsi="Arial"/>
                  <w:sz w:val="18"/>
                  <w:szCs w:val="18"/>
                  <w:b w:val="1"/>
                  <w:bCs w:val="1"/>
                  <w:i w:val="1"/>
                  <w:iCs w:val="1"/>
                  <w:color w:val="0000EE"/>
                  <w:w w:val="85"/>
                </w:rPr>
                <w:t>Security Ownership of Certain Beneficial Owners and Management and Related Stockholder Matters</w:t>
              </w:r>
            </w:hyperlink>
          </w:p>
        </w:tc>
        <w:tc>
          <w:tcPr>
            <w:tcW w:w="9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92">
              <w:r>
                <w:rPr>
                  <w:rFonts w:ascii="Arial" w:cs="Arial" w:eastAsia="Arial" w:hAnsi="Arial"/>
                  <w:sz w:val="18"/>
                  <w:szCs w:val="18"/>
                  <w:b w:val="1"/>
                  <w:bCs w:val="1"/>
                  <w:color w:val="0000EE"/>
                  <w:w w:val="89"/>
                </w:rPr>
                <w:t>Item 13.</w:t>
              </w:r>
            </w:hyperlink>
          </w:p>
        </w:tc>
        <w:tc>
          <w:tcPr>
            <w:tcW w:w="420" w:type="dxa"/>
            <w:vAlign w:val="bottom"/>
            <w:gridSpan w:val="3"/>
          </w:tcPr>
          <w:p>
            <w:pPr>
              <w:spacing w:after="0"/>
              <w:rPr>
                <w:sz w:val="17"/>
                <w:szCs w:val="17"/>
                <w:color w:val="auto"/>
              </w:rPr>
            </w:pPr>
          </w:p>
        </w:tc>
        <w:tc>
          <w:tcPr>
            <w:tcW w:w="5540" w:type="dxa"/>
            <w:vAlign w:val="bottom"/>
            <w:tcBorders>
              <w:bottom w:val="single" w:sz="8" w:color="0000EE"/>
            </w:tcBorders>
            <w:gridSpan w:val="22"/>
          </w:tcPr>
          <w:p>
            <w:pPr>
              <w:spacing w:after="0" w:line="196" w:lineRule="exact"/>
              <w:rPr>
                <w:rFonts w:ascii="Arial" w:cs="Arial" w:eastAsia="Arial" w:hAnsi="Arial"/>
                <w:sz w:val="18"/>
                <w:szCs w:val="18"/>
                <w:b w:val="1"/>
                <w:bCs w:val="1"/>
                <w:i w:val="1"/>
                <w:iCs w:val="1"/>
                <w:color w:val="0000EE"/>
                <w:w w:val="84"/>
              </w:rPr>
            </w:pPr>
            <w:hyperlink w:anchor="page92">
              <w:r>
                <w:rPr>
                  <w:rFonts w:ascii="Arial" w:cs="Arial" w:eastAsia="Arial" w:hAnsi="Arial"/>
                  <w:sz w:val="18"/>
                  <w:szCs w:val="18"/>
                  <w:b w:val="1"/>
                  <w:bCs w:val="1"/>
                  <w:i w:val="1"/>
                  <w:iCs w:val="1"/>
                  <w:color w:val="0000EE"/>
                  <w:w w:val="84"/>
                </w:rPr>
                <w:t>Certain Relationships and Related Transactions, and Director Independence</w:t>
              </w:r>
            </w:hyperlink>
          </w:p>
        </w:tc>
        <w:tc>
          <w:tcPr>
            <w:tcW w:w="27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c>
          <w:tcPr>
            <w:tcW w:w="7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40" w:type="dxa"/>
            <w:vAlign w:val="bottom"/>
            <w:gridSpan w:val="6"/>
          </w:tcPr>
          <w:p>
            <w:pPr>
              <w:spacing w:after="0" w:line="19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Item 14.</w:t>
              </w:r>
            </w:hyperlink>
          </w:p>
        </w:tc>
        <w:tc>
          <w:tcPr>
            <w:tcW w:w="8320" w:type="dxa"/>
            <w:vAlign w:val="bottom"/>
            <w:gridSpan w:val="27"/>
          </w:tcPr>
          <w:p>
            <w:pPr>
              <w:spacing w:after="0" w:line="196" w:lineRule="exact"/>
              <w:rPr>
                <w:rFonts w:ascii="Arial" w:cs="Arial" w:eastAsia="Arial" w:hAnsi="Arial"/>
                <w:sz w:val="18"/>
                <w:szCs w:val="18"/>
                <w:b w:val="1"/>
                <w:bCs w:val="1"/>
                <w:i w:val="1"/>
                <w:iCs w:val="1"/>
                <w:color w:val="0000EE"/>
              </w:rPr>
            </w:pPr>
            <w:hyperlink w:anchor="page92">
              <w:r>
                <w:rPr>
                  <w:rFonts w:ascii="Arial" w:cs="Arial" w:eastAsia="Arial" w:hAnsi="Arial"/>
                  <w:sz w:val="18"/>
                  <w:szCs w:val="18"/>
                  <w:b w:val="1"/>
                  <w:bCs w:val="1"/>
                  <w:i w:val="1"/>
                  <w:iCs w:val="1"/>
                  <w:color w:val="0000EE"/>
                </w:rPr>
                <w:t>Principal Accountant Fees and Services</w:t>
              </w:r>
            </w:hyperlink>
          </w:p>
        </w:tc>
        <w:tc>
          <w:tcPr>
            <w:tcW w:w="480" w:type="dxa"/>
            <w:vAlign w:val="bottom"/>
            <w:gridSpan w:val="3"/>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780" w:type="dxa"/>
            <w:vAlign w:val="bottom"/>
          </w:tcPr>
          <w:p>
            <w:pPr>
              <w:spacing w:after="0"/>
              <w:rPr>
                <w:sz w:val="17"/>
                <w:szCs w:val="17"/>
                <w:color w:val="auto"/>
              </w:rPr>
            </w:pPr>
          </w:p>
        </w:tc>
      </w:tr>
      <w:tr>
        <w:trPr>
          <w:trHeight w:val="412"/>
        </w:trPr>
        <w:tc>
          <w:tcPr>
            <w:tcW w:w="8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13"/>
          </w:tcPr>
          <w:p>
            <w:pPr>
              <w:jc w:val="center"/>
              <w:ind w:right="3900"/>
              <w:spacing w:after="0"/>
              <w:rPr>
                <w:rFonts w:ascii="Arial" w:cs="Arial" w:eastAsia="Arial" w:hAnsi="Arial"/>
                <w:sz w:val="18"/>
                <w:szCs w:val="18"/>
                <w:b w:val="1"/>
                <w:bCs w:val="1"/>
                <w:color w:val="0000EE"/>
                <w:w w:val="95"/>
              </w:rPr>
            </w:pPr>
            <w:hyperlink w:anchor="page93">
              <w:r>
                <w:rPr>
                  <w:rFonts w:ascii="Arial" w:cs="Arial" w:eastAsia="Arial" w:hAnsi="Arial"/>
                  <w:sz w:val="18"/>
                  <w:szCs w:val="18"/>
                  <w:b w:val="1"/>
                  <w:bCs w:val="1"/>
                  <w:color w:val="0000EE"/>
                  <w:w w:val="95"/>
                </w:rPr>
                <w:t>PART IV</w:t>
              </w:r>
            </w:hyperlink>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Item 15.</w:t>
              </w:r>
            </w:hyperlink>
          </w:p>
        </w:tc>
        <w:tc>
          <w:tcPr>
            <w:tcW w:w="3740" w:type="dxa"/>
            <w:vAlign w:val="bottom"/>
            <w:gridSpan w:val="14"/>
          </w:tcPr>
          <w:p>
            <w:pPr>
              <w:spacing w:after="0"/>
              <w:rPr>
                <w:rFonts w:ascii="Arial" w:cs="Arial" w:eastAsia="Arial" w:hAnsi="Arial"/>
                <w:sz w:val="18"/>
                <w:szCs w:val="18"/>
                <w:b w:val="1"/>
                <w:bCs w:val="1"/>
                <w:i w:val="1"/>
                <w:iCs w:val="1"/>
                <w:color w:val="0000EE"/>
                <w:w w:val="98"/>
              </w:rPr>
            </w:pPr>
            <w:hyperlink w:anchor="page93">
              <w:r>
                <w:rPr>
                  <w:rFonts w:ascii="Arial" w:cs="Arial" w:eastAsia="Arial" w:hAnsi="Arial"/>
                  <w:sz w:val="18"/>
                  <w:szCs w:val="18"/>
                  <w:b w:val="1"/>
                  <w:bCs w:val="1"/>
                  <w:i w:val="1"/>
                  <w:iCs w:val="1"/>
                  <w:color w:val="0000EE"/>
                  <w:w w:val="98"/>
                </w:rPr>
                <w:t>Exhibits and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3900" w:type="dxa"/>
            <w:vAlign w:val="bottom"/>
            <w:gridSpan w:val="7"/>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780" w:type="dxa"/>
            <w:vAlign w:val="bottom"/>
          </w:tcPr>
          <w:p>
            <w:pPr>
              <w:spacing w:after="0"/>
              <w:rPr>
                <w:sz w:val="24"/>
                <w:szCs w:val="24"/>
                <w:color w:val="auto"/>
              </w:rPr>
            </w:pPr>
          </w:p>
        </w:tc>
      </w:tr>
      <w:tr>
        <w:trPr>
          <w:trHeight w:val="139"/>
        </w:trPr>
        <w:tc>
          <w:tcPr>
            <w:tcW w:w="800" w:type="dxa"/>
            <w:vAlign w:val="bottom"/>
            <w:tcBorders>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20" w:type="dxa"/>
            <w:vAlign w:val="bottom"/>
            <w:tcBorders>
              <w:top w:val="single" w:sz="8" w:color="0000EE"/>
              <w:bottom w:val="single" w:sz="8" w:color="808080"/>
            </w:tcBorders>
          </w:tcPr>
          <w:p>
            <w:pPr>
              <w:spacing w:after="0"/>
              <w:rPr>
                <w:sz w:val="12"/>
                <w:szCs w:val="12"/>
                <w:color w:val="auto"/>
              </w:rPr>
            </w:pPr>
          </w:p>
        </w:tc>
        <w:tc>
          <w:tcPr>
            <w:tcW w:w="86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Overview</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Tree.com is the parent of LendingTree, LLC and is the indirect parent of several companies owned by LendingTree, LLC. LendingTree, LLC (formerly, LendingTree, Inc.) was incorporated in the state of Delaware in June 1996 and commenced nationwide operations in July 1998. LendingTree, Inc. was acquired by IAC/InterActiveCorp ("IAC") in 2003 and converted to a Delaware limited liability company (LendingTree, LLC) in December 2004. On August 20, 2008, Tree.com, Inc. (along with its subsidiary, LendingTree, LLC) was spun off from IAC into a separate publicly traded company. We refer to the separation transaction as the "spin-off." Tree.com was originally incorporated as a Delaware corporation in April 2008, in anticipation of the spin-off.</w:t>
      </w:r>
    </w:p>
    <w:p>
      <w:pPr>
        <w:spacing w:after="0" w:line="170"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Through its various subsidiaries, Tree.com currently operates a lending business (the "Lending Business") and a real estate business (the "Real Estate Business").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Lending Business consists of online networks and call centers, principally LendingTree.com and GetSmart.com, which match consumers with lenders and loan brokers. In addition, the Lending Business originates, processes, approves and funds various types of residential real estate loans under two brand names, LendingTree Loans® and HomeLoanCenter.com.</w:t>
      </w:r>
    </w:p>
    <w:p>
      <w:pPr>
        <w:spacing w:after="0" w:line="194" w:lineRule="exact"/>
        <w:rPr>
          <w:sz w:val="20"/>
          <w:szCs w:val="20"/>
          <w:color w:val="auto"/>
        </w:rPr>
      </w:pPr>
    </w:p>
    <w:p>
      <w:pPr>
        <w:ind w:right="400" w:firstLine="348"/>
        <w:spacing w:after="0" w:line="323" w:lineRule="auto"/>
        <w:rPr>
          <w:sz w:val="20"/>
          <w:szCs w:val="20"/>
          <w:color w:val="auto"/>
        </w:rPr>
      </w:pPr>
      <w:r>
        <w:rPr>
          <w:rFonts w:ascii="Arial" w:cs="Arial" w:eastAsia="Arial" w:hAnsi="Arial"/>
          <w:sz w:val="15"/>
          <w:szCs w:val="15"/>
          <w:color w:val="auto"/>
        </w:rPr>
        <w:t>The Real Estate Business consists primarily of an internet-enabled national residential real estate brokerage that currently operates offices in 20 markets under the brand name "RealEstate.com, REALTORS®." Outside of these 20 markets, RealEstate.com maintains relationships with a network of third-party brokerages that receive leads from RealEstate.com and pay a referral fee on closed transactions. The Real Estate Business also consists of a brokerage that matches residential home buyers interested in newly constructed homes with builders and currently operates under the brand name "iNest®."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Business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Lending Networks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 xml:space="preserve">Consumers can access Tree.com's nationwide network of more than 200 banks, lenders and loan brokers online (via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www.getsmart.com</w:t>
      </w:r>
      <w:r>
        <w:rPr>
          <w:rFonts w:ascii="Arial" w:cs="Arial" w:eastAsia="Arial" w:hAnsi="Arial"/>
          <w:sz w:val="18"/>
          <w:szCs w:val="18"/>
          <w:color w:val="auto"/>
        </w:rPr>
        <w:t>) or by calling 1-800-555-TREE. Loans offered by these banks, lenders and loan brokers (the "Network Lenders") consist primarily of home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(in connection with refinancings and purchases) and home equity loans.</w:t>
      </w:r>
    </w:p>
    <w:p>
      <w:pPr>
        <w:spacing w:after="0" w:line="19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Tree.com selects lenders throughout the country in an effort to provide full geographic lending coverage of the country and to offer a complete suite of loan offerings available in the market. Typically, before a lender joins the Network, Tree.com performs credit and financial reviews on the lender. In addition, as a further quality assurance measure, Tree.com checks new lenders against a national antifraud database maintained by the Mortgage Asset Research Institute. All Network Lenders are required to enter into a contract that generally may be terminated upon notice by either party. No individual Network Lender accounted for more than 5% of the Lending Business revenue in any period.</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Consumers seeking mortgage loans through one of Tree.com's lending networks can receive multiple conditional loan offers from Network Lenders, or from Tree.com's subsidiary doing business under the name "LendingTree Loans" (as described below), in response to a single loan request form.</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process by which the Lending Business matches consumers and Network Lenders is referred to in the document as the "matching process." This matching process consists of the following steps:</w:t>
      </w:r>
    </w:p>
    <w:p>
      <w:pPr>
        <w:spacing w:after="0" w:line="193" w:lineRule="exact"/>
        <w:rPr>
          <w:sz w:val="20"/>
          <w:szCs w:val="20"/>
          <w:color w:val="auto"/>
        </w:rPr>
      </w:pPr>
    </w:p>
    <w:p>
      <w:pPr>
        <w:ind w:left="1080" w:right="600" w:hanging="532"/>
        <w:spacing w:after="0" w:line="33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Credit Request. </w:t>
      </w:r>
      <w:r>
        <w:rPr>
          <w:rFonts w:ascii="Arial" w:cs="Arial" w:eastAsia="Arial" w:hAnsi="Arial"/>
          <w:sz w:val="16"/>
          <w:szCs w:val="16"/>
          <w:color w:val="auto"/>
        </w:rPr>
        <w:t>Consumers complete a single loan request form for the selected loan with information regarding their income,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loan preferences and other data. Consumers also consent to the retrieval of their credit report.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ind w:left="1080" w:right="40" w:hanging="532"/>
        <w:spacing w:after="0" w:line="25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Tree.com proprietary technology matches a given consumer's loan request form data,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and geographic location against certain pre-established creditworthiness criteria of Network Lenders, which may be modified from time to time. Once a given loan request passes through the matching process, the loan request is automatically transmitted to available Network Lenders, not exceeding five.</w:t>
      </w:r>
    </w:p>
    <w:p>
      <w:pPr>
        <w:spacing w:after="0" w:line="217" w:lineRule="exact"/>
        <w:rPr>
          <w:rFonts w:ascii="Arial" w:cs="Arial" w:eastAsia="Arial" w:hAnsi="Arial"/>
          <w:sz w:val="18"/>
          <w:szCs w:val="18"/>
          <w:color w:val="auto"/>
        </w:rPr>
      </w:pPr>
    </w:p>
    <w:p>
      <w:pPr>
        <w:ind w:left="1080" w:right="120" w:hanging="532"/>
        <w:spacing w:after="0" w:line="31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Lender Evaluation and Response. </w:t>
      </w:r>
      <w:r>
        <w:rPr>
          <w:rFonts w:ascii="Arial" w:cs="Arial" w:eastAsia="Arial" w:hAnsi="Arial"/>
          <w:sz w:val="16"/>
          <w:szCs w:val="16"/>
          <w:color w:val="auto"/>
        </w:rPr>
        <w:t>Network Lenders who receive a loan request form evaluate the information in the loan request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to make a conditional loan offer. If a given number of Network Lenders do not respond with a conditional loan offer, the loan request form is directed through the matching process a second time in an attempt to match the consumer with another Network Lender.</w:t>
      </w:r>
    </w:p>
    <w:p>
      <w:pPr>
        <w:spacing w:after="0" w:line="164" w:lineRule="exact"/>
        <w:rPr>
          <w:rFonts w:ascii="Arial" w:cs="Arial" w:eastAsia="Arial" w:hAnsi="Arial"/>
          <w:sz w:val="16"/>
          <w:szCs w:val="16"/>
          <w:color w:val="auto"/>
        </w:rPr>
      </w:pPr>
    </w:p>
    <w:p>
      <w:pPr>
        <w:ind w:left="1080" w:right="20" w:hanging="532"/>
        <w:spacing w:after="0" w:line="326"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Communication of a Conditional Offer. </w:t>
      </w:r>
      <w:r>
        <w:rPr>
          <w:rFonts w:ascii="Arial" w:cs="Arial" w:eastAsia="Arial" w:hAnsi="Arial"/>
          <w:sz w:val="15"/>
          <w:szCs w:val="15"/>
          <w:color w:val="auto"/>
        </w:rPr>
        <w:t>If one or more Network Lenders make a conditional offer, the consumer is automatically notified via e-mail to return to the site and log in to a web-page reflecting their customized loan offers ("My Account"). Through the My Account web-page consumers may access and compare the proposed terms of each conditional offer, including: interest rate, closing costs, monthly payment amount, lender fees and other information. If a consumer does not have access to e-mail, conditional offers are provided to the consumer by phone or fax.</w:t>
      </w:r>
    </w:p>
    <w:p>
      <w:pPr>
        <w:spacing w:after="0" w:line="156" w:lineRule="exact"/>
        <w:rPr>
          <w:rFonts w:ascii="Arial" w:cs="Arial" w:eastAsia="Arial" w:hAnsi="Arial"/>
          <w:sz w:val="15"/>
          <w:szCs w:val="15"/>
          <w:color w:val="auto"/>
        </w:rPr>
      </w:pPr>
    </w:p>
    <w:p>
      <w:pPr>
        <w:ind w:left="1080" w:right="40" w:hanging="532"/>
        <w:spacing w:after="0" w:line="339"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work offline with the relevant Network Lender to provide property information and additional information bearing</w:t>
      </w:r>
      <w:r>
        <w:rPr>
          <w:rFonts w:ascii="Arial" w:cs="Arial" w:eastAsia="Arial" w:hAnsi="Arial"/>
          <w:sz w:val="16"/>
          <w:szCs w:val="16"/>
          <w:b w:val="1"/>
          <w:bCs w:val="1"/>
          <w:color w:val="auto"/>
        </w:rPr>
        <w:t xml:space="preserve"> </w:t>
      </w:r>
      <w:r>
        <w:rPr>
          <w:rFonts w:ascii="Arial" w:cs="Arial" w:eastAsia="Arial" w:hAnsi="Arial"/>
          <w:sz w:val="16"/>
          <w:szCs w:val="16"/>
          <w:color w:val="auto"/>
        </w:rPr>
        <w:t>on creditworthiness to the Network Lender. If the Network Lender approves a consumer, it will then underwrite and originate the loan.</w:t>
      </w:r>
    </w:p>
    <w:p>
      <w:pPr>
        <w:spacing w:after="0" w:line="155" w:lineRule="exact"/>
        <w:rPr>
          <w:rFonts w:ascii="Arial" w:cs="Arial" w:eastAsia="Arial" w:hAnsi="Arial"/>
          <w:sz w:val="16"/>
          <w:szCs w:val="16"/>
          <w:color w:val="auto"/>
        </w:rPr>
      </w:pPr>
    </w:p>
    <w:p>
      <w:pPr>
        <w:ind w:left="1080" w:hanging="532"/>
        <w:spacing w:after="0" w:line="25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Ongoing Consumer and Lender Support. </w:t>
      </w:r>
      <w:r>
        <w:rPr>
          <w:rFonts w:ascii="Arial" w:cs="Arial" w:eastAsia="Arial" w:hAnsi="Arial"/>
          <w:sz w:val="18"/>
          <w:szCs w:val="18"/>
          <w:color w:val="auto"/>
        </w:rPr>
        <w:t>Active e-mail and telephone follow-up and support is provided to both Network Lenders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during the loan transaction process. This follow-up and support is designed to provide technical assistance and increase overall satisfaction of Network Lenders, as well as increase the percentage of consumers who close a loan through financial institutions found through the Lending Business.</w:t>
      </w:r>
    </w:p>
    <w:p>
      <w:pPr>
        <w:spacing w:after="0" w:line="19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Lending Business also offers a short-form matching process under the LendingTree® and GetSmart® brands. This process, which provides consumers with lender contact information only, typically requires the consumer to submit less data than that required in connection with the matching process described above.</w:t>
      </w:r>
    </w:p>
    <w:p>
      <w:pPr>
        <w:spacing w:after="0" w:line="19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Lending Business does not charge consumers a fee to use its lending networks. Substantially all revenues from lending networks are derived from both up-front matching fees paid by Network Lenders who receive a loan request form and closing fees paid by Network Lenders who close a transaction with the consumer. Because a given loan request form can be matched with more than one Network Lender, up to five match fees may be generated from the same form. Matching fees are recognized at the time the loan request form is transmitted and closing fees are recognized at the time the Network Lender reports that it has closed the loan, which may be several months after the time the loan request form is transmitted.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LendingTree Loans/Home Loan Center,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Lending Business also originates, processes, approves and funds various consumer mortgage loans through a Tree.com subsidiary, Home Loan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Center, Inc., which operates primarily under the brand name "LendingTree Loans®." For these purposes, the Lending Business maintains loan origination offices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California and is able to provide a broad range of mortgage loan offerings to consumers in most states, primarily conforming and prime loans, and, to a lesser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extent, non-conforming and FHA/Alt-A loans. Products available include both adjustable loans and fixed rate loans.</w:t>
      </w:r>
    </w:p>
    <w:p>
      <w:pPr>
        <w:spacing w:after="0" w:line="21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 xml:space="preserve">LendingTree Loans®-branded loan originations are principally derived from consumer loan requests received through </w:t>
      </w:r>
      <w:r>
        <w:rPr>
          <w:rFonts w:ascii="Arial" w:cs="Arial" w:eastAsia="Arial" w:hAnsi="Arial"/>
          <w:sz w:val="15"/>
          <w:szCs w:val="15"/>
          <w:i w:val="1"/>
          <w:iCs w:val="1"/>
          <w:color w:val="auto"/>
        </w:rPr>
        <w:t>www.lendingtree.com,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www.getsmart.com </w:t>
      </w:r>
      <w:r>
        <w:rPr>
          <w:rFonts w:ascii="Arial" w:cs="Arial" w:eastAsia="Arial" w:hAnsi="Arial"/>
          <w:sz w:val="15"/>
          <w:szCs w:val="15"/>
          <w:color w:val="auto"/>
        </w:rPr>
        <w:t>or 1-800-555-TREE. A portion of all consumer loan request forms received through these channels are referred to LendingTree Loans.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LendingTree Loans offers those consumers a choice among various loan alternatives, with loan pricing based upon different wholesale offerings received by LendingTree Loans from the secondary market investors who purchase the loans (plus a margin to cover internal costs). LendingTree Loans maintains controls to ensure that its consumer loan pricing correlates to secondary market pricing and to ensure that its consumers receive multiple loan alternatives, thus maintaining the competition and choice elements inherent in the LendingTree brand. Tree.com believes that LendingTree Loans provides value to consumers who do not wish to negotiate with multiple lenders, but still wish to obtain loan alternatives.</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LendingTree Loans®-branded loans are funded and closed using proceeds from borrowings under available warehouse lines of credit or repurchase agreements. Substantially all of the loans funded are sold, along with the accompanying loan servicing rights, to investors in the secondary market, generally within 30 days of funding, with the proceeds from such sales being used to repay borrowings under the warehouse lines of credit or repurchase agreements. For terms of the warehouse lines of credit and repurchase agreements see "Financial Position, Liquidity and Capital Resources."</w:t>
      </w:r>
    </w:p>
    <w:p>
      <w:pPr>
        <w:spacing w:after="0" w:line="16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 xml:space="preserve">Although most of Home Loan Center, Inc.'s consumer leads are sourced through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or 1-800-555-TREE and originated under the LendingTree Loans® brand, a small portion of Home Loan Center, Inc.'s leads are sourced from a variety of non-LendingTree channels, including third-party online lead aggregators, direct mail marketing campaigns and </w:t>
      </w:r>
      <w:r>
        <w:rPr>
          <w:rFonts w:ascii="Arial" w:cs="Arial" w:eastAsia="Arial" w:hAnsi="Arial"/>
          <w:sz w:val="18"/>
          <w:szCs w:val="18"/>
          <w:i w:val="1"/>
          <w:iCs w:val="1"/>
          <w:color w:val="auto"/>
        </w:rPr>
        <w:t>www.homeloancenter.com</w:t>
      </w:r>
      <w:r>
        <w:rPr>
          <w:rFonts w:ascii="Arial" w:cs="Arial" w:eastAsia="Arial" w:hAnsi="Arial"/>
          <w:sz w:val="18"/>
          <w:szCs w:val="18"/>
          <w:color w:val="auto"/>
        </w:rPr>
        <w:t>. When obtaining leads from third-party sources, Home Loan Center, Inc. operates under its traditional name and brand (HomeLoanCenter). Consumers who request loans through the HomeLoanCenter brand typically receive single loan offers. HomeLoanCenter-branded loans are funded, closed and sold into the secondary market in the same manner, and on substantially the same terms, as LendingTree Loans-branded loans.</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Revenues from direct lending operations are derived from the sale of loans to secondary market investors and from origination and other fees paid by borrowers. Of Home Loan Center, Inc.'s six secondary market investors in 2008, the two largest, Countrywide and CitiMortgage, represented approximately 12% and 11%, respectively, of Tree.com's consolidated revenue in 2008. See "Risk Factors Relating to the Business of Tree.com Following the Spin-Offs—Adverse Events and Trends."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Businesses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Through the LendingTree.com and GetSmart.com websites, Tree.com's Lending Business also offers:</w:t>
      </w:r>
    </w:p>
    <w:p>
      <w:pPr>
        <w:spacing w:after="0" w:line="239" w:lineRule="exact"/>
        <w:rPr>
          <w:sz w:val="20"/>
          <w:szCs w:val="20"/>
          <w:color w:val="auto"/>
        </w:rPr>
      </w:pPr>
    </w:p>
    <w:p>
      <w:pPr>
        <w:ind w:left="1080" w:right="6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loans, through which consumers are matched with multiple lenders using a network-based process similar to the mortgage loan matching process described above;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automobile loans, through which consumers are linked with one or more third-party automobile lenders;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cards, through which consumers can search various credit card offerings through a third-party vendor;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reverse mortgage loans, through which consumers are linked with one or more third party providers;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consumer insurance products, pursuant to which consumers are linked with licensed insurance agents and insurance lead aggregators to obtain insurance offers.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Revenues from these businesses are derived either from matching and closing fees, or in some cases, volume-based marketing fees. While the revenues from these businesses do not currently represent a significant portion of the revenues of the Lending Business, these revenues are expected to grow over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Tree.com's Lending Business, particularly its lending networks, competes with other lead aggregators, including online intermediaries that operate network-type arrangements. In the case of the direct lending operations, Tree.com believes that the primary competitors of its Lending Business are traditional lending institutions, including those that are developing their own direct, online lending channels. While these financial institutions do not operate lending networks, they process, close and fund loans as direct lenders through well-recognized, national brands, many of which are industry leaders. Tree.com's Lending Business also faces additional competition from direct lending websites owned and operated by other online lenders that originate the bulk of their loans through their websites or by phone. These companies typically operate a consumer-branded website and attract consumers via online banner ads, key word placement on search engines, partnering with affiliates and business development arrangements with other properties, including major online portals.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Business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Estate Brokerage</w:t>
      </w:r>
    </w:p>
    <w:p>
      <w:pPr>
        <w:spacing w:after="0" w:line="225"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 xml:space="preserve">RealEstate.com, REALTORS® is Tree.com's proprietary real estate brokerage business, which currently operates in 20 markets across the United States. Business for the proprietary real estate brokerage is generated internally based on consumers accessing </w:t>
      </w:r>
      <w:r>
        <w:rPr>
          <w:rFonts w:ascii="Arial" w:cs="Arial" w:eastAsia="Arial" w:hAnsi="Arial"/>
          <w:sz w:val="16"/>
          <w:szCs w:val="16"/>
          <w:i w:val="1"/>
          <w:iCs w:val="1"/>
          <w:color w:val="auto"/>
        </w:rPr>
        <w:t>www.realestate.com</w:t>
      </w:r>
      <w:r>
        <w:rPr>
          <w:rFonts w:ascii="Arial" w:cs="Arial" w:eastAsia="Arial" w:hAnsi="Arial"/>
          <w:sz w:val="16"/>
          <w:szCs w:val="16"/>
          <w:color w:val="auto"/>
        </w:rPr>
        <w:t xml:space="preserve"> or by calling 1-800-REALESTATE, and generated externally by agents. The brokerage recruits agents to join as independent contractors, for whom it then generates leads, with the brokerage retaining a significant share of the gross commission on closed transactions originating from company-generated leads (and a lesser share in the case of agent-generated leads). Tree.com uses both a central agent recruiting group in Charlotte, as well as local recruiting efforts, to identify agents who fit its model and would be willing to join the company. Third-party brokerage services provided by approximately 300 real estate brokerage firms are also available through </w:t>
      </w:r>
      <w:r>
        <w:rPr>
          <w:rFonts w:ascii="Arial" w:cs="Arial" w:eastAsia="Arial" w:hAnsi="Arial"/>
          <w:sz w:val="16"/>
          <w:szCs w:val="16"/>
          <w:i w:val="1"/>
          <w:iCs w:val="1"/>
          <w:color w:val="auto"/>
        </w:rPr>
        <w:t xml:space="preserve">www.realestate.com </w:t>
      </w:r>
      <w:r>
        <w:rPr>
          <w:rFonts w:ascii="Arial" w:cs="Arial" w:eastAsia="Arial" w:hAnsi="Arial"/>
          <w:sz w:val="16"/>
          <w:szCs w:val="16"/>
          <w:color w:val="auto"/>
        </w:rPr>
        <w:t>or by calling 1-800-REALESTATE. The Real Estate Business has developed relationships with brokers over the years, and targets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companies based on available lead flow by geography, their willingness to work with a lead generation company under Tree.com's terms and conditions, and the belief that such brokerage firms would generate an acceptable closing conversion rate. These third-party brokerage services are available nationwide, as well as in the 20 markets in which RealEstate.com, REALTORS currently operates. Once the consumer and the real estate professional are matched and agree to work together, the remainder of the transaction is completed locally.</w:t>
      </w:r>
    </w:p>
    <w:p>
      <w:pPr>
        <w:spacing w:after="0" w:line="18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RealEstate.com, REALTORS business earns revenues through the real estate brokerage commissions it collects in connection with company- and agent-generated transactions. For its third party brokerage referral services, the Real Estate Business also earns revenue from cooperative brokerage fees paid by participating real estate brokerages.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Real Estate Services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Real Estate Business also owns and operates </w:t>
      </w:r>
      <w:r>
        <w:rPr>
          <w:rFonts w:ascii="Arial" w:cs="Arial" w:eastAsia="Arial" w:hAnsi="Arial"/>
          <w:sz w:val="16"/>
          <w:szCs w:val="16"/>
          <w:i w:val="1"/>
          <w:iCs w:val="1"/>
          <w:color w:val="auto"/>
        </w:rPr>
        <w:t>www.inest.com</w:t>
      </w:r>
      <w:r>
        <w:rPr>
          <w:rFonts w:ascii="Arial" w:cs="Arial" w:eastAsia="Arial" w:hAnsi="Arial"/>
          <w:sz w:val="16"/>
          <w:szCs w:val="16"/>
          <w:color w:val="auto"/>
        </w:rPr>
        <w:t>, a website that matches potential purchasers of newly constructed homes with new home builders. iNest.com is currently available in 30 states and allows consumers to view new home community information (new home listings) on the iNest website. From the iNest website a consumer can print a coupon to present to builders that participate in the iNest.com network upon his or her first visit to a home site, which signifies that iNest.com will act as the buyer's real estate broker for a new home purchase from that builder. Upon closing, the builder pays a commission to iNest, which in turn is split between iNest, the licensed iNest real estate broker representing the consumer, and the consumer.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Tree.com's Real Estate Business competes with all real estate brokerages within the RealEstate.com, REALTORS® 20 markets. These brokerages are comprised mainly of traditional real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estate companies operating as independent brands or franchisees, as well as non-traditional models, such as salaried-agent, fee-for-service, flat-fee, discount, or rebate commission models, many of which generate leads from the Internet. In addition, the Real Estate Business competes for customers with companies that are not brokerages, such as websites that aggregate real estate broker listings without related services and customer support. Given the downturn in the credit and mortgage markets and the decline in the number of housing transactions, competition in this segment has increased.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Tree.com businesses market and provide services in heavily regulated industries through a number of different online and offline channels across the United States (see "Risk Factors Relating to the Business of Tree.com Following the Spin-Offs—Compliance and Changing Laws, Rules and Regulations"). As a result, they are subject to a variety of statutes, rules, regulations, policies and procedures in various jurisdictions in the United States, including:</w:t>
      </w:r>
    </w:p>
    <w:p>
      <w:pPr>
        <w:spacing w:after="0" w:line="174" w:lineRule="exact"/>
        <w:rPr>
          <w:sz w:val="20"/>
          <w:szCs w:val="20"/>
          <w:color w:val="auto"/>
        </w:rPr>
      </w:pPr>
    </w:p>
    <w:p>
      <w:pPr>
        <w:ind w:left="1080" w:right="7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or interest that may be charged in connection with a loan, in particular, state usury and fee restrictions;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the federal Truth-in-Lending Act, the federal Equal Credit Opportunity Act, the federal Fair Credit Reporting Act, the federal Fair Housing Act, the federal Real Estate Settlement Procedures Act (RESPA), and similar state laws;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lenders and real estate professionals for providing or obtaining consumer leads, in particular, RESPA;</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consumers for real estate brokerage transactions, including any incentives and rebates, that may be offered to consumers by Tree.com businesses;</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in some instances, federal, licensing or registration requirements applicable to both individuals or businesses engaged in the making or brokerage of loans (or certain kinds of loans, such as loans made pursuant to the Federal Housing Act), or the brokering of real estate transactions; and</w:t>
      </w:r>
    </w:p>
    <w:p>
      <w:pPr>
        <w:spacing w:after="0" w:line="207"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the mail or by email, or over the internet, including the Telemarketing Sales Rule, state telemarketing laws, federal and state privacy laws, the CAN-SPAM Act, and the Federal Trade Commission Act and its accompanying regulations and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December 31, 2008, Tree.com had approximately 700 full-time employees. None of Tree.com's employees are represented under collective bargaining agreements. Tree.com considers its relations with its employees and independent contractors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i w:val="1"/>
          <w:iCs w:val="1"/>
          <w:color w:val="auto"/>
        </w:rPr>
        <w:t xml:space="preserve">Company Website and Public Filings. </w:t>
      </w:r>
      <w:r>
        <w:rPr>
          <w:rFonts w:ascii="Arial" w:cs="Arial" w:eastAsia="Arial" w:hAnsi="Arial"/>
          <w:sz w:val="16"/>
          <w:szCs w:val="16"/>
          <w:color w:val="auto"/>
        </w:rPr>
        <w:t>The Company maintains a website at</w:t>
      </w:r>
      <w:r>
        <w:rPr>
          <w:rFonts w:ascii="Arial" w:cs="Arial" w:eastAsia="Arial" w:hAnsi="Arial"/>
          <w:sz w:val="16"/>
          <w:szCs w:val="16"/>
          <w:i w:val="1"/>
          <w:iCs w:val="1"/>
          <w:color w:val="auto"/>
        </w:rPr>
        <w:t xml:space="preserve"> www.tree.com</w:t>
      </w:r>
      <w:r>
        <w:rPr>
          <w:rFonts w:ascii="Arial" w:cs="Arial" w:eastAsia="Arial" w:hAnsi="Arial"/>
          <w:sz w:val="16"/>
          <w:szCs w:val="16"/>
          <w:color w:val="auto"/>
        </w:rPr>
        <w:t>. None of the information on the Company's website is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this report, or in any other filings with, or in any information furnished or submitted to, the SEC.</w:t>
      </w:r>
    </w:p>
    <w:p>
      <w:pPr>
        <w:spacing w:after="0" w:line="13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 makes available, free of charge through its website, its Annual Reports on Form 10-K, Quarterly Reports on Form 10-Q and Current Reports on Form 8-K (including related amendments) as soon as reasonably practicable after they have been electronically filed with, or furnished to, the SEC.</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The Company's code of business conduct and ethics, which applies to all employees, including all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senior financial officers and directors, is posted on the Company's website at </w:t>
      </w:r>
      <w:r>
        <w:rPr>
          <w:rFonts w:ascii="Arial" w:cs="Arial" w:eastAsia="Arial" w:hAnsi="Arial"/>
          <w:sz w:val="16"/>
          <w:szCs w:val="16"/>
          <w:i w:val="1"/>
          <w:iCs w:val="1"/>
          <w:color w:val="auto"/>
        </w:rPr>
        <w:t>investor-relations.tree.com/governance.cfm</w:t>
      </w:r>
      <w:r>
        <w:rPr>
          <w:rFonts w:ascii="Arial" w:cs="Arial" w:eastAsia="Arial" w:hAnsi="Arial"/>
          <w:sz w:val="16"/>
          <w:szCs w:val="16"/>
          <w:color w:val="auto"/>
        </w:rPr>
        <w:t>. The code of conduct and ethics complies with Item 406 of SEC Regulation S-K and the rules of The Nasdaq Stock Market. Any changes to the code of conduct and ethics that affect the provisions required by Item 406 of Regulation S-K, and any waivers of the code of conduct and ethics for Tree.com's executive officers, directors or senior financial officers, will also be disclosed on Tree.com's website.</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This Annual Report on Form 10-K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4"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Tree.com's business, financial condition and results of operations are subject to certain risks that are described below. The risks and uncertainties described below are not the only ones facing Tree.com. Additional risks and uncertainties not presently known or that are currently deemed immaterial may also impair Tree.com's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Spin-off from IAC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our spin-off from IAC in August 2008, we may be unable to operate effectively as a separate public entity.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were spun off from IAC on August 20, 2008. IAC has no continuing obligation to provide financial, operational or organizational assistance to us, other than limited services pursuant to a transition services agreement. As a separate public entity, we are subject to, and responsible for, regulatory compliance, including periodic public filings with the SEC and compliance with NASDAQ's continued listing requirements, as well as generally applicable tax and accounting rules. We may be unable to implement successfully the changes necessary to operate effectively as an independent public entity.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incurring increased costs relating to operating as an independent company that are impacting our cash flow and results of operations.</w:t>
      </w:r>
    </w:p>
    <w:p>
      <w:pPr>
        <w:spacing w:after="0" w:line="24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obligations of being a public company, including substantial public reporting and investor relations obligations, are requiring new expenditures, placing new demands on our management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necessitating the hiring of additional personnel. We may need to implement additional systems that require new expenditures in order to adequately function as a public company. Such expenditures could adversely affect our business, financial condition and results of operations.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prior to the spin-off, by virtue of being under the same corporate structure, IAC's businesses shared economies of scope and scale in costs, human capital, vendor relationships and customer relationships with the businesses that we own following the spin-off. The increased costs resulting from the loss of these benefits have had, and could continue to have, an adverse effect on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Following the spin-off, our common stock became publicly traded for the first time. The market price for our common stock has been volatile, especially in light of recent market instability. The market price for our common stock could continue fluctuate significantly for many reasons, including the risks identified herein or reasons unrelated to our performance. These factors may result in short- or long-term negative pressure on the value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Financing—We may have future capital needs and may not be able to obtain additional financing on acceptable terms.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standalone company, we are no longer able to rely on IAC to satisfy any of our financing needs and must rely on external sources of credit. The current uncertainties surrounding the industries in which we operate, general reductions in the availability of credit, as well as other factors, may constrain our financing abilities. Our ability to secure additional financing and satisfy our financial obligations under indebtedness outstanding from time to time will depend upon our future operating performance, which is subject to then-prevailing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secure financing on favorable terms, if at all.</w:t>
      </w:r>
    </w:p>
    <w:p>
      <w:pPr>
        <w:spacing w:after="0" w:line="174"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may be unable to secure additional financing or financing on favorable terms or our operating cash flow may be insufficient to satisfy our financial obligations under indebtedness outstanding from time to time. Furthermore, if financing is not available when needed, or is available on unfavorable terms, we may be unable to develop new or enhance our existing services, complete acquisitions or otherwise take advantage of business opportunities or respond to competitive pressures, any of which could have a material adverse effect on our business, financial condition and results of operations. If additional funds are raised through the issuance of equity securities, our stockholders may experience significant dilution.</w:t>
      </w:r>
    </w:p>
    <w:p>
      <w:pPr>
        <w:spacing w:after="0" w:line="17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spin-off agreements were not the result of arm's length negotiations. In addition, the tax sharing agreement restricts our ability to enter into certain transactions that might otherwise be beneficial to us and our stockholders.</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agreements that we entered into with IAC in connection with the spin-off, including the separation and distribution agreement, tax sharing agreement, employee matters agreement and transition services agreement, were established by IAC. Accordingly, the terms for us may not be as favorable as would have resulted from negotiations among unrelated third parties.</w:t>
      </w:r>
    </w:p>
    <w:p>
      <w:pPr>
        <w:spacing w:after="0" w:line="194"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tax sharing agreement with IAC restricts our ability to enter into certain transactions that might be advantageous to us and our stockholders. In particular, the tax sharing agreement limits our ability to repurchase equity securities, dispose of certain assets, engage in mergers and acquisitions and, under certain circumstances, acquire businesses or assets with equity securities or agree to be acquired by a third party.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primary and secondary mortgage markets have been experiencing unprecedented and continuing disruption, which has had, and is expected to continue to have, an adverse effect on our business, financial condition and results of operations. These conditions, coupled with adverse economic conditions and continuing declines in residential real estate prices generally, have resulted, and are expected to continue to result, in decreased consumer demand for the lending and real estate offerings provided by our networks and other businesses. Generally, increases in interest rates adversely affect the ability of the Lending Business and Network Lenders to close loans, while adverse economic trends limit the ability of the Lending Business and Network Lenders to offer home loans other than low margin conforming loans. Likewise, adverse economic trends have reduced, and are expected to continue to reduce, the number of prospective home purchasers and home prices, which adversely affects our Real Estate Business. Our businesses may experience a further decline in demand for their offerings due to decreased consumer demand as a result of the conditions described above now or in the future. Conversely, during periods of robust consumer demand, which are typically associated with decreased interest rates, some Network Lenders may have less incentive to use our networks, or in the case of sudden increases in consumer demand, our Network Lenders may lack the ability to support sudden increases in volume. Prolonged declines in demand for offerings of our businesses could have a material adverse effect on our business, financial condition and results of operations.</w:t>
      </w:r>
    </w:p>
    <w:p>
      <w:pPr>
        <w:spacing w:after="0" w:line="18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secondary mortgage markets have also been experiencing unprecedented and continued disruptions resulting from reduced investor demand for mortgage loans and mortgage-backed securities and increased investor yield requirements for those loans and securities. These conditions may continue for a prolonged period of time or worsen in the future. Home Loan Center, Inc. ("HLC") does not have the capital resources or credit necessary to retain the loans it funds and closes and, as a result, sells substantially all such loans within 30 days of funding as discussed above. Accordingly, a prolonged period of secondary market illiquidity may force the Lending Business to significantly reduce the volume of loans that it originates and funds through HLC, which could have an adverse effect on our business, financial condition and results of operations.</w:t>
      </w:r>
    </w:p>
    <w:p>
      <w:pPr>
        <w:spacing w:after="0" w:line="17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These disruptions and volatility in the capital and credit markets have resulted in rapid and steep declines in prevailing stock prices, particularly in the financial services sector, as well as downward pressure on credit availability. These adverse conditions adversely affect our Network Lenders, secondary market purchasers, and third-party real estate professionals, and may render them unwilling or unable to continue business relationships with us. If current levels of market disruption and volatility continue or worsen, there can be no assurance that we will not experience an adverse effect on our business relationships and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and Trends—Difficult market conditions have adversely affected our industry.</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Declines in the housing market over the past year,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other asset-backed securities, credit default swaps and other derivative and cash securities, in turn, have caused many financial institutions to seek additional capital, to merge with larger and stronger institutions and, in some cases, to fail. Reflecting concern about the stability of the financial markets generally and the strength of counterparties, many lenders and institutional investors have reduced or ceased providing funding 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borrowers, including to other financial institutions. This market turmoil and tightening of credit have led to an increased level of commercial and consumer delinquencies, lack of consumer confidence, increased market volatility and widespread reduction of business activity generally. The resulting economic pressure on consumers and lack of confidence in the financial markets may have an adverse effect on our business, financial condition and results of operations.</w:t>
      </w:r>
    </w:p>
    <w:p>
      <w:pPr>
        <w:spacing w:after="0" w:line="14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do not expect that the difficult conditions in the financial markets will likely improve in the near future. A worsening of these conditions would likely exacerbate the adverse effects of these difficult market conditions on us and others in the financial services industry.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losses or defaults by us or by other institutions. Any such losses or defaults could have an adverse effect on our business, financial condition and results of operations.</w:t>
      </w:r>
    </w:p>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Our Lending Business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LendingTree Loans had committed lines of credit totaling $100 million, of which $50 million is scheduled to expire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2009, and another $50 million was scheduled to expire on January 24, 2009, and an uncommitted line of credit of $150 million. The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line of credit that was scheduled to expire on January 24, 2009 and the $150 million uncommitted line were provided by the same lender.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committed line of credit that was scheduled to expire on January 24, 2009 has been extended to April 30, 2009 while both parties work to finalize</w:t>
      </w:r>
    </w:p>
    <w:p>
      <w:pPr>
        <w:spacing w:after="0" w:line="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terms of an annual renewal, and, at the time of extension, the size of the $150 million uncommitted line was reduced to $50 million. The interest rate under the $50 million committed line that expires on December 29, 2009 is 30-day LIBOR plus 125 basis points. The interest rate under the $50 million committed line of credit that was extended to April 30, 2009 is 30-day LIBOR plus 225 basis points. The interest rate under the $50 million uncommitted line of credit is 30-day LIBOR plus 150 basis points. The $50 million committed line of credit expiring on April 30, 2009 can be cancelled at the option of the lender without default upon sixty days notice. Borrowings under these lines of credit are used to fund, and are secured by, consumer residential loans that are held for sale. Loans under these lines of credit are repaid from proceeds from the sales of loans held for sale by LendingTree Loans. Borrowings under all of LendingTree Loans' lines of credit are non-recourse to Tree.com. LendingTree Loans is highly dependent on the availability of credit to finance its operations.</w:t>
      </w:r>
    </w:p>
    <w:p>
      <w:pPr>
        <w:spacing w:after="0" w:line="177"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The Lending Business attempts to mitigate the impact of current conditions and future credit market disruptions by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HLC to operate at profitable levels. Because HLC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Adverse Events and Trends—Our financial results fluctuate as a result of seasonality, which may make it difficult to predict our future performance and may affect our common stock price.</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business is generally subject to seasonal trends. These trends reflect the general patterns of housing sales, which typically peak in the spring and summer seasons. As a result, our quarterly operating results may fluctuate, which may negatively impact the price of our common stock.</w:t>
      </w:r>
    </w:p>
    <w:p>
      <w:pPr>
        <w:spacing w:after="0" w:line="13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Contingent Liabilities—Litigation and Indemnification of Secondary Market Purchasers—Litigation and indemnification of secondary market purchasers could have a material adverse effect on our business, financial condition, results of operations and liquidity.</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the sale of loans to secondary market purchasers, HLC makes certain representations regarding related borrower credit information, loan documentation and collateral. To the extent that these representations are incorrect, HLC may be required to repurchase loans or indemnify secondary market purchasers for losses due to borrower defaults. While HLC seeks to ensure that loans it originates comply with these representations, secondary market purchasers may take a contrary position. In connection with the sale of loans to secondary market purchasers, HLC also agrees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In connection with the sale of a majority of its loans to secondary market purchasers, HLC also agrees to repay all or a portion of the initial premiums paid by secondary market purchasers in instances where the borrower prepays the loan within a specified period of time.</w:t>
      </w:r>
    </w:p>
    <w:p>
      <w:pPr>
        <w:spacing w:after="0" w:line="17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and our businesses are also parties to litigation involving a variety of matters, many of which involve damage claims for substantial amounts (see Part II, Item 3 above).</w:t>
      </w:r>
    </w:p>
    <w:p>
      <w:pPr>
        <w:spacing w:after="0" w:line="186"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believe that we will have adequate resources to satisfy our obligations relating to the potential exposures described above. However, it is possible that these liabilities will be greater than anticipated. If the liabilities are in excess of expectations, our ability to satisfy such obligations may be dependent upon our ability to raise capital in the debt or equity markets, which may be uncertain.</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Third-Party Relationships—We depend on relationships with Network Lenders, real estate professionals, credit providers and secondary market investors and any adverse changes in these relationships could adversely affect our business, financial condition and results of operations.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success depends, in significant part, on the quality and pricing of services provided by, and/or the continued financial stability of, Network Lenders and real estate professionals participating on our networks, credit providers and secondary market investors. Network Lenders or real estate professionals could, for any reason, cease participating on the networks operated by (or otherwise choose not to enter into relationships with) our businesses, fail to pay matching and/or closing fees when due and/or cease providing quality services on competitive terms. In addition, credit providers and/or secondary market investors could, for any reason, choose not to make credit available to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otherwise enter into relationships with) HLC, and in the case of secondary market investors only, cease purchasing loans from HLC. In particular, revenues attributable to purchases of loans by two such entities, Countrywide and CitiMortgage, represented approximately 12% and 11%, respectively, of our consolidated revenues in 2008. The occurrence of one of more of these events by a significant number of Network Lenders, real estate professionals, credit providers and/or secondary market investors could, alone or in combination, have a material adverse effect on our business, financial condition and results of operations.</w:t>
      </w:r>
    </w:p>
    <w:p>
      <w:pPr>
        <w:spacing w:after="0" w:line="1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Network Security—A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Any penetration of network security or other misappropriation or misuse of personal consumer information maintained by us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In that regard, on April 21, 2008, we announced that several mortgage companies had gained unauthorized access to LendingTree's customer information database and had used the information to solicit mortgage loans directly from our customers. We promptly reported the situation to the Federal Bureau of Investigation and have been cooperating fully with the FBI's investigation. While LendingTree does not believe this situation resulted in any fraud on the consumer or identity theft, LendingTree notified affected consumers as required by applicable law. Notwithstanding the foregoing, following our announcement, several putative class action lawsuits were filed against LendingTree, seeking to recover damages for consumers allegedly injured by this incident (see Part II, Item 1 above).</w:t>
      </w:r>
    </w:p>
    <w:p>
      <w:pPr>
        <w:spacing w:after="0" w:line="174"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in the case of any financial services company,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Failure to Provide Competitive Service—Network Lenders and real estate professionals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ability of our businesses to provide consumers with a high-quality experience depends, in part, on consumers receiving competitive levels of convenience, customer service, price and responsiveness from Network Lenders and real estate professionals with whom they are matched through our networks. If Network Lenders and real estate professionals do not provide consumers with competitive levels of convenience, customer service, price and responsiveness, the value of our various brands may be harmed, the ability of our businesses to attract consumers to our websites may be limited and the number of consumers ultimately matched through our networks may decline, which could have a material adverse effect on our business, financial condition and results of operations.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Brand Recognition—Failure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order to attract visitors to their websites, convert these visitors into paying customers and capture repeat business from existing customers, our businesses must promote and maintain their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various brands successfully, which involves the expenditure of considerable money and resources for online and offline advertising, marketing and related efforts, as well as the continued provision and introduction of high-quality products and services.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continuing to build and maintain the recognition of our various brands is critical to achieving increased demand for the services provided by our businesses, given that brand recognition is a key differentiating factor among providers of online services. Accordingly, we have spent, and expect to continue to spend, significant amounts of money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Lastly, publicity from legal proceedings against us or our businesses, particularly governmental proceedings, consumer class action litigation or the disclosure of information security breaches, could negatively impact our various brands, which could adversely affect our business, financial condition and results of operations.</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Technology—We depend on search engines and other online sources to attract visitors to our websites, and if we are unable to attract these visitors and convert them into customers in a cost-effective manner, our business and financial results may be harmed.</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will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financial condition and results of operations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7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b w:val="1"/>
          <w:bCs w:val="1"/>
          <w:i w:val="1"/>
          <w:iCs w:val="1"/>
          <w:color w:val="auto"/>
        </w:rPr>
        <w:t>Technology—If we are unable to continually enhance our products and services and adapt them to technological changes and customer needs, including the emergence of new computing devices and more sophisticated online services, we may lose market share and revenue and our business could suffer.</w:t>
      </w:r>
    </w:p>
    <w:p>
      <w:pPr>
        <w:spacing w:after="0" w:line="11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need to anticipate, develop and introduce new products, services and applications on a timely and cost-effective basis that keeps pace with technological developments and changing customer needs. For example, the number of individuals who access the internet through devices other than a personal computer, such as personal digital assistants, mobile telephones, televisions and set-top box devices, has increased dramatically, and this trend is likely to continue. Our websites were designed for rich, graphical environments such as those available on desktop and laptop computers. The lower resolution, functionality and memory associated with alternative devices currently available may make the access and use of our websites through such devices difficult. Because each manufacturer or distributor may establish unique technical standards for its devices, our websites may not be functional or viewable on these devices. Additionally, new devices and new platforms are continually being released. Accordingly, it is difficult to predict the problems we may encounter in improving our websites' functionality with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alternative devices, and we may need to devote significant resources to the improvement, support and maintenance of our websites. If we fail to develop our websites to respond to these or other technological developments and changing customer needs cost effectively, we may lose market share, which could adversely affect our business, financial condition and results of operations.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Third-Party Relationships Are Not Exclusive—Network Lenders and real estate professionals affiliated with our networks are not precluded from offering products and services outside of our networks.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Because our businesses do not have exclusive relationships with Network Lenders and real estate professionals, consumers may obtain loans and real estate offerings directly from these third-party service providers without having to use our networks. Network Lenders can offer loans (and real estate professionals can offer services) directly to consumers through marketing campaigns or other traditional methods of distribution, such as referral arrangements, brick and mortar operations or, in the case of lending, broker agreements. Network Lenders and real estate professionals can also offer loans and services to prospective customers online directly, through one or more online competitors of our businesses, or both. If a significant number of consumers seek loans and services directly from Network Lenders and real estate professionals as opposed to through our networks, our business, financial condition and results of operations would be adversely affected.</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Compliance and Changing Laws, Rules and Regulations—Failure to comply with existing or evolving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failure of our businesses to comply with existing laws, rules and regulations, or to obtain required licenses, could result in administrative fines and/or proceedings against us or our businesses by governmental agencies and/or litigation by consumers, which could adversely affect our business, financial condition and results of operations. Our businesses market and provide services in heavily regulated industries through a number of different online and offline channels across the United States. As a result, our businesses are subject to a variety of statutes, rules, regulations, policies and procedures in various jurisdictions in the United States, which are subject to change at any time.</w:t>
      </w:r>
    </w:p>
    <w:p>
      <w:pPr>
        <w:spacing w:after="0" w:line="170"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and the Federal Trade Commission Act and its accompanying regulations and guidelines, among others. While we believe that the practices of our businesses have been structured in a manner to ensure compliance with these laws and regulations, federal or state regulatory authorities may take a contrary position.</w:t>
      </w:r>
    </w:p>
    <w:p>
      <w:pPr>
        <w:spacing w:after="0" w:line="197"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Additional federal, state and in some instances, local, laws regulate residential lending and real estate brokerage activities in particular. These laws generally regulate the manner in which lending, lending-related and real estate brokerage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In addition, state laws often restrict the amount of interest and fees that may be charged by a lender or mortgage broker, or otherwise regulate the manner in which lenders or mortgage brokers operate or advertise. Furthermore, Congress, many state legislatures and state agencies are proposing, or have recently implemented, additional restrictions on mortgage lending practices. Compliance with these new requirements may render it more difficult to operate or may raise our internal costs. Failure to comply with applicable laws and regulatory requirements may result in, among other things, revocation of required licenses or registrations, loss of approval status, termination of contracts without compensation, administrative enforcement actions and fines, class action lawsuits, cease and desist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orders and civil and criminal liability. While we believe that our businesses have been structured in such a way so as to comply with existing and new laws, the relevant regulatory authorities may take a contrary position or future legislation may adversely affect our business, financial condition and results of operations.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17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that jurisdiction.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 Although we believe that our businesses have been structured in such a way so as to comply with RESPA, the relevant regulatory agency may take a contrary position.</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Real Estate Business is subject to rules and regulations of various real estate boards, as well as the rules of various non-governmental associations and organizations, including but, not limited to, local and regional Multiple Listing Services that provide real estate listing data. Our Real Estate Business is dependent on real estate listing data made available through Multiple Listing Services and other sources. While we believe that our Real Estate Business is structured to comply with these rules and regulations, the relevant organization may take a contrary position, which could adversely affect our business, financial condition and results of operations.</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some states have regulations that prohibit real estate brokers from providing consumers with rebates or other incentives in connection with real estate transactions. Additional states could promulgate similar regulations or interpret existing regulations in a way that limits the ability of online networks to offer consumer incentives in connection with real estate transactions, thereby limiting the attractiveness of real estate brokerage activities offered by our Real Estate Business.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Federal, state and in some instances, local, laws also prohibit unfair and deceptive sales practices generally. While we have adopted appropriate policies and procedures to address these requirements (such as appropriate consumer disclosures and call scripting, call monitoring, and other quality assurance and compliance measures), employees do not always comply with policies and procedures, and therefore, liability and brand injury could result from such employee misconduct.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underwriters,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Parties through which our businesses conduct business similarly may be subject to federal and state regulation. These parties typically act as independent contractors and not as agents in their solicitations and transactions with consumers. Consequently, we cannot ensure that these entities will comply with applicable laws and regulations at all times. Failure on the part of a lender, secondary market purchaser, real estate professional, website operator or other third party to comply with these laws or regulations could result in, among other things, claims of vicarious liability or a negative impact on the reputation of Tree.com and its businesses. The occurrence of one or more of these events could have an adverse effect on our business, financial condition and results of operations.</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Party Compliance—If Network Lenders fail to produce required documents for examination by, or other affiliated parties fail to make certain filings with, state regulators, Tree.com may be subject to fines, forfeitures and the revocation of required licenses.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affect on our business, financial condition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The inability to obtain, or the loss of, required licenses could have a material adverse effect on our business, financial condition and results of operations.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Maintenance of Systems and Infrastructure—Our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97"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addition, any penetration of network security or other misappropriation or misuse of personal consumer information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It is possible that advances in computer capabilities, new discoveries, undetected fraud, inadvertent violations of company policies or procedures or other developments could result in a compromise of information or a breach of the technology and security processes that are used to protect consumer transaction data. As a result, current security measures may not prevent any or all security breaches.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Any publicized security problems affecting our businesses and/or those of third parties may discourage consumers from doing business with us, which could have an adverse effect on our business, financial condition and results of operations.</w:t>
      </w:r>
    </w:p>
    <w:p>
      <w:pPr>
        <w:spacing w:after="0" w:line="1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Privacy—The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In the processing of consumer transactions, our businesses receive, transmit and store a large volume of personally identifiable information and other user data. The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5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Intellectual Property—We may fail to adequately protect our intellectual property rights or may be accused of infringing intellectual property rights of third parties.</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may fail to adequately protect our intellectual property rights or may be accused of infringing intellectual property rights of third parties. We regard our intellectual property rights, including patents, service marks, trademarks and domain names, copyrights, trade secrets and similar intellectual property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applicable), as critical to our success. Our businesses also rely heavily upon software codes, informational databases and other components that make up their products and services.</w:t>
      </w:r>
    </w:p>
    <w:p>
      <w:pPr>
        <w:spacing w:after="0" w:line="186" w:lineRule="exact"/>
        <w:rPr>
          <w:sz w:val="20"/>
          <w:szCs w:val="20"/>
          <w:color w:val="auto"/>
        </w:rPr>
      </w:pPr>
    </w:p>
    <w:p>
      <w:pPr>
        <w:jc w:val="both"/>
        <w:ind w:right="460" w:firstLine="348"/>
        <w:spacing w:after="0" w:line="256"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 or copyrighted intellectual property without authorization which, if discovered, might require legal action to correct. In addition, third parties may independently and lawfully develop substantially similar intellectual properties.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Some of our businesses have been granted patents and/or have patent applications pending with the United States Patent and Trademark Office and/or various foreign patent authorities for various proprietary technologies and other inventions. We consider applying for patents or for other appropriate statutory protection when we develop valuable new or improved proprietary technologies or inventions are identified, and will continue to consider the appropriateness of filing for patents to protect future proprietary technologies and inventions as circumstances may warrant.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 Likewise, the issuance of a patent to us does not mean that our processes or inventions will be found not to infringe upon patents or other rights previously issued to third parties.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in the ordinary course of business we are subjected to legal proceedings and claims, or threatened legal proceedings or 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Tree.com's principal executive offices, together with certain personnel and operations of its Lending and Real Estate Businesses, are currently located in approximately 75,000 square feet of office space in Charlotte, North Carolina under leases that expire in 2015, and 95,000 square feet of office space in Irvine, California utilized by Home Loan Center, Inc. under a lease expiring in 2010.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addition, the Real Estate Business has 26 offices located throughout the United States under leases that expire through 2013.</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ordinary course of business, the Company and its subsidiaries are parties to litigation involving property, personal injury, contract, intellectual property and other claims. The amounts that may be recovered in such matters may be subject to insurance coverage.</w:t>
      </w:r>
    </w:p>
    <w:p>
      <w:pPr>
        <w:spacing w:after="0" w:line="18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Rules of the Securities and Exchange Commission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exceeding 10% of the current assets of the registrant and its subsidiaries on a consolidated basis. In the judgment of management, none of the pending litigation matters which the Company and its subsidiaries are defending, including those described below, involves or is likely to involve amounts of that magnitude. The litigation matters described below involve issues or claims that may be of particular interest to the Company's shareholders, regardless of whether any of these matters may be material to the financial position or operations of the Company based upon the standard set forth in the SEC's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Source Search Technologies, LLC v. LendingTree, LLC, </w:t>
      </w:r>
      <w:r>
        <w:rPr>
          <w:rFonts w:ascii="Arial" w:cs="Arial" w:eastAsia="Arial" w:hAnsi="Arial"/>
          <w:sz w:val="16"/>
          <w:szCs w:val="16"/>
          <w:b w:val="1"/>
          <w:bCs w:val="1"/>
          <w:color w:val="auto"/>
        </w:rPr>
        <w:t>No. 2:04-CV-04420 (U.S. Dist. Ct., D.N.J.).</w:t>
      </w:r>
      <w:r>
        <w:rPr>
          <w:rFonts w:ascii="Arial" w:cs="Arial" w:eastAsia="Arial" w:hAnsi="Arial"/>
          <w:sz w:val="16"/>
          <w:szCs w:val="16"/>
          <w:b w:val="1"/>
          <w:bCs w:val="1"/>
          <w:i w:val="1"/>
          <w:iCs w:val="1"/>
          <w:color w:val="auto"/>
        </w:rPr>
        <w:t xml:space="preserve"> Source Search Technologies, LLC 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LendingTree, LLC, </w:t>
      </w:r>
      <w:r>
        <w:rPr>
          <w:rFonts w:ascii="Arial" w:cs="Arial" w:eastAsia="Arial" w:hAnsi="Arial"/>
          <w:sz w:val="16"/>
          <w:szCs w:val="16"/>
          <w:b w:val="1"/>
          <w:bCs w:val="1"/>
          <w:color w:val="auto"/>
        </w:rPr>
        <w:t>No. 2:04-CV-04420 (U.S. Dist. Ct., D.N.J.).</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September 13, 2004, Source Search Technologies, LLC ("SST") filed suit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LendingTree, LLC ("LendingTree") and other companies in the U.S. District Court for the District of New Jersey, alleging infringement of U.S.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5,758,328 (the "'328 patent"), which generally claims a computerized procurement system. SST seeks damages, attorneys' fees and injunctive relief.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2004, LendingTree filed a counterclaim seeking a declaration that the '328 patent is invalid and unenforceable.</w:t>
      </w:r>
    </w:p>
    <w:p>
      <w:pPr>
        <w:spacing w:after="0" w:line="21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court issued claim construction orders on October 16 and November 13, 2007. Following the completion of discovery, LendingTree and SST filed cross-motions for summary judgment on the issues of infringement and invalidity. LendingTree also filed a motion for summary judgment on the ground that any infringement was not willful. The court heard oral argument on these motions on November 13, 2007 and February 4, 2008.</w:t>
      </w:r>
    </w:p>
    <w:p>
      <w:pPr>
        <w:spacing w:after="0" w:line="16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On July 9, 2008, the court entered an opinion regarding the parties' motions for summary judgment. The court granted LendingTree's motion that the asserted claims of the '328 patent are invalid for obviousness, granted SST's motion that LendingTree infringes the asserted '328 claims, granted SST's motion that the '328 claims are not invalid for indefiniteness, dismissed LendingTree's motion for summary judgment of no willful infringement as moot, and denied SST's motion to strike the supplemental report of LendingTree's expert. On July 10, 2008, the court entered an order consistent with the rulings in its opinion and closed the case.</w:t>
      </w:r>
    </w:p>
    <w:p>
      <w:pPr>
        <w:spacing w:after="0" w:line="15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August 22, 2008, SST appealed the court's finding of invalidity and LendingTree cross appealed on the judgments of infringement and indefiniteness. LendingTree has not received notice from SST regarding whether it intends to appeal the court's ruling on obviousness. Opening briefs were filed in January 2009. Oral argument is expected in third quarter 2009.</w:t>
      </w:r>
    </w:p>
    <w:p>
      <w:pPr>
        <w:spacing w:after="0" w:line="188" w:lineRule="exact"/>
        <w:rPr>
          <w:sz w:val="20"/>
          <w:szCs w:val="20"/>
          <w:color w:val="auto"/>
        </w:rPr>
      </w:pPr>
    </w:p>
    <w:p>
      <w:pPr>
        <w:jc w:val="both"/>
        <w:ind w:right="60" w:firstLine="351"/>
        <w:spacing w:after="0" w:line="301" w:lineRule="auto"/>
        <w:rPr>
          <w:sz w:val="20"/>
          <w:szCs w:val="20"/>
          <w:color w:val="auto"/>
        </w:rPr>
      </w:pPr>
      <w:r>
        <w:rPr>
          <w:rFonts w:ascii="Arial" w:cs="Arial" w:eastAsia="Arial" w:hAnsi="Arial"/>
          <w:sz w:val="16"/>
          <w:szCs w:val="16"/>
          <w:b w:val="1"/>
          <w:bCs w:val="1"/>
          <w:i w:val="1"/>
          <w:iCs w:val="1"/>
          <w:color w:val="auto"/>
        </w:rPr>
        <w:t>Block Financial Corp. v. LendingTree, Inc.</w:t>
      </w:r>
      <w:r>
        <w:rPr>
          <w:rFonts w:ascii="Arial" w:cs="Arial" w:eastAsia="Arial" w:hAnsi="Arial"/>
          <w:sz w:val="16"/>
          <w:szCs w:val="16"/>
          <w:b w:val="1"/>
          <w:bCs w:val="1"/>
          <w:color w:val="auto"/>
        </w:rPr>
        <w:t>, No. 01-cv-1007 ODS (U.S. Dist. Ct., W.D. Mo.);</w:t>
      </w:r>
      <w:r>
        <w:rPr>
          <w:rFonts w:ascii="Arial" w:cs="Arial" w:eastAsia="Arial" w:hAnsi="Arial"/>
          <w:sz w:val="16"/>
          <w:szCs w:val="16"/>
          <w:b w:val="1"/>
          <w:bCs w:val="1"/>
          <w:i w:val="1"/>
          <w:iCs w:val="1"/>
          <w:color w:val="auto"/>
        </w:rPr>
        <w:t xml:space="preserve"> LendingTree, LLC v. Block Financial LLC</w:t>
      </w:r>
      <w:r>
        <w:rPr>
          <w:rFonts w:ascii="Arial" w:cs="Arial" w:eastAsia="Arial" w:hAnsi="Arial"/>
          <w:sz w:val="16"/>
          <w:szCs w:val="16"/>
          <w:b w:val="1"/>
          <w:bCs w:val="1"/>
          <w:color w:val="auto"/>
        </w:rPr>
        <w:t>, No. 08-cv-164</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ODS (U.S. Dist. Ct., W.D. Mo.). </w:t>
      </w:r>
      <w:r>
        <w:rPr>
          <w:rFonts w:ascii="Arial" w:cs="Arial" w:eastAsia="Arial" w:hAnsi="Arial"/>
          <w:sz w:val="16"/>
          <w:szCs w:val="16"/>
          <w:color w:val="auto"/>
        </w:rPr>
        <w:t>On September 14, 2001, Block Financial Corporation ("Block") filed suit against LendingTree in the U.S. District Court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Western District of Missouri, alleging that LendingTree's loan-matching process infringes U.S. Patent No. 6,014,645 (the "'645 patent"), which generally claims a real-time application system for financial cards. Block seeks damages, attorneys' fees and injunctive relief.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In 2002, LendingTree, LLC filed a petition to reexamine the '645 patent with the United States Patent and Trademark Office. The Patent Office agreed to reexamine the '645 patent, and the court stayed the litigation pending reexamination. In December 2006, the Patent Office republished the patent, with certain modifications. The court then lifted its stay of the litigation. On September 27, 2007, the court issued a claim construction order.</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February 2008, Block provided LendingTree with notice of a recently issued patent, U.S. Patent No. 7,310,617 (the "'617 patent"), a continuation of the '645 patent that purports to claim a real-time application system for financial offerings (as opposed to only financial cards). On March 6, 2008, LendingTree filed suit in the U.S. District Court for the Western District of Missouri seeking a declaration that the '617 patent is invalid. On April 14, 2008, Block filed an answer and counterclaim. Block asserts that LendingTree's loan-matching process infringes the '617 patent. Block seeks damages, attorneys' fees and injunctive relief.</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June 24, 2008, the court consolidated the two cases and approved a schedule setting a trial date of October 26, 2009. The consolidated case is currently in discovery.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(Wage/Hour) Litigation</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Gonzalez v. Home Loan Center, Inc., </w:t>
      </w:r>
      <w:r>
        <w:rPr>
          <w:rFonts w:ascii="Arial" w:cs="Arial" w:eastAsia="Arial" w:hAnsi="Arial"/>
          <w:sz w:val="18"/>
          <w:szCs w:val="18"/>
          <w:b w:val="1"/>
          <w:bCs w:val="1"/>
          <w:color w:val="auto"/>
        </w:rPr>
        <w:t>No. CV06-5007 (U.S. Dist. Ct., C.D. 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9, 2006, Daniel Gonzalez filed this putative class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Home Loan Center, Inc. ("HLC") in the U.S. District Court for the Central District of California. Plaintiff, a former HLC loan officer, asserted that HLC: failed to pay overtime; failed to pay wages due upon termination; failed to provide proper wage statements; failed to reimburse employees for expenses and/or improperly deducted wages for business-related expenses; and failed to provide meal and rest periods. Based upon these factual allegations, Plaintiff asserted violations of various California wage and hour laws, conversion, and violations of California Business &amp; Professions Code § 17200 (the "UCL"). Plaintiff purported to represent a class of loan officers employed by HLC in California since August 9, 2002, and seeks damages, restitution, attorneys' fees and injunctive relief.</w:t>
      </w:r>
    </w:p>
    <w:p>
      <w:pPr>
        <w:spacing w:after="0" w:line="20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On December 27, 2006, Plaintiff filed a second amended complaint, adding two additional plaintiffs, David Nottingham and Jeffrey Howerton. Because these new plaintiffs had signed agreements with HLC to arbitrate all employment-related claims, HLC filed a motion to compel arbitration.</w:t>
      </w:r>
    </w:p>
    <w:p>
      <w:pPr>
        <w:spacing w:after="0" w:line="13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Following a mediation held in September 2007, the parties entered into an agreement to settle this action, subject to court approval. Under the settlement agreement, HLC agreed to pay a maximum of $4.0 million, inclusive of payments to class members as well as attorneys' fees and costs. On May 13, 2008, Plaintiffs filed a motion for preliminary approval of the settlement. On June 13, 2008, the court, following a hearing, granted Plaintiffs' motion and preliminarily approved the settlement. The court also scheduled a final approval hearing for December 16, 2008.</w:t>
      </w:r>
    </w:p>
    <w:p>
      <w:pPr>
        <w:spacing w:after="0" w:line="16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September 30, 2007, LendingTree, LLC's reserve for this matter was approximately $2.1 million. This figure reflected Tree.com's estimates as to the minimum percentage of class members likely to submit claims for payment and the contractual indemnity obligations of former HLC shareholders for liability that arose prior to LendingTree, LLC's acquisition of HLC. The number of class members actually submitting claims for payment was higher than expected, resulting in a larger overall settlement than originally forecasted. As a final settlement, in December 2008, HLC disbursed $3.4 million to the class members collectively, of which approximately $1.0 million is subject to contractual indemnification by the former HLC stockholders. Plaintiffs' claims were then dismissed on December 18, 2008.</w:t>
      </w:r>
    </w:p>
    <w:p>
      <w:pPr>
        <w:spacing w:after="0" w:line="192" w:lineRule="exact"/>
        <w:rPr>
          <w:sz w:val="20"/>
          <w:szCs w:val="20"/>
          <w:color w:val="auto"/>
        </w:rPr>
      </w:pPr>
    </w:p>
    <w:p>
      <w:pPr>
        <w:jc w:val="both"/>
        <w:ind w:right="100" w:firstLine="351"/>
        <w:spacing w:after="0" w:line="301" w:lineRule="auto"/>
        <w:rPr>
          <w:sz w:val="20"/>
          <w:szCs w:val="20"/>
          <w:color w:val="auto"/>
        </w:rPr>
      </w:pPr>
      <w:r>
        <w:rPr>
          <w:rFonts w:ascii="Arial" w:cs="Arial" w:eastAsia="Arial" w:hAnsi="Arial"/>
          <w:sz w:val="16"/>
          <w:szCs w:val="16"/>
          <w:b w:val="1"/>
          <w:bCs w:val="1"/>
          <w:i w:val="1"/>
          <w:iCs w:val="1"/>
          <w:color w:val="auto"/>
        </w:rPr>
        <w:t xml:space="preserve">Artzi v. LendingTree, LLC, IAC/InterActiveCorp, and Home Loan Center, Inc., </w:t>
      </w:r>
      <w:r>
        <w:rPr>
          <w:rFonts w:ascii="Arial" w:cs="Arial" w:eastAsia="Arial" w:hAnsi="Arial"/>
          <w:sz w:val="16"/>
          <w:szCs w:val="16"/>
          <w:b w:val="1"/>
          <w:bCs w:val="1"/>
          <w:color w:val="auto"/>
        </w:rPr>
        <w:t>No. 00180037 (Cal. Super. Ct., Orange Cty.).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2008, Elion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Artzi and Shannon Kostadinov served this putative class action against LendingTree, IAC/InterActiveCorp and HLC in the Superior Court of California, County of Orange. Plaintiffs, former HLC underwriting clerks, allege that HLC: denied overtime compensation in violation of California labor law; failed to pay wages for compensable meal breaks in violation of California labor law; failed to pay timely wages in violation of California labor law; failed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furnish itemized wage statements in violation of California labor law; and based upon the foregoing, committed unfair business practices in violation of the UCL. Plaintiffs purport to represent all underwriting clerks employed by HLC in California since July 27, 2004.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not yet filed a motion for class certification. No trial date has been set. A status conference is set for March 9, 2009.</w:t>
      </w:r>
    </w:p>
    <w:p>
      <w:pPr>
        <w:spacing w:after="0" w:line="219"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i w:val="1"/>
          <w:iCs w:val="1"/>
          <w:color w:val="auto"/>
        </w:rPr>
        <w:t xml:space="preserve">Richardson v. Home Loan Center, Inc., </w:t>
      </w:r>
      <w:r>
        <w:rPr>
          <w:rFonts w:ascii="Arial" w:cs="Arial" w:eastAsia="Arial" w:hAnsi="Arial"/>
          <w:sz w:val="16"/>
          <w:szCs w:val="16"/>
          <w:b w:val="1"/>
          <w:bCs w:val="1"/>
          <w:color w:val="auto"/>
        </w:rPr>
        <w:t>No. 07CC01337 (Cal. Super. Ct., Orange Cty.).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2, 2007, Angela Richardson filed this putative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against HLC in the California Superior Court for Orange County. Plaintiff, a former HLC loan processor, alleges that HLC: failed to pay overtime; failed to provide meal and rest periods; failed to pay wages due upon termination; and failed to provide proper wage statements. Based upon these factual allegations, plaintiff asserts that HLC violated various California wage and hour laws as well as the UCL. Plaintiff purports to represent all loan processors, funders and underwriters employed by HLC since August 2, 2003, and seeks damages, restitution, attorneys' fees and injunctive relief.</w:t>
      </w:r>
    </w:p>
    <w:p>
      <w:pPr>
        <w:spacing w:after="0" w:line="16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After mediation on August 15, 2008, the parties entered into a tentative agreement for settlement of these three cases. Under the settlement agreement, HLC has agreed to pay a maximum of $2.5 million for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w:t>
      </w:r>
      <w:r>
        <w:rPr>
          <w:rFonts w:ascii="Arial" w:cs="Arial" w:eastAsia="Arial" w:hAnsi="Arial"/>
          <w:sz w:val="18"/>
          <w:szCs w:val="18"/>
          <w:i w:val="1"/>
          <w:iCs w:val="1"/>
          <w:color w:val="auto"/>
        </w:rPr>
        <w:t>Johanson</w:t>
      </w:r>
      <w:r>
        <w:rPr>
          <w:rFonts w:ascii="Arial" w:cs="Arial" w:eastAsia="Arial" w:hAnsi="Arial"/>
          <w:sz w:val="18"/>
          <w:szCs w:val="18"/>
          <w:color w:val="auto"/>
        </w:rPr>
        <w:t xml:space="preserve">, and </w:t>
      </w:r>
      <w:r>
        <w:rPr>
          <w:rFonts w:ascii="Arial" w:cs="Arial" w:eastAsia="Arial" w:hAnsi="Arial"/>
          <w:sz w:val="18"/>
          <w:szCs w:val="18"/>
          <w:i w:val="1"/>
          <w:iCs w:val="1"/>
          <w:color w:val="auto"/>
        </w:rPr>
        <w:t>D'Asero</w:t>
      </w:r>
      <w:r>
        <w:rPr>
          <w:rFonts w:ascii="Arial" w:cs="Arial" w:eastAsia="Arial" w:hAnsi="Arial"/>
          <w:sz w:val="18"/>
          <w:szCs w:val="18"/>
          <w:color w:val="auto"/>
        </w:rPr>
        <w:t xml:space="preserve"> cases, inclusive of payments to class members as well as attorneys' fees and costs. The settlement agreement must be approved by the court in order to become effective. The final approval hearing will be March 10, 2009. Settlement funds must be deposited into escrow by March 15, 2009.</w:t>
      </w:r>
    </w:p>
    <w:p>
      <w:pPr>
        <w:spacing w:after="0" w:line="197"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 xml:space="preserve">As of January 9, 2009, LendingTree's reserve for this matter, and the </w:t>
      </w:r>
      <w:r>
        <w:rPr>
          <w:rFonts w:ascii="Arial" w:cs="Arial" w:eastAsia="Arial" w:hAnsi="Arial"/>
          <w:sz w:val="18"/>
          <w:szCs w:val="18"/>
          <w:i w:val="1"/>
          <w:iCs w:val="1"/>
          <w:color w:val="auto"/>
        </w:rPr>
        <w:t>Johanson</w:t>
      </w:r>
      <w:r>
        <w:rPr>
          <w:rFonts w:ascii="Arial" w:cs="Arial" w:eastAsia="Arial" w:hAnsi="Arial"/>
          <w:sz w:val="18"/>
          <w:szCs w:val="18"/>
          <w:color w:val="auto"/>
        </w:rPr>
        <w:t xml:space="preserve"> and </w:t>
      </w:r>
      <w:r>
        <w:rPr>
          <w:rFonts w:ascii="Arial" w:cs="Arial" w:eastAsia="Arial" w:hAnsi="Arial"/>
          <w:sz w:val="18"/>
          <w:szCs w:val="18"/>
          <w:i w:val="1"/>
          <w:iCs w:val="1"/>
          <w:color w:val="auto"/>
        </w:rPr>
        <w:t>D'Asero</w:t>
      </w:r>
      <w:r>
        <w:rPr>
          <w:rFonts w:ascii="Arial" w:cs="Arial" w:eastAsia="Arial" w:hAnsi="Arial"/>
          <w:sz w:val="18"/>
          <w:szCs w:val="18"/>
          <w:color w:val="auto"/>
        </w:rPr>
        <w:t xml:space="preserve"> matters below, was $2.0 million, net of any amount subject to indemnification by the former HLC stockholders.</w:t>
      </w:r>
    </w:p>
    <w:p>
      <w:pPr>
        <w:spacing w:after="0" w:line="180" w:lineRule="exact"/>
        <w:rPr>
          <w:sz w:val="20"/>
          <w:szCs w:val="20"/>
          <w:color w:val="auto"/>
        </w:rPr>
      </w:pPr>
    </w:p>
    <w:p>
      <w:pPr>
        <w:ind w:right="120" w:firstLine="351"/>
        <w:spacing w:after="0" w:line="301" w:lineRule="auto"/>
        <w:rPr>
          <w:sz w:val="20"/>
          <w:szCs w:val="20"/>
          <w:color w:val="auto"/>
        </w:rPr>
      </w:pPr>
      <w:r>
        <w:rPr>
          <w:rFonts w:ascii="Arial" w:cs="Arial" w:eastAsia="Arial" w:hAnsi="Arial"/>
          <w:sz w:val="16"/>
          <w:szCs w:val="16"/>
          <w:b w:val="1"/>
          <w:bCs w:val="1"/>
          <w:i w:val="1"/>
          <w:iCs w:val="1"/>
          <w:color w:val="auto"/>
        </w:rPr>
        <w:t xml:space="preserve">Primanto v. Home Loan Center, Inc., </w:t>
      </w:r>
      <w:r>
        <w:rPr>
          <w:rFonts w:ascii="Arial" w:cs="Arial" w:eastAsia="Arial" w:hAnsi="Arial"/>
          <w:sz w:val="16"/>
          <w:szCs w:val="16"/>
          <w:b w:val="1"/>
          <w:bCs w:val="1"/>
          <w:color w:val="auto"/>
        </w:rPr>
        <w:t>No. 07CC01382 (Cal. Super. Ct., Orange Cty.).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September 28, 2007, William Primanto filed this putative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against HLC in the California Superior Court for Orange County. Plaintiff, a former HLC loan officer, alleges that HLC failed to pay overtime and asserts violations of various California wage and hour laws and of the UCL. Plaintiff purports to represent all loan officers employed by HLC in California since September 28, 2003, and seeks compensatory damages, statutory penalties, restitution and attorneys' fees.</w:t>
      </w:r>
    </w:p>
    <w:p>
      <w:pPr>
        <w:spacing w:after="0" w:line="163"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On December 13, 2007, the court, at the request of the parties, entered an order staying the action pending resolution of the </w:t>
      </w:r>
      <w:r>
        <w:rPr>
          <w:rFonts w:ascii="Arial" w:cs="Arial" w:eastAsia="Arial" w:hAnsi="Arial"/>
          <w:sz w:val="18"/>
          <w:szCs w:val="18"/>
          <w:i w:val="1"/>
          <w:iCs w:val="1"/>
          <w:color w:val="auto"/>
        </w:rPr>
        <w:t>Gonzalez</w:t>
      </w:r>
      <w:r>
        <w:rPr>
          <w:rFonts w:ascii="Arial" w:cs="Arial" w:eastAsia="Arial" w:hAnsi="Arial"/>
          <w:sz w:val="18"/>
          <w:szCs w:val="18"/>
          <w:color w:val="auto"/>
        </w:rPr>
        <w:t xml:space="preserve"> action (discussed above). The case remains stayed.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On January 8, 2009 the Plaintiff filed a dismissal with the court because Plaintiff will be participating in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settlement.</w:t>
      </w:r>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i w:val="1"/>
          <w:iCs w:val="1"/>
          <w:color w:val="auto"/>
        </w:rPr>
        <w:t xml:space="preserve">Johanson v. Home Loan Center, Inc., </w:t>
      </w:r>
      <w:r>
        <w:rPr>
          <w:rFonts w:ascii="Arial" w:cs="Arial" w:eastAsia="Arial" w:hAnsi="Arial"/>
          <w:sz w:val="16"/>
          <w:szCs w:val="16"/>
          <w:b w:val="1"/>
          <w:bCs w:val="1"/>
          <w:color w:val="auto"/>
        </w:rPr>
        <w:t>No. 07CC01405 (Cal. Super. Ct., Orange Cty.).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November 8, 2007, Brian Johanson and Brendan Dwyer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putative class action against HLC in the California Superior Court for Orange County. Plaintiffs, former HLC loan officers, assert that HLC: failed to pay overtime, compensation, commission wages and bonus wages; failed to provide proper wage statements; failed to provide rest periods and meal periods or compensation in lieu thereof; and failed to pay wages due employees upon termination. Based upon these factual allegations, Plaintiffs assert violations of various California wage and hour laws and of the UCL. Plaintiffs purport to represent a class of all persons employed by HLC in California since November 8, 2003, and seek compensatory damages, statutory penalties, restitution and attorneys' fees.</w:t>
      </w:r>
    </w:p>
    <w:p>
      <w:pPr>
        <w:spacing w:after="0" w:line="17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After mediation on August 15, 2008, the parties entered into a tentative agreement for settlement of these three cases. Under the settlement agreement, HLC has agreed to pay a maximum of $2.5 million for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w:t>
      </w:r>
      <w:r>
        <w:rPr>
          <w:rFonts w:ascii="Arial" w:cs="Arial" w:eastAsia="Arial" w:hAnsi="Arial"/>
          <w:sz w:val="18"/>
          <w:szCs w:val="18"/>
          <w:i w:val="1"/>
          <w:iCs w:val="1"/>
          <w:color w:val="auto"/>
        </w:rPr>
        <w:t>Johanson</w:t>
      </w:r>
      <w:r>
        <w:rPr>
          <w:rFonts w:ascii="Arial" w:cs="Arial" w:eastAsia="Arial" w:hAnsi="Arial"/>
          <w:sz w:val="18"/>
          <w:szCs w:val="18"/>
          <w:color w:val="auto"/>
        </w:rPr>
        <w:t xml:space="preserve">, and </w:t>
      </w:r>
      <w:r>
        <w:rPr>
          <w:rFonts w:ascii="Arial" w:cs="Arial" w:eastAsia="Arial" w:hAnsi="Arial"/>
          <w:sz w:val="18"/>
          <w:szCs w:val="18"/>
          <w:i w:val="1"/>
          <w:iCs w:val="1"/>
          <w:color w:val="auto"/>
        </w:rPr>
        <w:t>D'Asero</w:t>
      </w:r>
      <w:r>
        <w:rPr>
          <w:rFonts w:ascii="Arial" w:cs="Arial" w:eastAsia="Arial" w:hAnsi="Arial"/>
          <w:sz w:val="18"/>
          <w:szCs w:val="18"/>
          <w:color w:val="auto"/>
        </w:rPr>
        <w:t xml:space="preserve"> cases, inclusive of payments to class members as well as attorneys' fees and costs. The settlement agreement must be approved by the court in order to become effective. The final approval hearing will be March 10, 2009. Settlement funds must be deposited into escrow by March 15, 2009.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 xml:space="preserve">As of January 9, 2009, LendingTree's reserve for this matter, and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and </w:t>
      </w:r>
      <w:r>
        <w:rPr>
          <w:rFonts w:ascii="Arial" w:cs="Arial" w:eastAsia="Arial" w:hAnsi="Arial"/>
          <w:sz w:val="18"/>
          <w:szCs w:val="18"/>
          <w:i w:val="1"/>
          <w:iCs w:val="1"/>
          <w:color w:val="auto"/>
        </w:rPr>
        <w:t>D'Asero</w:t>
      </w:r>
      <w:r>
        <w:rPr>
          <w:rFonts w:ascii="Arial" w:cs="Arial" w:eastAsia="Arial" w:hAnsi="Arial"/>
          <w:sz w:val="18"/>
          <w:szCs w:val="18"/>
          <w:color w:val="auto"/>
        </w:rPr>
        <w:t xml:space="preserve"> matters was $2.0 million, net of any amount subject to indemnification by the former HLC stockholders.</w:t>
      </w:r>
    </w:p>
    <w:p>
      <w:pPr>
        <w:spacing w:after="0" w:line="18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D'Asero v. Home Loan Center, Inc., </w:t>
      </w:r>
      <w:r>
        <w:rPr>
          <w:rFonts w:ascii="Arial" w:cs="Arial" w:eastAsia="Arial" w:hAnsi="Arial"/>
          <w:sz w:val="16"/>
          <w:szCs w:val="16"/>
          <w:b w:val="1"/>
          <w:bCs w:val="1"/>
          <w:color w:val="auto"/>
        </w:rPr>
        <w:t>No. SACV08-384 (U.S. Dist. Ct., C.D. 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9, 2008, Frank D'Asero, Ezekial Mohammed, Pouria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Safabakhsh and Michael McCarver filed this putative class action against HLC in the U.S. District Court for the Central District of California. Plaintiffs, former HLC loan officers, allege that HLC: denied overtime compensation in violation of federal labor law; denied overtime compensation in violation of California labor law; failed to pay wages for compensable meal breaks in violation of California labor law; made unauthorized deductions from earned wages, failed to indemnify employees and coerced purchases in violation of California labor law; made unauthorized deductions from wages in violation of North Carolina labor law; failed to pay timely wages in violation of California labor law; failed to pay wages in violation of North Carolina labor law; failed to furnish itemized wage statements in violation of California labor law; and based upon the foregoing, committed unfair business practices in violation of the UCL.</w:t>
      </w:r>
    </w:p>
    <w:p>
      <w:pPr>
        <w:spacing w:after="0" w:line="173"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Plaintiffs purport to represent all loan officers employed by HLC in California since April 9, 2004 and all loan officers employed by HLC in North Carolina since April 9, 2006. Plaintiffs also purport to bring a collective action under the federal Fair Labor Standards Act on behalf of all loan officers employed by HLC since April 9, 2005. Plaintiffs seek declaratory relief, an injunction, liquidated damages, compensatory damages, attorneys' fees, restitution and penalties.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May 30, 2008, HLC filed a motion to compel arbitration of Plaintiffs' claims based upon their signed agreements with HLC to arbitrate all employment-related claims.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June 10, 2008, Plaintiffs filed a first amended complaint, which added a new claim for violation of California's Private Attorneys General Act of 2004. In addition, on June 10, 2008, Plaintiffs filed a motion for conditional class certification. A hearing date on Plaintiffs' motion is scheduled for July 1, 2008.</w:t>
      </w:r>
    </w:p>
    <w:p>
      <w:pPr>
        <w:spacing w:after="0" w:line="139"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After mediation on August 15, 2008, the parties entered into a tentative agreement for settlement of these three cases. Under the settlement agreement, HLC has agreed to pay a maximum of $2.5 million for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w:t>
      </w:r>
      <w:r>
        <w:rPr>
          <w:rFonts w:ascii="Arial" w:cs="Arial" w:eastAsia="Arial" w:hAnsi="Arial"/>
          <w:sz w:val="18"/>
          <w:szCs w:val="18"/>
          <w:i w:val="1"/>
          <w:iCs w:val="1"/>
          <w:color w:val="auto"/>
        </w:rPr>
        <w:t>Johanson</w:t>
      </w:r>
      <w:r>
        <w:rPr>
          <w:rFonts w:ascii="Arial" w:cs="Arial" w:eastAsia="Arial" w:hAnsi="Arial"/>
          <w:sz w:val="18"/>
          <w:szCs w:val="18"/>
          <w:color w:val="auto"/>
        </w:rPr>
        <w:t xml:space="preserve">, and </w:t>
      </w:r>
      <w:r>
        <w:rPr>
          <w:rFonts w:ascii="Arial" w:cs="Arial" w:eastAsia="Arial" w:hAnsi="Arial"/>
          <w:sz w:val="18"/>
          <w:szCs w:val="18"/>
          <w:i w:val="1"/>
          <w:iCs w:val="1"/>
          <w:color w:val="auto"/>
        </w:rPr>
        <w:t>D'Asero</w:t>
      </w:r>
      <w:r>
        <w:rPr>
          <w:rFonts w:ascii="Arial" w:cs="Arial" w:eastAsia="Arial" w:hAnsi="Arial"/>
          <w:sz w:val="18"/>
          <w:szCs w:val="18"/>
          <w:color w:val="auto"/>
        </w:rPr>
        <w:t xml:space="preserve"> cases, inclusive of payments to class members as well as attorneys' fees and costs. The settlement agreement must be approved by the court in order to become effective. The final approval hearing will be March 10, 2009. Settlement funds must be deposited into escrow by March 15, 2009.</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 xml:space="preserve">As of January 9, 2009, LendingTree's reserve for this matter, and the </w:t>
      </w:r>
      <w:r>
        <w:rPr>
          <w:rFonts w:ascii="Arial" w:cs="Arial" w:eastAsia="Arial" w:hAnsi="Arial"/>
          <w:sz w:val="18"/>
          <w:szCs w:val="18"/>
          <w:i w:val="1"/>
          <w:iCs w:val="1"/>
          <w:color w:val="auto"/>
        </w:rPr>
        <w:t>Richardson</w:t>
      </w:r>
      <w:r>
        <w:rPr>
          <w:rFonts w:ascii="Arial" w:cs="Arial" w:eastAsia="Arial" w:hAnsi="Arial"/>
          <w:sz w:val="18"/>
          <w:szCs w:val="18"/>
          <w:color w:val="auto"/>
        </w:rPr>
        <w:t xml:space="preserve"> and </w:t>
      </w:r>
      <w:r>
        <w:rPr>
          <w:rFonts w:ascii="Arial" w:cs="Arial" w:eastAsia="Arial" w:hAnsi="Arial"/>
          <w:sz w:val="18"/>
          <w:szCs w:val="18"/>
          <w:i w:val="1"/>
          <w:iCs w:val="1"/>
          <w:color w:val="auto"/>
        </w:rPr>
        <w:t>Johanson</w:t>
      </w:r>
      <w:r>
        <w:rPr>
          <w:rFonts w:ascii="Arial" w:cs="Arial" w:eastAsia="Arial" w:hAnsi="Arial"/>
          <w:sz w:val="18"/>
          <w:szCs w:val="18"/>
          <w:color w:val="auto"/>
        </w:rPr>
        <w:t xml:space="preserve"> matters above, was $2.0 million, net of any amount subject to indemnification by the former HLC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 Information Security Litigation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Miller v. LendingTree, LLC, No. 08cv2300 (U.S. Dist. Ct., N.D. Ill.). </w:t>
      </w:r>
      <w:r>
        <w:rPr>
          <w:rFonts w:ascii="Arial" w:cs="Arial" w:eastAsia="Arial" w:hAnsi="Arial"/>
          <w:sz w:val="16"/>
          <w:szCs w:val="16"/>
          <w:color w:val="auto"/>
        </w:rPr>
        <w:t>On April 22, 2008, Eugene Miller filed this putative class action against LendingTree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U.S. District Court for the Northern District of Illinois. The case arises out of LendingTree's April 21, 2008 announcement that unauthorized persons had gained access to non-public information relating to its customers. Plaintiff alleges that LendingTree is a "consumer reporting agency" within the meaning of the federal Fair Credit Reporting Act ("FCRA") and has violated the FCRA by failing to maintain reasonable procedures designed to limit the furnishing of consumer reports. Plaintiff also asserts claims for negligence, breach of implied contract, invasion of privacy and misappropriation of confidential information. Plaintiff purports to represent all LendingTree customers affected by the information security breach, and seeks damages, attorneys' fees and injunctive relief.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 xml:space="preserve">On June 11, 2008, the plaintiffs in the </w:t>
      </w:r>
      <w:r>
        <w:rPr>
          <w:rFonts w:ascii="Arial" w:cs="Arial" w:eastAsia="Arial" w:hAnsi="Arial"/>
          <w:sz w:val="16"/>
          <w:szCs w:val="16"/>
          <w:i w:val="1"/>
          <w:iCs w:val="1"/>
          <w:color w:val="auto"/>
        </w:rPr>
        <w:t>Spinozzi</w:t>
      </w:r>
      <w:r>
        <w:rPr>
          <w:rFonts w:ascii="Arial" w:cs="Arial" w:eastAsia="Arial" w:hAnsi="Arial"/>
          <w:sz w:val="16"/>
          <w:szCs w:val="16"/>
          <w:color w:val="auto"/>
        </w:rPr>
        <w:t xml:space="preserve"> and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cases (discussed below) filed a motion with the Judicial Panel on Multidistrict Litigation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6"/>
          <w:szCs w:val="16"/>
          <w:i w:val="1"/>
          <w:iCs w:val="1"/>
          <w:color w:val="auto"/>
        </w:rPr>
        <w:t>Spinozzi</w:t>
      </w:r>
      <w:r>
        <w:rPr>
          <w:rFonts w:ascii="Arial" w:cs="Arial" w:eastAsia="Arial" w:hAnsi="Arial"/>
          <w:sz w:val="16"/>
          <w:szCs w:val="16"/>
          <w:color w:val="auto"/>
        </w:rPr>
        <w:t xml:space="preserve"> and </w:t>
      </w:r>
      <w:r>
        <w:rPr>
          <w:rFonts w:ascii="Arial" w:cs="Arial" w:eastAsia="Arial" w:hAnsi="Arial"/>
          <w:sz w:val="16"/>
          <w:szCs w:val="16"/>
          <w:i w:val="1"/>
          <w:iCs w:val="1"/>
          <w:color w:val="auto"/>
        </w:rPr>
        <w:t>Carson</w:t>
      </w:r>
      <w:r>
        <w:rPr>
          <w:rFonts w:ascii="Arial" w:cs="Arial" w:eastAsia="Arial" w:hAnsi="Arial"/>
          <w:sz w:val="16"/>
          <w:szCs w:val="16"/>
          <w:color w:val="auto"/>
        </w:rPr>
        <w:t xml:space="preserve"> plaintiffs in support of this motion.</w:t>
      </w:r>
    </w:p>
    <w:p>
      <w:pPr>
        <w:spacing w:after="0" w:line="16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 xml:space="preserve">While this motion was pending before the MDL Panel, on June 23, 2008, LendingTree moved to dismiss the lawsuit and compel arbitration. On October 7, 2008, the MDL Panel granted the motion before it, transferring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lawsuit to the Western District of North Carolina.</w:t>
      </w:r>
    </w:p>
    <w:p>
      <w:pPr>
        <w:spacing w:after="0" w:line="139"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On February 5, 2009, a hearing was held on LendingTree's June 2008 motion to dismiss and to compel arbitration. At the hearing,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Miller</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Mitchell v. Home Loan Center, Inc., No. 08-303-RJC (U.S. Dist. Ct., W.D. N.C.). </w:t>
      </w:r>
      <w:r>
        <w:rPr>
          <w:rFonts w:ascii="Arial" w:cs="Arial" w:eastAsia="Arial" w:hAnsi="Arial"/>
          <w:sz w:val="18"/>
          <w:szCs w:val="18"/>
          <w:color w:val="auto"/>
        </w:rPr>
        <w:t>On April 28, 2008, Angela Mitchell filed this putative class action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HLC and LendingTree in the U.S. District Court for the Western District of Oklahoma. As in the </w:t>
      </w:r>
      <w:r>
        <w:rPr>
          <w:rFonts w:ascii="Arial" w:cs="Arial" w:eastAsia="Arial" w:hAnsi="Arial"/>
          <w:sz w:val="18"/>
          <w:szCs w:val="18"/>
          <w:i w:val="1"/>
          <w:iCs w:val="1"/>
          <w:color w:val="auto"/>
        </w:rPr>
        <w:t>Miller</w:t>
      </w:r>
      <w:r>
        <w:rPr>
          <w:rFonts w:ascii="Arial" w:cs="Arial" w:eastAsia="Arial" w:hAnsi="Arial"/>
          <w:sz w:val="18"/>
          <w:szCs w:val="18"/>
          <w:color w:val="auto"/>
        </w:rPr>
        <w:t xml:space="preserve"> case (discussed above), the case arises out of LendingTree's April 21, 2008 announcement that unauthorized persons had gained access to non-public information relating to its customers. Plaintiff asserts claims for breach of contract, negligence and negligence per se. Plaintiff purports to represent all similarly situated persons, and seeks damages, attorneys' fees and injunctive relief.</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LendingTree's demand, Plaintiff filed a motion requesting transfer of the lawsuit to the Western District of North Carolina on June 18, 2008. The motion was granted and the lawsuit was transferred to the Western District of North Carolina on June 26, 2008.</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On June 11, 2008, the plaintiffs in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cases (discussed below)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plaintiffs in support of this motion.</w:t>
      </w:r>
    </w:p>
    <w:p>
      <w:pPr>
        <w:spacing w:after="0" w:line="19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While this motion was pending before the MDL Panel, on July 8, 2008, LendingTree moved to dismiss the lawsuit and compel arbitration. On August 21, 2008,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7, 2008, the MDL Panel granted Plaintiff's motion, transferring all of the related lawsuits to the Western District of North Carolina.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Mitchell</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Constance Spinozzi v. LendingTree, LLC, No. 3:08-cv-229 (U.S. Dist. Ct., W.D.N.C.). </w:t>
      </w:r>
      <w:r>
        <w:rPr>
          <w:rFonts w:ascii="Arial" w:cs="Arial" w:eastAsia="Arial" w:hAnsi="Arial"/>
          <w:sz w:val="16"/>
          <w:szCs w:val="16"/>
          <w:color w:val="auto"/>
        </w:rPr>
        <w:t>On May 15, 2008, Constance Spinozzi filed this putative class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against LendingTree in the U.S. District Court for the Western District of North Carolina. As in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case (discussed above), the case arises out of LendingTree's April 21, 2008 announcement that unauthorized persons had gained access to non-public information relating to its customers. Plaintiff alleges that LendingTree is a "consumer reporting agency" within the meaning of the FCRA and has violated the FCRA by failing to maintain reasonable procedures designed to limit the furnishing of consumer reports. Plaintiff also asserts claims for negligence and breach of implied contract. Plaintiff purports to represent all LendingTree customers affected by the information security breach, and seeks damages, attorneys' fees and injunctive relief.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On June 11, 2008, Plaintiff Spinozzi and the plaintiff in the </w:t>
      </w:r>
      <w:r>
        <w:rPr>
          <w:rFonts w:ascii="Arial" w:cs="Arial" w:eastAsia="Arial" w:hAnsi="Arial"/>
          <w:sz w:val="16"/>
          <w:szCs w:val="16"/>
          <w:i w:val="1"/>
          <w:iCs w:val="1"/>
          <w:color w:val="auto"/>
        </w:rPr>
        <w:t>Carson</w:t>
      </w:r>
      <w:r>
        <w:rPr>
          <w:rFonts w:ascii="Arial" w:cs="Arial" w:eastAsia="Arial" w:hAnsi="Arial"/>
          <w:sz w:val="16"/>
          <w:szCs w:val="16"/>
          <w:color w:val="auto"/>
        </w:rPr>
        <w:t xml:space="preserve"> case (discussed below)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6"/>
          <w:szCs w:val="16"/>
          <w:i w:val="1"/>
          <w:iCs w:val="1"/>
          <w:color w:val="auto"/>
        </w:rPr>
        <w:t>Spinozzi</w:t>
      </w:r>
      <w:r>
        <w:rPr>
          <w:rFonts w:ascii="Arial" w:cs="Arial" w:eastAsia="Arial" w:hAnsi="Arial"/>
          <w:sz w:val="16"/>
          <w:szCs w:val="16"/>
          <w:color w:val="auto"/>
        </w:rPr>
        <w:t xml:space="preserve"> and </w:t>
      </w:r>
      <w:r>
        <w:rPr>
          <w:rFonts w:ascii="Arial" w:cs="Arial" w:eastAsia="Arial" w:hAnsi="Arial"/>
          <w:sz w:val="16"/>
          <w:szCs w:val="16"/>
          <w:i w:val="1"/>
          <w:iCs w:val="1"/>
          <w:color w:val="auto"/>
        </w:rPr>
        <w:t>Carson</w:t>
      </w:r>
      <w:r>
        <w:rPr>
          <w:rFonts w:ascii="Arial" w:cs="Arial" w:eastAsia="Arial" w:hAnsi="Arial"/>
          <w:sz w:val="16"/>
          <w:szCs w:val="16"/>
          <w:color w:val="auto"/>
        </w:rPr>
        <w:t xml:space="preserve"> plaintiffs in support of this motion.</w:t>
      </w:r>
    </w:p>
    <w:p>
      <w:pPr>
        <w:spacing w:after="0" w:line="16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While this motion was pending before the MDL Panel, on July 8, 2008, LendingTree moved to dismiss the lawsuit and compel arbitration. On August 21, 2008,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7, 2008, the MDL Panel granted Plaintiff's motion, transferring all of the related lawsuits to the Western District of North Carolina.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Sylvia Carson v. LendingTree, LLC, No. 3:08-cv-247 (U.S. Dist. Ct., W.D.N.C.). </w:t>
      </w:r>
      <w:r>
        <w:rPr>
          <w:rFonts w:ascii="Arial" w:cs="Arial" w:eastAsia="Arial" w:hAnsi="Arial"/>
          <w:sz w:val="16"/>
          <w:szCs w:val="16"/>
          <w:color w:val="auto"/>
        </w:rPr>
        <w:t>On May 30, 2008, Sylvia Carson filed this putative class action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LendingTree in the U.S. District Court for the Western District of North Carolina. As in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case (discussed above), the case arises out of LendingTree's April 21, 2008 announcement that unauthorized persons had gained access to non-public information relating to its customers. Plaintiff alleges that LendingTree is a "consumer reporting agency" within the meaning of the FCRA and has violated the FCRA by failing to maintain reasonable procedures designed to limit the furnishing of consumer reports. Plaintiff also asserts claims for negligence and breach of implied contract. Plaintiff purports to represent all LendingTree customers affected by the information security breach, and seeks damages, attorneys' fees and injunctive relief.</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On June 11, 2008, Plaintiff Carson and the plaintiff in the </w:t>
      </w:r>
      <w:r>
        <w:rPr>
          <w:rFonts w:ascii="Arial" w:cs="Arial" w:eastAsia="Arial" w:hAnsi="Arial"/>
          <w:sz w:val="16"/>
          <w:szCs w:val="16"/>
          <w:i w:val="1"/>
          <w:iCs w:val="1"/>
          <w:color w:val="auto"/>
        </w:rPr>
        <w:t>Spinozzi</w:t>
      </w:r>
      <w:r>
        <w:rPr>
          <w:rFonts w:ascii="Arial" w:cs="Arial" w:eastAsia="Arial" w:hAnsi="Arial"/>
          <w:sz w:val="16"/>
          <w:szCs w:val="16"/>
          <w:color w:val="auto"/>
        </w:rPr>
        <w:t xml:space="preserve"> case (discussed above)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6"/>
          <w:szCs w:val="16"/>
          <w:i w:val="1"/>
          <w:iCs w:val="1"/>
          <w:color w:val="auto"/>
        </w:rPr>
        <w:t>Spinozzi</w:t>
      </w:r>
      <w:r>
        <w:rPr>
          <w:rFonts w:ascii="Arial" w:cs="Arial" w:eastAsia="Arial" w:hAnsi="Arial"/>
          <w:sz w:val="16"/>
          <w:szCs w:val="16"/>
          <w:color w:val="auto"/>
        </w:rPr>
        <w:t xml:space="preserve"> and </w:t>
      </w:r>
      <w:r>
        <w:rPr>
          <w:rFonts w:ascii="Arial" w:cs="Arial" w:eastAsia="Arial" w:hAnsi="Arial"/>
          <w:sz w:val="16"/>
          <w:szCs w:val="16"/>
          <w:i w:val="1"/>
          <w:iCs w:val="1"/>
          <w:color w:val="auto"/>
        </w:rPr>
        <w:t>Carson</w:t>
      </w:r>
      <w:r>
        <w:rPr>
          <w:rFonts w:ascii="Arial" w:cs="Arial" w:eastAsia="Arial" w:hAnsi="Arial"/>
          <w:sz w:val="16"/>
          <w:szCs w:val="16"/>
          <w:color w:val="auto"/>
        </w:rPr>
        <w:t xml:space="preserve"> plaintiffs in support of this motion.</w:t>
      </w:r>
    </w:p>
    <w:p>
      <w:pPr>
        <w:spacing w:after="0" w:line="16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While this motion was pending before the MDL Panel, on July 8, 2008, LendingTree moved to dismiss the lawsuit and compel arbitration. On August 21, 2008,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7, 2008, the MDL Panel granted Plaintiff's motion, transferring all of the related lawsuits to the Western District of North Carolina.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Marvin Garcia v. LendingTree, LLC, No. 08 Civ. 4551 (U.S. Dist. Ct., S.D.N.Y.). </w:t>
      </w:r>
      <w:r>
        <w:rPr>
          <w:rFonts w:ascii="Arial" w:cs="Arial" w:eastAsia="Arial" w:hAnsi="Arial"/>
          <w:sz w:val="18"/>
          <w:szCs w:val="18"/>
          <w:color w:val="auto"/>
        </w:rPr>
        <w:t>On July 29, 2008, Marvin Garcia filed this putative class action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LendingTree in the U.S. District Court for the Central District of California. Plaintiff previously had sued LendingTree in the Southern District of New York (</w:t>
      </w:r>
      <w:r>
        <w:rPr>
          <w:rFonts w:ascii="Arial" w:cs="Arial" w:eastAsia="Arial" w:hAnsi="Arial"/>
          <w:sz w:val="18"/>
          <w:szCs w:val="18"/>
          <w:i w:val="1"/>
          <w:iCs w:val="1"/>
          <w:color w:val="auto"/>
        </w:rPr>
        <w:t>Marvin Garcia v. LendingTree, LLC,</w:t>
      </w:r>
      <w:r>
        <w:rPr>
          <w:rFonts w:ascii="Arial" w:cs="Arial" w:eastAsia="Arial" w:hAnsi="Arial"/>
          <w:sz w:val="18"/>
          <w:szCs w:val="18"/>
          <w:color w:val="auto"/>
        </w:rPr>
        <w:t xml:space="preserve"> No. 08 Civ. 4551 (U.S. Dist. Ct., S.D.N.Y.)), but on July 28, 2008 Plaintiff voluntarily dismissed that action and subsequently filed the present suit in federal court in California.</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 xml:space="preserve">As in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case (referenced above), the case arises out of LendingTree's April 21, 2008 announcement that unauthorized persons had gained access to non-public information relating to its customers. Plaintiff alleges that LendingTree is a "consumer reporting agency" within the meaning of the FCRA. According to Plaintiff, LendingTree has intentionally violated the FCRA by failing to maintain reasonable procedures designed to limit the furnishing of consumer reports. Plaintiff also alleges LendingTree negligently violated the FCRA by failing to maintain reasonable procedures to</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protect Plaintiff's personal and financial information. Plaintiff also asserts claims against LendingTree, for negligence, breach of implied contract, invasion of privacy, misappropriation of confidential information in violation of California statute, and violation of California's UCL. Plaintiff purports to represent all similarly situated persons, and seeks damages, attorneys' fees and injunctive relief.</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On June 11, 2008, the plaintiffs in the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case (discussed above)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plaintiffs in support of this motion.</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On September 12, 2008, LendingTree moved to dismiss the case or transfer it to the Western District of North Carolina in Charlotte to be consolidated with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Mitchell</w:t>
      </w:r>
      <w:r>
        <w:rPr>
          <w:rFonts w:ascii="Arial" w:cs="Arial" w:eastAsia="Arial" w:hAnsi="Arial"/>
          <w:sz w:val="18"/>
          <w:szCs w:val="18"/>
          <w:color w:val="auto"/>
        </w:rPr>
        <w:t xml:space="preserve"> cases discussed above. While this motion was pending, on October 7, 2008, the MDL Panel granted the motion before it, transferring the </w:t>
      </w:r>
      <w:r>
        <w:rPr>
          <w:rFonts w:ascii="Arial" w:cs="Arial" w:eastAsia="Arial" w:hAnsi="Arial"/>
          <w:sz w:val="18"/>
          <w:szCs w:val="18"/>
          <w:i w:val="1"/>
          <w:iCs w:val="1"/>
          <w:color w:val="auto"/>
        </w:rPr>
        <w:t>Garcia</w:t>
      </w:r>
      <w:r>
        <w:rPr>
          <w:rFonts w:ascii="Arial" w:cs="Arial" w:eastAsia="Arial" w:hAnsi="Arial"/>
          <w:sz w:val="18"/>
          <w:szCs w:val="18"/>
          <w:color w:val="auto"/>
        </w:rPr>
        <w:t xml:space="preserve"> lawsuit to the Western District of North Carolina.</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February 5, 2009, a hearing was held on LendingTree's September 2008 motion to dismiss and to compel arbitration. At the hearing,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Garcia</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Amy Bercaw v. LendingTree, LLC, No. SACV08-660 (U.S. Dist. Ct., C.D. Cal.). </w:t>
      </w:r>
      <w:r>
        <w:rPr>
          <w:rFonts w:ascii="Arial" w:cs="Arial" w:eastAsia="Arial" w:hAnsi="Arial"/>
          <w:sz w:val="16"/>
          <w:szCs w:val="16"/>
          <w:color w:val="auto"/>
        </w:rPr>
        <w:t>On June 13, 2008, Amy Bercaw, Russell Winsett and Ty Woods filed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putative class action against LendingTree in the U.S. District Court for the Central District of California. As in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case (discussed above), the case arises out of LendingTree's April 21, 2008 announcement that unauthorized persons had gained access to non-public information relating to its customers. Plaintiffs allege that LendingTree is a "consumer reporting agency" within the meaning of the FCRA and has violated the FCRA by failing to maintain reasonable procedures designed to limit the furnishing of consumer reports. Plaintiffs also assert claims against LendingTree for negligence, breach of implied contract, invasion of privacy, misappropriation of confidential information in violation of California Civil Code § 17980.89, and violation of the California UCL. Plaintiff purports to represent all LendingTree customers affected by the information security breach, and seeks damages, attorneys' fees and injunctive relief.</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On June 11, 2008, the plaintiffs in the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cases (discussed above)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plaintiffs in support of this motion.</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On September 12, 2008, LendingTree moved to dismiss the case or transfer it to the Western District of North Carolina in Charlotte to be consolidated with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Mitchell</w:t>
      </w:r>
      <w:r>
        <w:rPr>
          <w:rFonts w:ascii="Arial" w:cs="Arial" w:eastAsia="Arial" w:hAnsi="Arial"/>
          <w:sz w:val="18"/>
          <w:szCs w:val="18"/>
          <w:color w:val="auto"/>
        </w:rPr>
        <w:t xml:space="preserve"> cases discussed above. While this motion was pending, on October 7, 2008, the MDL Panel granted the motion before it, transferring the </w:t>
      </w:r>
      <w:r>
        <w:rPr>
          <w:rFonts w:ascii="Arial" w:cs="Arial" w:eastAsia="Arial" w:hAnsi="Arial"/>
          <w:sz w:val="18"/>
          <w:szCs w:val="18"/>
          <w:i w:val="1"/>
          <w:iCs w:val="1"/>
          <w:color w:val="auto"/>
        </w:rPr>
        <w:t>Bercaw</w:t>
      </w:r>
      <w:r>
        <w:rPr>
          <w:rFonts w:ascii="Arial" w:cs="Arial" w:eastAsia="Arial" w:hAnsi="Arial"/>
          <w:sz w:val="18"/>
          <w:szCs w:val="18"/>
          <w:color w:val="auto"/>
        </w:rPr>
        <w:t xml:space="preserve"> lawsuit to the Western District of North Carolina.</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February 5, 2009, a hearing was held on LendingTree's September 2008 motion to dismiss and to compel arbitration. At the hearing,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Bercaw</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Bradley v. LendingTree, LLC, et al., SACV08-755 (U.S. Dist. Ct. C.D. Cal.). </w:t>
      </w:r>
      <w:r>
        <w:rPr>
          <w:rFonts w:ascii="Arial" w:cs="Arial" w:eastAsia="Arial" w:hAnsi="Arial"/>
          <w:sz w:val="18"/>
          <w:szCs w:val="18"/>
          <w:color w:val="auto"/>
        </w:rPr>
        <w:t>On July 10, 2008, Geraldine Bradley, Joy Paxton-Collis, James Larson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Mark Swearingen filed this putative class action against LendingTree in the U.S. District Court for the Central District of California. As in the </w:t>
      </w:r>
      <w:r>
        <w:rPr>
          <w:rFonts w:ascii="Arial" w:cs="Arial" w:eastAsia="Arial" w:hAnsi="Arial"/>
          <w:sz w:val="18"/>
          <w:szCs w:val="18"/>
          <w:i w:val="1"/>
          <w:iCs w:val="1"/>
          <w:color w:val="auto"/>
        </w:rPr>
        <w:t>Miller</w:t>
      </w:r>
      <w:r>
        <w:rPr>
          <w:rFonts w:ascii="Arial" w:cs="Arial" w:eastAsia="Arial" w:hAnsi="Arial"/>
          <w:sz w:val="18"/>
          <w:szCs w:val="18"/>
          <w:color w:val="auto"/>
        </w:rPr>
        <w:t xml:space="preserve"> case (discussed above), the case arises out of LendingTree's April 21, 2008 announcement that</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unauthorized persons had gained access to non-public information relating to its customers. Plaintiffs allege that LendingTree is a "consumer reporting agency" within the meaning of the FCRA. According to Plaintiffs, LendingTree has intentionally violated the FCRA by failing to maintain reasonable procedures designed to limit the furnishing of consumer reports. Plaintiffs also allege LendingTree negligently violated the FCRA by failing to maintain reasonable procedures to protect Plaintiffs' personal and financial information. Plaintiffs also assert claims against LendingTree for negligence, breach of implied contract, invasion of privacy, misappropriation of confidential information in violation of California statute, and violation of California's unfair competition law.</w:t>
      </w:r>
    </w:p>
    <w:p>
      <w:pPr>
        <w:spacing w:after="0" w:line="170"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 xml:space="preserve">On June 11, 2008, the plaintiffs in the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cases (discussed above)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plaintiffs in support of this motion.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On September 12, 2008, LendingTree moved to dismiss the case or transfer it to the Western District of North Carolina in Charlotte to be consolidated with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Mitchell</w:t>
      </w:r>
      <w:r>
        <w:rPr>
          <w:rFonts w:ascii="Arial" w:cs="Arial" w:eastAsia="Arial" w:hAnsi="Arial"/>
          <w:sz w:val="18"/>
          <w:szCs w:val="18"/>
          <w:color w:val="auto"/>
        </w:rPr>
        <w:t xml:space="preserve"> cases discussed above. While this motion was pending, on October 7, 2008, the MDL Panel granted the motion before it, transferring the </w:t>
      </w:r>
      <w:r>
        <w:rPr>
          <w:rFonts w:ascii="Arial" w:cs="Arial" w:eastAsia="Arial" w:hAnsi="Arial"/>
          <w:sz w:val="18"/>
          <w:szCs w:val="18"/>
          <w:i w:val="1"/>
          <w:iCs w:val="1"/>
          <w:color w:val="auto"/>
        </w:rPr>
        <w:t>Bradley</w:t>
      </w:r>
      <w:r>
        <w:rPr>
          <w:rFonts w:ascii="Arial" w:cs="Arial" w:eastAsia="Arial" w:hAnsi="Arial"/>
          <w:sz w:val="18"/>
          <w:szCs w:val="18"/>
          <w:color w:val="auto"/>
        </w:rPr>
        <w:t xml:space="preserve"> lawsuit to the Western District of North Carolina.</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February 5, 2009, a hearing was held on LendingTree's September 2008 motion to dismiss and to compel arbitration. At the hearing, the court granted LendingTree's motion, ordering the Plaintiff to arbitration and staying the litigation pending outcome of the arbitration proceeding.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Bradley</w:t>
      </w:r>
      <w:r>
        <w:rPr>
          <w:rFonts w:ascii="Arial" w:cs="Arial" w:eastAsia="Arial" w:hAnsi="Arial"/>
          <w:sz w:val="18"/>
          <w:szCs w:val="18"/>
          <w:color w:val="auto"/>
        </w:rPr>
        <w:t xml:space="preserve"> case is currently pending arbitration.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Shaver v. LendingTree, LLC, et al., SACV08-755 (U.S. Dist. Ct. C.D. Cal.). </w:t>
      </w:r>
      <w:r>
        <w:rPr>
          <w:rFonts w:ascii="Arial" w:cs="Arial" w:eastAsia="Arial" w:hAnsi="Arial"/>
          <w:sz w:val="16"/>
          <w:szCs w:val="16"/>
          <w:color w:val="auto"/>
        </w:rPr>
        <w:t>On July 10, 2008, Paul Shaver filed this putative class action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LendingTree in the U.S. District Court for the Central District of California. As in the </w:t>
      </w:r>
      <w:r>
        <w:rPr>
          <w:rFonts w:ascii="Arial" w:cs="Arial" w:eastAsia="Arial" w:hAnsi="Arial"/>
          <w:sz w:val="16"/>
          <w:szCs w:val="16"/>
          <w:i w:val="1"/>
          <w:iCs w:val="1"/>
          <w:color w:val="auto"/>
        </w:rPr>
        <w:t>Miller</w:t>
      </w:r>
      <w:r>
        <w:rPr>
          <w:rFonts w:ascii="Arial" w:cs="Arial" w:eastAsia="Arial" w:hAnsi="Arial"/>
          <w:sz w:val="16"/>
          <w:szCs w:val="16"/>
          <w:color w:val="auto"/>
        </w:rPr>
        <w:t xml:space="preserve"> case (discussed above), the case arises out of LendingTree's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21, 2008 announcement that unauthorized persons had gained access to non-public information relating to its customers. Plaintiff alleges that LendingTree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"consumer reporting agency" within the meaning of the FCRA. According to Plaintiff, LendingTree has intentionally violated the FCRA by failing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 reasonable procedures designed to limit the furnishing of consumer reports. Plaintiff also alleges LendingTree negligently violated the FCRA by failing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maintain reasonable procedures to protect Plaintiff's personal and financial information. Plaintiff also asserts claims against LendingTree for negligence, breach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implied contract, invasion of privacy, misappropriation of confidential information in violation of California statute, and violation of California's unfair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competition law. Plaintiff purports to represent all similarly situated persons, and seeks damages, attorneys' fees and injunctive relief.</w:t>
      </w:r>
    </w:p>
    <w:p>
      <w:pPr>
        <w:spacing w:after="0" w:line="219"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 xml:space="preserve">On June 11, 2008, the plaintiffs in the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cases (discussed above) filed a motion with the MDL Panel requesting that it (1) exercise jurisdiction over all actions arising out of LendingTree's April 21, 2008 announcement that unauthorized persons had gained access to non-public information relating to its customers; and (2) consolidate all such cases and transfer them to the U.S. District Court for the Western District of North Carolina. On July 3, 2008, LendingTree joined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and </w:t>
      </w:r>
      <w:r>
        <w:rPr>
          <w:rFonts w:ascii="Arial" w:cs="Arial" w:eastAsia="Arial" w:hAnsi="Arial"/>
          <w:sz w:val="18"/>
          <w:szCs w:val="18"/>
          <w:i w:val="1"/>
          <w:iCs w:val="1"/>
          <w:color w:val="auto"/>
        </w:rPr>
        <w:t>Carson</w:t>
      </w:r>
      <w:r>
        <w:rPr>
          <w:rFonts w:ascii="Arial" w:cs="Arial" w:eastAsia="Arial" w:hAnsi="Arial"/>
          <w:sz w:val="18"/>
          <w:szCs w:val="18"/>
          <w:color w:val="auto"/>
        </w:rPr>
        <w:t xml:space="preserve"> plaintiffs in support of this motion.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On September 12, 2008, LendingTree moved to dismiss the case or transfer it to the Western District of North Carolina in Charlotte to be consolidated with the </w:t>
      </w:r>
      <w:r>
        <w:rPr>
          <w:rFonts w:ascii="Arial" w:cs="Arial" w:eastAsia="Arial" w:hAnsi="Arial"/>
          <w:sz w:val="18"/>
          <w:szCs w:val="18"/>
          <w:i w:val="1"/>
          <w:iCs w:val="1"/>
          <w:color w:val="auto"/>
        </w:rPr>
        <w:t>Spinozzi</w:t>
      </w:r>
      <w:r>
        <w:rPr>
          <w:rFonts w:ascii="Arial" w:cs="Arial" w:eastAsia="Arial" w:hAnsi="Arial"/>
          <w:sz w:val="18"/>
          <w:szCs w:val="18"/>
          <w:color w:val="auto"/>
        </w:rPr>
        <w:t xml:space="preserve">, </w:t>
      </w:r>
      <w:r>
        <w:rPr>
          <w:rFonts w:ascii="Arial" w:cs="Arial" w:eastAsia="Arial" w:hAnsi="Arial"/>
          <w:sz w:val="18"/>
          <w:szCs w:val="18"/>
          <w:i w:val="1"/>
          <w:iCs w:val="1"/>
          <w:color w:val="auto"/>
        </w:rPr>
        <w:t>Carson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Mitchell</w:t>
      </w:r>
      <w:r>
        <w:rPr>
          <w:rFonts w:ascii="Arial" w:cs="Arial" w:eastAsia="Arial" w:hAnsi="Arial"/>
          <w:sz w:val="18"/>
          <w:szCs w:val="18"/>
          <w:color w:val="auto"/>
        </w:rPr>
        <w:t xml:space="preserve"> cases discussed above. While this motion was pending, on October 7, 2008, the MDL Panel granted the motion before it, transferring the </w:t>
      </w:r>
      <w:r>
        <w:rPr>
          <w:rFonts w:ascii="Arial" w:cs="Arial" w:eastAsia="Arial" w:hAnsi="Arial"/>
          <w:sz w:val="18"/>
          <w:szCs w:val="18"/>
          <w:i w:val="1"/>
          <w:iCs w:val="1"/>
          <w:color w:val="auto"/>
        </w:rPr>
        <w:t>Shaver</w:t>
      </w:r>
      <w:r>
        <w:rPr>
          <w:rFonts w:ascii="Arial" w:cs="Arial" w:eastAsia="Arial" w:hAnsi="Arial"/>
          <w:sz w:val="18"/>
          <w:szCs w:val="18"/>
          <w:color w:val="auto"/>
        </w:rPr>
        <w:t xml:space="preserve"> lawsuit to the Western District of North Carolina.</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February 5, 2009, a hearing was held on LendingTree's September 2008 motion to dismiss and to compel arbitration. At the hearing, the court granted LendingTree's motion, ordering the Plaintiff to arbitration and staying the litigation pending outcome of the arbitration proceeding.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Shaver</w:t>
      </w:r>
      <w:r>
        <w:rPr>
          <w:rFonts w:ascii="Arial" w:cs="Arial" w:eastAsia="Arial" w:hAnsi="Arial"/>
          <w:sz w:val="18"/>
          <w:szCs w:val="18"/>
          <w:color w:val="auto"/>
        </w:rPr>
        <w:t xml:space="preserve"> case is currently pending arbitration.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Carolina Mortgage Broker Litigation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Cases Pending in United States District Court of the District of South Carolina: </w:t>
      </w:r>
      <w:r>
        <w:rPr>
          <w:rFonts w:ascii="Arial" w:cs="Arial" w:eastAsia="Arial" w:hAnsi="Arial"/>
          <w:sz w:val="16"/>
          <w:szCs w:val="16"/>
          <w:b w:val="1"/>
          <w:bCs w:val="1"/>
          <w:i w:val="1"/>
          <w:iCs w:val="1"/>
          <w:color w:val="auto"/>
        </w:rPr>
        <w:t>Adams v. LendingTree,</w:t>
      </w:r>
      <w:r>
        <w:rPr>
          <w:rFonts w:ascii="Arial" w:cs="Arial" w:eastAsia="Arial" w:hAnsi="Arial"/>
          <w:sz w:val="16"/>
          <w:szCs w:val="16"/>
          <w:color w:val="auto"/>
        </w:rPr>
        <w:t xml:space="preserve"> </w:t>
      </w:r>
      <w:r>
        <w:rPr>
          <w:rFonts w:ascii="Arial" w:cs="Arial" w:eastAsia="Arial" w:hAnsi="Arial"/>
          <w:sz w:val="16"/>
          <w:szCs w:val="16"/>
          <w:b w:val="1"/>
          <w:bCs w:val="1"/>
          <w:color w:val="auto"/>
        </w:rPr>
        <w:t>No. 2008-CP-04-03021 (S.C. Common Pleas,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10th Judicial Cir. filed Sept. 9, 2008), No. 8:08-cv-03496-HFF (removed Oct. 15, 2008); </w:t>
      </w:r>
      <w:r>
        <w:rPr>
          <w:rFonts w:ascii="Arial" w:cs="Arial" w:eastAsia="Arial" w:hAnsi="Arial"/>
          <w:sz w:val="16"/>
          <w:szCs w:val="16"/>
          <w:b w:val="1"/>
          <w:bCs w:val="1"/>
          <w:i w:val="1"/>
          <w:iCs w:val="1"/>
          <w:color w:val="auto"/>
        </w:rPr>
        <w:t>Ariail v. LendingTree</w:t>
      </w:r>
      <w:r>
        <w:rPr>
          <w:rFonts w:ascii="Arial" w:cs="Arial" w:eastAsia="Arial" w:hAnsi="Arial"/>
          <w:sz w:val="16"/>
          <w:szCs w:val="16"/>
          <w:b w:val="1"/>
          <w:bCs w:val="1"/>
          <w:color w:val="auto"/>
        </w:rPr>
        <w:t xml:space="preserve">, No. 2008-CP-23-5834 (S.C. Common Pleas, 13th Judicial Cir. filed Aug. 1, 2008), No. 6:08-cv-03044-HFF (removed Sept. 3, 2008); </w:t>
      </w:r>
      <w:r>
        <w:rPr>
          <w:rFonts w:ascii="Arial" w:cs="Arial" w:eastAsia="Arial" w:hAnsi="Arial"/>
          <w:sz w:val="16"/>
          <w:szCs w:val="16"/>
          <w:b w:val="1"/>
          <w:bCs w:val="1"/>
          <w:i w:val="1"/>
          <w:iCs w:val="1"/>
          <w:color w:val="auto"/>
        </w:rPr>
        <w:t>Brackett v. LendingTree,</w:t>
      </w:r>
      <w:r>
        <w:rPr>
          <w:rFonts w:ascii="Arial" w:cs="Arial" w:eastAsia="Arial" w:hAnsi="Arial"/>
          <w:sz w:val="16"/>
          <w:szCs w:val="16"/>
          <w:b w:val="1"/>
          <w:bCs w:val="1"/>
          <w:color w:val="auto"/>
        </w:rPr>
        <w:t xml:space="preserve"> No. 2008-CP-46-3450 (S.C. Common Pleas, 16th Judicial Cir. filed Sept. 4, 2008), No. 0:08-cv-03504-HFF (removed Oct. 15, 2008); </w:t>
      </w:r>
      <w:r>
        <w:rPr>
          <w:rFonts w:ascii="Arial" w:cs="Arial" w:eastAsia="Arial" w:hAnsi="Arial"/>
          <w:sz w:val="16"/>
          <w:szCs w:val="16"/>
          <w:b w:val="1"/>
          <w:bCs w:val="1"/>
          <w:i w:val="1"/>
          <w:iCs w:val="1"/>
          <w:color w:val="auto"/>
        </w:rPr>
        <w:t>Clements v. LendingTree,</w:t>
      </w:r>
      <w:r>
        <w:rPr>
          <w:rFonts w:ascii="Arial" w:cs="Arial" w:eastAsia="Arial" w:hAnsi="Arial"/>
          <w:sz w:val="16"/>
          <w:szCs w:val="16"/>
          <w:b w:val="1"/>
          <w:bCs w:val="1"/>
          <w:color w:val="auto"/>
        </w:rPr>
        <w:t xml:space="preserve"> No. 2008-CP-21-1730 (S.C. Common Pleas, 12th Judicial Cir. filed Sept. 4, 2008), No. 4:08-cv-03508-HFF (removed Oct. 15, 2008); </w:t>
      </w:r>
      <w:r>
        <w:rPr>
          <w:rFonts w:ascii="Arial" w:cs="Arial" w:eastAsia="Arial" w:hAnsi="Arial"/>
          <w:sz w:val="16"/>
          <w:szCs w:val="16"/>
          <w:b w:val="1"/>
          <w:bCs w:val="1"/>
          <w:i w:val="1"/>
          <w:iCs w:val="1"/>
          <w:color w:val="auto"/>
        </w:rPr>
        <w:t>Gowdy v. LendingTree,</w:t>
      </w:r>
      <w:r>
        <w:rPr>
          <w:rFonts w:ascii="Arial" w:cs="Arial" w:eastAsia="Arial" w:hAnsi="Arial"/>
          <w:sz w:val="16"/>
          <w:szCs w:val="16"/>
          <w:b w:val="1"/>
          <w:bCs w:val="1"/>
          <w:color w:val="auto"/>
        </w:rPr>
        <w:t xml:space="preserve"> No. 2008-CP-42-4666 (S.C. Common Pleas, 7th Judicial Cir. filed Sept. 4, 2008), No. 7:08-cv-03495-HFF (removed Oct. 15, 2008); </w:t>
      </w:r>
      <w:r>
        <w:rPr>
          <w:rFonts w:ascii="Arial" w:cs="Arial" w:eastAsia="Arial" w:hAnsi="Arial"/>
          <w:sz w:val="16"/>
          <w:szCs w:val="16"/>
          <w:b w:val="1"/>
          <w:bCs w:val="1"/>
          <w:i w:val="1"/>
          <w:iCs w:val="1"/>
          <w:color w:val="auto"/>
        </w:rPr>
        <w:t>Hembree v. LendingTree,</w:t>
      </w:r>
      <w:r>
        <w:rPr>
          <w:rFonts w:ascii="Arial" w:cs="Arial" w:eastAsia="Arial" w:hAnsi="Arial"/>
          <w:sz w:val="16"/>
          <w:szCs w:val="16"/>
          <w:b w:val="1"/>
          <w:bCs w:val="1"/>
          <w:color w:val="auto"/>
        </w:rPr>
        <w:t xml:space="preserve"> No. 2008-CP-26-7100 (S.C. Common Pleas, 15th Judicial Cir. filed Sept. 8, 2008), No. 4:08-cv-03499-HFF (removed Oct. 15, 2008); </w:t>
      </w:r>
      <w:r>
        <w:rPr>
          <w:rFonts w:ascii="Arial" w:cs="Arial" w:eastAsia="Arial" w:hAnsi="Arial"/>
          <w:sz w:val="16"/>
          <w:szCs w:val="16"/>
          <w:b w:val="1"/>
          <w:bCs w:val="1"/>
          <w:i w:val="1"/>
          <w:iCs w:val="1"/>
          <w:color w:val="auto"/>
        </w:rPr>
        <w:t>Hodge v. LendingTree,</w:t>
      </w:r>
      <w:r>
        <w:rPr>
          <w:rFonts w:ascii="Arial" w:cs="Arial" w:eastAsia="Arial" w:hAnsi="Arial"/>
          <w:sz w:val="16"/>
          <w:szCs w:val="16"/>
          <w:b w:val="1"/>
          <w:bCs w:val="1"/>
          <w:color w:val="auto"/>
        </w:rPr>
        <w:t xml:space="preserve"> No. 2008-CP-13-356 (S.C. Common Pleas, 4th Judicial Cir. filed Sept. 4, 2008), No. 4:08-cv-03507-HFF (removed Oct. 15, 2008); </w:t>
      </w:r>
      <w:r>
        <w:rPr>
          <w:rFonts w:ascii="Arial" w:cs="Arial" w:eastAsia="Arial" w:hAnsi="Arial"/>
          <w:sz w:val="16"/>
          <w:szCs w:val="16"/>
          <w:b w:val="1"/>
          <w:bCs w:val="1"/>
          <w:i w:val="1"/>
          <w:iCs w:val="1"/>
          <w:color w:val="auto"/>
        </w:rPr>
        <w:t>Morgan v. LendingTree,</w:t>
      </w:r>
      <w:r>
        <w:rPr>
          <w:rFonts w:ascii="Arial" w:cs="Arial" w:eastAsia="Arial" w:hAnsi="Arial"/>
          <w:sz w:val="16"/>
          <w:szCs w:val="16"/>
          <w:b w:val="1"/>
          <w:bCs w:val="1"/>
          <w:color w:val="auto"/>
        </w:rPr>
        <w:t xml:space="preserve"> No. 2008-CP-02-1529 (S.C. Common Pleas, 2nd Judicial Cir. filed Sept. 8, 2008), No. 1:08-cv-03503-HFF (removed Oct. 15, 2008); </w:t>
      </w:r>
      <w:r>
        <w:rPr>
          <w:rFonts w:ascii="Arial" w:cs="Arial" w:eastAsia="Arial" w:hAnsi="Arial"/>
          <w:sz w:val="16"/>
          <w:szCs w:val="16"/>
          <w:b w:val="1"/>
          <w:bCs w:val="1"/>
          <w:i w:val="1"/>
          <w:iCs w:val="1"/>
          <w:color w:val="auto"/>
        </w:rPr>
        <w:t>Stone v. LendingTree,</w:t>
      </w:r>
      <w:r>
        <w:rPr>
          <w:rFonts w:ascii="Arial" w:cs="Arial" w:eastAsia="Arial" w:hAnsi="Arial"/>
          <w:sz w:val="16"/>
          <w:szCs w:val="16"/>
          <w:b w:val="1"/>
          <w:bCs w:val="1"/>
          <w:color w:val="auto"/>
        </w:rPr>
        <w:t xml:space="preserve"> No. 2008-CP-07-03458 (S.C. Common Pleas, 14th Judicial Cir. filed Sept. 8, 2008), No. 9:08-cv-03505-HFF (removed Oct. 15, 2008); </w:t>
      </w:r>
      <w:r>
        <w:rPr>
          <w:rFonts w:ascii="Arial" w:cs="Arial" w:eastAsia="Arial" w:hAnsi="Arial"/>
          <w:sz w:val="16"/>
          <w:szCs w:val="16"/>
          <w:b w:val="1"/>
          <w:bCs w:val="1"/>
          <w:i w:val="1"/>
          <w:iCs w:val="1"/>
          <w:color w:val="auto"/>
        </w:rPr>
        <w:t>Wilson v. LendingTree,</w:t>
      </w:r>
      <w:r>
        <w:rPr>
          <w:rFonts w:ascii="Arial" w:cs="Arial" w:eastAsia="Arial" w:hAnsi="Arial"/>
          <w:sz w:val="16"/>
          <w:szCs w:val="16"/>
          <w:b w:val="1"/>
          <w:bCs w:val="1"/>
          <w:color w:val="auto"/>
        </w:rPr>
        <w:t xml:space="preserve"> No. 2008-CP-10-5451 (S.C. Common Pleas, 9th Judicial Cir. filed Sept. 24, 2008), No. 2:08-cv-03677-HFF (removed Oct. 20, 2008).</w:t>
      </w:r>
    </w:p>
    <w:p>
      <w:pPr>
        <w:spacing w:after="0" w:line="173"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color w:val="auto"/>
        </w:rPr>
        <w:t xml:space="preserve">Cases Pending in South Carolina State Court: </w:t>
      </w:r>
      <w:r>
        <w:rPr>
          <w:rFonts w:ascii="Arial" w:cs="Arial" w:eastAsia="Arial" w:hAnsi="Arial"/>
          <w:sz w:val="18"/>
          <w:szCs w:val="18"/>
          <w:b w:val="1"/>
          <w:bCs w:val="1"/>
          <w:i w:val="1"/>
          <w:iCs w:val="1"/>
          <w:color w:val="auto"/>
        </w:rPr>
        <w:t>Giese v. LendingTree</w:t>
      </w:r>
      <w:r>
        <w:rPr>
          <w:rFonts w:ascii="Arial" w:cs="Arial" w:eastAsia="Arial" w:hAnsi="Arial"/>
          <w:sz w:val="18"/>
          <w:szCs w:val="18"/>
          <w:b w:val="1"/>
          <w:bCs w:val="1"/>
          <w:color w:val="auto"/>
        </w:rPr>
        <w:t>, No. 2008-CP-40-6714 (S.C. Common Pleas, 5th Judicial Cir. filed Sept. 17, 2008);</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Myers v. LendingTree</w:t>
      </w:r>
      <w:r>
        <w:rPr>
          <w:rFonts w:ascii="Arial" w:cs="Arial" w:eastAsia="Arial" w:hAnsi="Arial"/>
          <w:sz w:val="18"/>
          <w:szCs w:val="18"/>
          <w:b w:val="1"/>
          <w:bCs w:val="1"/>
          <w:color w:val="auto"/>
        </w:rPr>
        <w:t>, No. 2008-CP-32-03841 (S.C. Common Pleas, 11th Judicial Cir. filed Sept. 17, 2008);</w:t>
      </w:r>
      <w:r>
        <w:rPr>
          <w:rFonts w:ascii="Arial" w:cs="Arial" w:eastAsia="Arial" w:hAnsi="Arial"/>
          <w:sz w:val="18"/>
          <w:szCs w:val="18"/>
          <w:b w:val="1"/>
          <w:bCs w:val="1"/>
          <w:i w:val="1"/>
          <w:iCs w:val="1"/>
          <w:color w:val="auto"/>
        </w:rPr>
        <w:t xml:space="preserve"> Pascoe v. LendingTree</w:t>
      </w:r>
      <w:r>
        <w:rPr>
          <w:rFonts w:ascii="Arial" w:cs="Arial" w:eastAsia="Arial" w:hAnsi="Arial"/>
          <w:sz w:val="18"/>
          <w:szCs w:val="18"/>
          <w:b w:val="1"/>
          <w:bCs w:val="1"/>
          <w:color w:val="auto"/>
        </w:rPr>
        <w:t>, No. 2008-CP-09-00136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(S.C. Common Pleas, 1st Judicial Cir. filed Sept. 18, 2008).</w:t>
      </w:r>
    </w:p>
    <w:p>
      <w:pPr>
        <w:spacing w:after="0" w:line="192" w:lineRule="exact"/>
        <w:rPr>
          <w:sz w:val="20"/>
          <w:szCs w:val="20"/>
          <w:color w:val="auto"/>
        </w:rPr>
      </w:pPr>
    </w:p>
    <w:p>
      <w:pPr>
        <w:ind w:right="200" w:firstLine="348"/>
        <w:spacing w:after="0" w:line="323" w:lineRule="auto"/>
        <w:rPr>
          <w:sz w:val="20"/>
          <w:szCs w:val="20"/>
          <w:color w:val="auto"/>
        </w:rPr>
      </w:pPr>
      <w:r>
        <w:rPr>
          <w:rFonts w:ascii="Arial" w:cs="Arial" w:eastAsia="Arial" w:hAnsi="Arial"/>
          <w:sz w:val="15"/>
          <w:szCs w:val="15"/>
          <w:color w:val="auto"/>
        </w:rPr>
        <w:t>These thirteen lawsuits were filed between August 1, 2008 and the end of September 2008 by the State of South Carolina, through its various circuit solicitors, against LendingTree. These lawsuits allege that LendingTree failed to provide certain disclosures required by the South Carolina Registration of Mortgage Loan Brokers Act. The complaint seeks relief on behalf of all residents of various counties in South Carolina who agreed to the terms of use of LendingTree's website. The complaint requests an award of statutory penalties, forfeiture of all fees paid and recovery of actual costs, including attorneys' fees.</w:t>
      </w:r>
    </w:p>
    <w:p>
      <w:pPr>
        <w:spacing w:after="0" w:line="15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Between September 3 and October 15, 2008, LendingTree removed ten of these cases to federal court, and on October 22, 2008 filed motions to dismiss and to stay discovery in those actions. Plaintiffs have filed motions to remand in these same cases and LendingTree is awaiting rulings on those motions from the federal court.</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January 6, 2009, the Supreme Court of South Carolina assigned exclusive jurisdiction over the three remaining cases and any similar cases that might be subsequently filed in or remanded to the state court system to a single circuit judge to promote the effective and expeditious disposition of the litigation. The judge will supervise and coordinate discovery and dispose of all pretrial motions and other pretrial matters including, where appropriate, motions for summary judgment, but not for trial. Prior to the Supreme Court's assignment of the cases to a single judge, on November 3, 2008, LendingTree moved to dismiss the three remaining state court actions and requested a stay of discovery. The Plaintiffs in the three state court cases have moved to compel discovery. The state court judge has not scheduled a hearing on the pending motions.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trial date is 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Boschma v. Home Loan Center, Inc., No. SACV07-613 (U.S. Dist. Ct., C.D. Cal.). </w:t>
      </w:r>
      <w:r>
        <w:rPr>
          <w:rFonts w:ascii="Arial" w:cs="Arial" w:eastAsia="Arial" w:hAnsi="Arial"/>
          <w:sz w:val="18"/>
          <w:szCs w:val="18"/>
          <w:color w:val="auto"/>
        </w:rPr>
        <w:t>On May 25, 2007, Clarence and Shirley Boschma filed this putative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action against HLC in the U.S. District Court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for the Central District of California.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Plaintiffs assert violations of the federal Truth in Lending Act (the "TILA"), violations of the UCL, breach of contract, breach of the covenant of good faith and fair dealing and violations of California's Consumer Legal Remedies Act (the "CLRA"). Plaintiffs purport to represent a class of all individuals who between June 1, 2003 and May 31, 2007 obtained through HLC an option ARM loan on their primary residence located in California, and seek rescission, damages, attorneys' fees and injunctive relief. On August 10, 2007, Plaintiffs filed a first amended complaint that dropped their CLRA claim.</w:t>
      </w:r>
    </w:p>
    <w:p>
      <w:pPr>
        <w:spacing w:after="0" w:line="15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September 11, 2007, HLC filed a motion to dismiss and a motion to strike the amended complaint. In its motion to dismiss, HLC argued that Plaintiffs' UCL claim should be dismissed because they fail to properly allege that they or the putative class members suffered injury as a result of HLC's alleged misrepresentations. The motion to dismiss also requests dismissal of Plaintiffs' claims for breach of contract and for breach of the implied covenant of good faith and fair dealing. HLC's motion to strike requests that the court strike Plaintiffs' demand for class-wide rescission under the TILA and demand for disgorgement the UCL. Plaintiffs opposed both motions. On May 27, 2008, the court granted HLC's motion to dismiss, denied HLC's motion to strike as moot, and granted Plaintiffs leave to file a second amended complaint. On June 16, 2008, Plaintiffs filed a second amended complaint, which added a claim for fraudulent omissions. In response, HLC raised the issue that the class representatives had no standing to assert any claims for rescission under the TILA based on the fact that they had since refinanced their loan. On July 24, 2008, Plaintiffs filed a third amended complaint. In response, on September 8, 2008 HLC filed a motion to dismiss and a motion to strike</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parties have agreed not to conduct discovery until after the court rules on HLC's motions. The court has taken the HLC's motions to dismiss and strike under submission. Plaintiffs have not yet filed a motion for class certification. No trial date has been set.</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Gaines v. Home Loan Center, Inc., No. SACV08-667 (U.S. Dist. Ct., C.D. Cal.). </w:t>
      </w:r>
      <w:r>
        <w:rPr>
          <w:rFonts w:ascii="Arial" w:cs="Arial" w:eastAsia="Arial" w:hAnsi="Arial"/>
          <w:sz w:val="16"/>
          <w:szCs w:val="16"/>
          <w:color w:val="auto"/>
        </w:rPr>
        <w:t>On June 13, 2008, Joanne Gaines and Johnnie Cave filed this putative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against HLC and LendingTree in the U.S. District Court for the Central District of California. Plaintiffs allege, in essence, that (1) HLC failed to disclose that the bundled amount for certain loan closing services (called the "TrueCost") that HLC charged to Plaintiffs was greater than HLC's actual costs for those services; (2) HLC's option ARM note failed to tell Plaintiffs that the stated interest rate and payment amounts would change after the first month and that the payment amount stated in the note was not sufficient to pay interest charges, resulting in negative amortization; and (3) HLC misrepresented that Plaintiffs would have to obtain a home equity line of credit in order to obtain a low interest rate on their option ARM loans. Based upon these factual allegations, Plaintiffs assert violations of the federal Racketeer Influenced and Corrupt Organizations Act, the TILA, the California UCL, California Business and Professions Code § 17500, the CLRA, breach of contract, breach of the implied covenant of good faith and fair dealing, unjust enrichment, conversion, and money had and received.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Plaintiffs purport to represent all HLC customers who, since December 14, 2004 (1) were charged by HLC and paid an amount that exceeded HLC's actual costs for those services; and/or (2) entered into option ARM loan agreements with HLC; and/or (3) were misled into taking out a home equity line of credit along with their option ARM mortgage. Plaintiffs seek restitution, disgorgement, damages, attorneys' fees and injunctive relief.</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July 28, 2008, HLC filed a motion to dismiss. The court issued an order taking HLC's motion to dismiss under submission and cancelled a scheduled October 6, 2008 hearing. HLC has objected to served discovery and awaits the court's scheduling order.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not yet filed a motion for class certification. No trial date has been set.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Schnee v. LendingTree, LLC and Home Loan Center, Inc., No. 06CC00211 (Cal. Super. Ct., Orange Cty.). </w:t>
      </w:r>
      <w:r>
        <w:rPr>
          <w:rFonts w:ascii="Arial" w:cs="Arial" w:eastAsia="Arial" w:hAnsi="Arial"/>
          <w:sz w:val="16"/>
          <w:szCs w:val="16"/>
          <w:color w:val="auto"/>
        </w:rPr>
        <w:t>On October 11, 2006, four individual plaintiffs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this putative class action against LendingTree and HLC in the California Superior Court for Orange County. Plaintiffs allege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 would have been charged. Based upon these allegations, Plaintiffs assert that LendingTree and HLC violated the California UCL, California Business and Professions Code</w:t>
      </w:r>
    </w:p>
    <w:p>
      <w:pPr>
        <w:spacing w:after="0" w:line="2" w:lineRule="exact"/>
        <w:rPr>
          <w:sz w:val="20"/>
          <w:szCs w:val="20"/>
          <w:color w:val="auto"/>
        </w:rPr>
      </w:pPr>
    </w:p>
    <w:p>
      <w:pPr>
        <w:ind w:right="180" w:firstLine="8"/>
        <w:spacing w:after="0" w:line="261" w:lineRule="auto"/>
        <w:tabs>
          <w:tab w:leader="none" w:pos="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17500, and the CLRA. Plaintiffs purport to represent a nationwide class of consumers who sought lender referrals from LendingTree and obtained loans from HLC since December 1, 2004. Plaintiffs seek damages, restitution, attorneys' fees and injunctive relief.</w:t>
      </w:r>
    </w:p>
    <w:p>
      <w:pPr>
        <w:spacing w:after="0" w:line="19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November 27, 2006, LendingTree and HLC filed demurrers and a motion to strike portions of the complaint, arguing, among other things, that the complaint did not adequately allege that the named class representatives read and relied upon the allegedly deceptive representations on LendingTree's website. On January 25, 2007, the court sustained the demurrers and granted the motion to strike on the reliance issue, but otherwise overruled the demurrers and denied the motion to strike. On February 14, 2007, Plaintiffs filed their first amended complaint.</w:t>
      </w:r>
    </w:p>
    <w:p>
      <w:pPr>
        <w:spacing w:after="0" w:line="16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On March 12, 2007, LendingTree and HLC filed demurrers and a motion to strike portions of the first amended complaint. On May 17, 2007, the court overruled the demurrers and denied the motion to strike. On June 11, 2007, LendingTree and HLC filed an answer to the first amended complaint.</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28, 2008, LendingTree and HLC filed a motion for summary judgment. On September 2, 2008, a Second Amended Complaint was filed, adding a new named plaintiff and naming Tree.com, Inc. and LendingTree's former parent, IAC/InterActiveCorp, as defendants. On November 19, 2008 a Third Amended complaint was filed and the Answer was filed December 22, 2008.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case remains in discovery. Plaintiffs have not yet filed a motion for class certification. No trial date has been set.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 that HLC interfered with LendingTree's contracts with Network Lenders by taking referrals from LendingTree. The complaint is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above). Based upon these factual allegations, Plaintiffs assert claims for intentional interference with contractual relations, intentional interference with prospective economic advantage, and violation of the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February 8, 2007, HLC filed a demurrer and a motion to strike portions of Plaintiffs' complaint. On March 15, 2007, the court overruled the demurrer but granted the motion to strike in part, striking the portion of the complaint that sought restitution and disgorgement of all profits made by HLC from December 14, 2004 to date.</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In September, 2008 plaintiffs filed a motion to have the discovery in this action consolidated with that in the </w:t>
      </w:r>
      <w:r>
        <w:rPr>
          <w:rFonts w:ascii="Arial" w:cs="Arial" w:eastAsia="Arial" w:hAnsi="Arial"/>
          <w:sz w:val="18"/>
          <w:szCs w:val="18"/>
          <w:i w:val="1"/>
          <w:iCs w:val="1"/>
          <w:color w:val="auto"/>
        </w:rPr>
        <w:t>Schnee v. LendingTree, LLC.</w:t>
      </w:r>
      <w:r>
        <w:rPr>
          <w:rFonts w:ascii="Arial" w:cs="Arial" w:eastAsia="Arial" w:hAnsi="Arial"/>
          <w:sz w:val="18"/>
          <w:szCs w:val="18"/>
          <w:color w:val="auto"/>
        </w:rPr>
        <w:t xml:space="preserve"> The motion was denied.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case remains in discovery. Plaintiffs have not yet filed a motion for class certification. No trial date has been set.</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the Company's security holders during the fourth quarter of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540"/>
        <w:spacing w:after="0" w:line="50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Registrant's Common Equity and Related Stockholder Matters</w:t>
      </w:r>
    </w:p>
    <w:p>
      <w:pPr>
        <w:spacing w:after="0" w:line="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Tree.com common stock is quoted on The Nasdaq Stock Market, or "NASDAQ," under the ticker symbol "TREE." The table below sets forth, for the calendar periods indicated, the high and low sales prices per share for Tree.com common stock as reported on NASDAQ, which began trading on August 21, 2008.</w:t>
      </w:r>
    </w:p>
    <w:p>
      <w:pPr>
        <w:spacing w:after="0" w:line="244"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High</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Fourth Quarter</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$5.80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Company has never declared or paid any cash dividends on its common stock. The Company does not intend to declare or pay any cash dividends on its common stock in the forseeable future. The declaration, payment and amount of future cash dividends, if any, will be at the discretion of the board of directors.</w:t>
      </w:r>
    </w:p>
    <w:p>
      <w:pPr>
        <w:spacing w:after="0" w:line="116"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As of February 24, 2009, there were approximately 1,330 holders of record of the Company's common stock and the closing price of Tree.com common stock was $4.20. Because many of the outstanding shares of Tree.com common stock are held by brokers and other institutions on behalf of shareholders, Tree.com is not able to estimate the total number of beneficial shareholders represented by these record holders.</w:t>
      </w:r>
    </w:p>
    <w:p>
      <w:pPr>
        <w:spacing w:after="0" w:line="16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During the quarter ended December 31, 2008, the Company did not issue or sell any shares of its common stock or other equity securities pursuant to unregistered transactions.</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February 9, 2009, the Chairman and CEO agreed to purchase 935,000 newly issued shares of unregistered restricted common stock from the company at $3.91 per share, based on the Friday, February 6, 2009 closing share price. The shares of common stock have not been registered under the Securities Act of 1933 and may not be offered or sold in the United States absent registration or an applicable exemption from registration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Company did not purchase any shares of its common stock during the quarter ended December 31, 2008. The Company has not announced any repurchase authorizations.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DATA</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presents summary selected historical consolidated financial information for Tree.com, Inc. This data was derived, in part, from the historical consolidated financial statements of Tree.com included elsewhere in this document and reflects the operations and financial position of Tree.com at the dates and for the periods indicated. The information in this table should be read in conjunction with the consolidated financial statements and accompanying notes and other financial data pertaining to Tree.com included herein. However, this information does not necessarily reflect what the historical financial position and results of operations of Tree.com for periods prior to the spin-off would have been had Tree.com been a stand-alone company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1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jc w:val="right"/>
              <w:ind w:right="132"/>
              <w:spacing w:after="0" w:line="129" w:lineRule="exact"/>
              <w:rPr>
                <w:sz w:val="20"/>
                <w:szCs w:val="20"/>
                <w:color w:val="auto"/>
              </w:rPr>
            </w:pPr>
            <w:r>
              <w:rPr>
                <w:rFonts w:ascii="Arial" w:cs="Arial" w:eastAsia="Arial" w:hAnsi="Arial"/>
                <w:sz w:val="14"/>
                <w:szCs w:val="14"/>
                <w:b w:val="1"/>
                <w:bCs w:val="1"/>
                <w:color w:val="auto"/>
              </w:rPr>
              <w:t>2004(3)</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2008(1)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2007(2)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3"/>
              </w:rPr>
              <w:t>(unaudited)</w:t>
            </w:r>
          </w:p>
        </w:tc>
        <w:tc>
          <w:tcPr>
            <w:tcW w:w="460" w:type="dxa"/>
            <w:vAlign w:val="bottom"/>
            <w:gridSpan w:val="2"/>
          </w:tcPr>
          <w:p>
            <w:pPr>
              <w:spacing w:after="0"/>
              <w:rPr>
                <w:sz w:val="14"/>
                <w:szCs w:val="14"/>
                <w:color w:val="auto"/>
              </w:rPr>
            </w:pPr>
          </w:p>
        </w:tc>
      </w:tr>
      <w:tr>
        <w:trPr>
          <w:trHeight w:val="142"/>
        </w:trPr>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760" w:type="dxa"/>
            <w:vAlign w:val="bottom"/>
            <w:gridSpan w:val="8"/>
          </w:tcPr>
          <w:p>
            <w:pPr>
              <w:jc w:val="right"/>
              <w:ind w:right="300"/>
              <w:spacing w:after="0" w:line="142" w:lineRule="exact"/>
              <w:rPr>
                <w:sz w:val="20"/>
                <w:szCs w:val="20"/>
                <w:color w:val="auto"/>
              </w:rPr>
            </w:pPr>
            <w:r>
              <w:rPr>
                <w:rFonts w:ascii="Arial" w:cs="Arial" w:eastAsia="Arial" w:hAnsi="Arial"/>
                <w:sz w:val="14"/>
                <w:szCs w:val="14"/>
                <w:b w:val="1"/>
                <w:bCs w:val="1"/>
                <w:color w:val="auto"/>
                <w:w w:val="80"/>
              </w:rPr>
              <w:t>except per share amounts)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$ 228,572</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$ 346,378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$476,478</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$421,355</w:t>
            </w:r>
          </w:p>
        </w:tc>
        <w:tc>
          <w:tcPr>
            <w:tcW w:w="2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2"/>
              </w:rPr>
              <w:t>$ 189,783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(215,030)</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(540,440)</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19,254</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(202,276)</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(550,402)</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8,693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(9,187)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(59.00)</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851"/>
        </w:trPr>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1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rPr>
              <w:t>2004(3)</w:t>
            </w:r>
          </w:p>
        </w:tc>
        <w:tc>
          <w:tcPr>
            <w:tcW w:w="40" w:type="dxa"/>
            <w:vAlign w:val="bottom"/>
          </w:tcPr>
          <w:p>
            <w:pPr>
              <w:spacing w:after="0"/>
              <w:rPr>
                <w:sz w:val="11"/>
                <w:szCs w:val="11"/>
                <w:color w:val="auto"/>
              </w:rPr>
            </w:pPr>
          </w:p>
        </w:tc>
      </w:tr>
      <w:tr>
        <w:trPr>
          <w:trHeight w:val="16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76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r>
      <w:tr>
        <w:trPr>
          <w:trHeight w:val="210"/>
        </w:trPr>
        <w:tc>
          <w:tcPr>
            <w:tcW w:w="166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Working capital (deficit)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74,772</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  (7,380)</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   79,463</w:t>
            </w: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74,754</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35,784</w:t>
            </w: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284,083</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443,587</w:t>
            </w:r>
          </w:p>
        </w:tc>
        <w:tc>
          <w:tcPr>
            <w:tcW w:w="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1,261,045</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1,326,961</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1,074,896</w:t>
            </w:r>
          </w:p>
        </w:tc>
        <w:tc>
          <w:tcPr>
            <w:tcW w:w="4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620" w:type="dxa"/>
            <w:vAlign w:val="bottom"/>
            <w:gridSpan w:val="5"/>
          </w:tcPr>
          <w:p>
            <w:pPr>
              <w:spacing w:after="0"/>
              <w:rPr>
                <w:sz w:val="20"/>
                <w:szCs w:val="20"/>
                <w:color w:val="auto"/>
              </w:rPr>
            </w:pPr>
            <w:r>
              <w:rPr>
                <w:rFonts w:ascii="Arial" w:cs="Arial" w:eastAsia="Arial" w:hAnsi="Arial"/>
                <w:sz w:val="18"/>
                <w:szCs w:val="18"/>
                <w:color w:val="auto"/>
                <w:w w:val="96"/>
              </w:rPr>
              <w:t>Long-term obligations, net of current maturities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19,347</w:t>
            </w: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28,894</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36,755</w:t>
            </w: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138,128</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214,624</w:t>
            </w:r>
          </w:p>
        </w:tc>
        <w:tc>
          <w:tcPr>
            <w:tcW w:w="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773,453</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766,486</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753,674</w:t>
            </w:r>
          </w:p>
        </w:tc>
        <w:tc>
          <w:tcPr>
            <w:tcW w:w="40" w:type="dxa"/>
            <w:vAlign w:val="bottom"/>
            <w:shd w:val="clear" w:color="auto" w:fill="CCEEFF"/>
          </w:tcPr>
          <w:p>
            <w:pPr>
              <w:spacing w:after="0"/>
              <w:rPr>
                <w:sz w:val="18"/>
                <w:szCs w:val="18"/>
                <w:color w:val="auto"/>
              </w:rPr>
            </w:pPr>
          </w:p>
        </w:tc>
      </w:tr>
      <w:tr>
        <w:trPr>
          <w:trHeight w:val="108"/>
        </w:trPr>
        <w:tc>
          <w:tcPr>
            <w:tcW w:w="16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21" w:lineRule="exact"/>
        <w:rPr>
          <w:sz w:val="20"/>
          <w:szCs w:val="20"/>
          <w:color w:val="auto"/>
        </w:rPr>
      </w:pPr>
    </w:p>
    <w:p>
      <w:pPr>
        <w:ind w:left="540" w:right="58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loss includes impairment charges of $103.6 million related to the write-down of Tree.com's Lending segment goodwill and an indefinite-lived intangible asset and $60.8 million related to the write-down of Tree.com's Real Estate segment goodwill.</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loss includes impairment charges of $475.7 million related to the write-down of Tree.com's Lending segment goodwill and intangible assets.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results of Home Loan Center since its acquisition on December 14,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August 20, 2008, Tree.com, Inc. ("Tree.com") (along with its subsidiary, LendingTree, LLC) was spun off from its parent company, IAC/InterActiveCorp ("IAC") into a separate publicly traded company. In this annual report, we refer to the separation transaction as the "spin-off." Tree.com was originally incorporated as a Delaware corporation in April 2008, in anticipation of the spin-off.</w:t>
      </w:r>
    </w:p>
    <w:p>
      <w:pPr>
        <w:spacing w:after="0" w:line="194"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Tree.com consists of the businesses that formerly comprised IAC's Lending and Real Estate segments. We refer herein to these businesses as the "Tree.com Businesses," which include LendingTree.com, RealEstate.com, GetSmart.com, Home Loan Center, Inc. (d/b/a LendingTree Loans) and iNest.com.</w:t>
      </w:r>
    </w:p>
    <w:p>
      <w:pPr>
        <w:spacing w:after="0" w:line="13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Tree.com's Lending segment consists of online networks (principally LendingTree.com and GetSmart.com) and call centers that connect consumers and financial providers in the lending industry (the "lending networks"). In addition, the Lending segment originates, processes, approves and funds various types of residential real estate loans under two brand names, LendingTree Loans® and HomeLoanCenter.com.</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Tree.com's Real Estate segment consists primarily of an internet-enabled national residential real estate brokerage that currently operates offices in 20 markets under the brand name "RealEstate.com, REALTORS®." Outside of these 20 markets, RealEstate.com maintains relationships with a network of third-party brokerages that receive leads from RealEstate.com and pay a referral fee on closed transactions. The Real Estate Business also consists of a brokerage that matches residential home buyers interested in newly constructed homes with builders and currently operates under the brand name "iNest®."</w:t>
      </w:r>
    </w:p>
    <w:p>
      <w:pPr>
        <w:spacing w:after="0" w:line="167"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2008, 2007 and 2006:</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5"/>
              </w:rPr>
              <w:t>Years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5"/>
          </w:tcPr>
          <w:p>
            <w:pPr>
              <w:jc w:val="center"/>
              <w:ind w:right="660"/>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88,968</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(32)% $ 130,151</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(41)% $</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Match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Closed loan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35,571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740" w:type="dxa"/>
            <w:vAlign w:val="bottom"/>
          </w:tcPr>
          <w:p>
            <w:pPr>
              <w:jc w:val="right"/>
              <w:spacing w:after="0"/>
              <w:rPr>
                <w:sz w:val="20"/>
                <w:szCs w:val="20"/>
                <w:color w:val="auto"/>
              </w:rPr>
            </w:pPr>
            <w:r>
              <w:rPr>
                <w:rFonts w:ascii="Arial" w:cs="Arial" w:eastAsia="Arial" w:hAnsi="Arial"/>
                <w:sz w:val="18"/>
                <w:szCs w:val="18"/>
                <w:color w:val="auto"/>
              </w:rPr>
              <w:t>65,227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lending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Total Lending</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color w:val="auto"/>
              </w:rPr>
              <w:t>(35)%</w:t>
            </w:r>
          </w:p>
        </w:tc>
        <w:tc>
          <w:tcPr>
            <w:tcW w:w="740" w:type="dxa"/>
            <w:vAlign w:val="bottom"/>
            <w:tcBorders>
              <w:bottom w:val="single" w:sz="8" w:color="auto"/>
            </w:tcBorders>
          </w:tcPr>
          <w:p>
            <w:pPr>
              <w:spacing w:after="0"/>
              <w:rPr>
                <w:sz w:val="2"/>
                <w:szCs w:val="2"/>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192,645</w:t>
            </w:r>
          </w:p>
        </w:tc>
        <w:tc>
          <w:tcPr>
            <w:tcW w:w="920" w:type="dxa"/>
            <w:vAlign w:val="bottom"/>
            <w:gridSpan w:val="3"/>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294,626</w:t>
            </w:r>
          </w:p>
        </w:tc>
        <w:tc>
          <w:tcPr>
            <w:tcW w:w="9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419,657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
                <w:szCs w:val="2"/>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228,572</w:t>
            </w:r>
          </w:p>
        </w:tc>
        <w:tc>
          <w:tcPr>
            <w:tcW w:w="920" w:type="dxa"/>
            <w:vAlign w:val="bottom"/>
            <w:gridSpan w:val="3"/>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346,378</w:t>
            </w:r>
          </w:p>
        </w:tc>
        <w:tc>
          <w:tcPr>
            <w:tcW w:w="94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476,478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Lending revenue in 2008 decreased $102.0 million, or 35%, from the same period in 2007. Revenue generated from the origination and sale of loans in the secondary market declined $41.2 million, or 32%. The primary drivers of the change are decreases in the available supply of suitable loan products for a broad variety of consumer credit categories, lower consumer demand resulting in fewer loans being originated and sold into the secondary market, as well as a market driven shift to lower margin conforming loans as compared to the prior year. Revenue from all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categories of lending services declined $60.8 million, or 37%, due primarily to fewer consumer loan requests transmitted to and loans closed on the lending networks. Revenue from all home loan offerings declined with home equity loans, purchase mortgage and refinance mortgage revenue declining 74%, 31% and 27%, respectively.</w:t>
      </w:r>
    </w:p>
    <w:p>
      <w:pPr>
        <w:spacing w:after="0" w:line="19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dollar value of loans closed by network lenders and directly by LendingTree Loans in 2008 decreased 40% to $15.0 billion. This includes refinance mortgages of $8.5 billion, purchase mortgages of $4.5 billion and home equity loans of $1.6 billion. The dollar value of loans closed by network lenders and directly by LendingTree Loans in 2007 was $24.9 billion, including refinance mortgages of $13.0 billion, purchase mortgages of $6.9 billion and home equity loans of $4.2 billion.</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Lending revenue in 2007 decreased $125.0 million, or 30%, from the same period in 2006. Revenue generated from the origination and sale of loans in the secondary market declined $91.2 million, or 41%. The primary drivers of the change are fewer loans sold into the secondary market, lower revenue per loan sold, fewer loans closed on the lending networks and an increase of $13.5 million in the liability for losses on previously sold loans. Lenders' narrowing focus on traditional mortgages in reaction to changes in the mortgage market contributed to lower close rates, a shift to lower margin products, and lower revenue per loan sold at LendingTree Loans. Revenue from all other categories of lending services declined $33.8 million, or 17%, primarily due to fewer consumer loan requests transmitted to and loans closed on the lending networks. Revenue from home equity loans fell 58% due in part to an exit from certain home equity loans at LendingTree Loans and as a result of deteriorating market conditions. Additionally, purchase mortgage revenue and refinance mortgage revenue declined 21% and 16%, respectively.</w:t>
      </w:r>
    </w:p>
    <w:p>
      <w:pPr>
        <w:spacing w:after="0" w:line="172"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dollar value of loans closed by network lenders and directly by LendingTree Loans in 2007 decreased 23% from 2006 to $24.9 billion. This includes refinance mortgages of $13.0 billion, purchase mortgages of $6.9 billion and home equity loans of $4.2 billion. The dollar value of closed loans in 2006 was $32.1 billion, including refinance mortgages of $16.9 billion, purchase mortgages of $8.3 billion and home equity loans of $5.9 billion.</w:t>
      </w:r>
    </w:p>
    <w:p>
      <w:pPr>
        <w:spacing w:after="0" w:line="161"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LendingTree Loans originates mortgage loans on property located throughout the United States, with no one location representing more than 10% of Tree.com's consolidated revenue for any periods presented. Revenue from loans originated for property in California and Florida in the aggregate totaled approximately 7%, 10% and 14% of Tree.com's consolidated revenue for the year ended December 31, 2008, 2007 and 2006, respectively.</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Real Estate revenue in 2008 decreased $15.8 million, or 31%, principally due to a $14.7 million decrease related to the Real Estate builder and broker networks, which experienced decreased closings year over year, as well as a decrease of $6.3 million due to the absence of revenue from the agent network business which ceased operations in December 2007. Partially offsetting the revenue decrease was an increase of $5.0 million in revenue from RealEstate.com, REALTORS®, which increased closings by 45%. RealEstate.com, REALTORS® operates in twenty markets in 2008, compared to ten markets in 2007, and has approximately 1,200 agents in 2008, compared to approximately 800 agents in 2007.</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Real Estate revenue in 2007 decreased $5.1 million, or 9%, principally due to a $13.0 million decrease related to the Real Estate builder and broker networks, which experienced decreased closings year over year, as well as a decrease of $1.9 million due to the agent network business winding down and ceasing operations in December 2007. Partially offsetting the revenue decrease was an increase of $9.6 million in revenue from RealEstate.com, REALTORS®, which increased closings by 190%. RealEstate.com, REALTORS® began closing transactions in the first quarter of 2006.</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$ 43,051</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$ 47,264</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$ 47,412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Real Estate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21,342</w:t>
            </w: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40" w:type="dxa"/>
            <w:vAlign w:val="bottom"/>
          </w:tcPr>
          <w:p>
            <w:pPr>
              <w:jc w:val="right"/>
              <w:spacing w:after="0"/>
              <w:rPr>
                <w:sz w:val="20"/>
                <w:szCs w:val="20"/>
                <w:color w:val="auto"/>
              </w:rPr>
            </w:pPr>
            <w:r>
              <w:rPr>
                <w:rFonts w:ascii="Arial" w:cs="Arial" w:eastAsia="Arial" w:hAnsi="Arial"/>
                <w:sz w:val="18"/>
                <w:szCs w:val="18"/>
                <w:color w:val="auto"/>
              </w:rPr>
              <w:t>25,850</w:t>
            </w:r>
          </w:p>
        </w:tc>
        <w:tc>
          <w:tcPr>
            <w:tcW w:w="2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25,805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$ 64,393</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$ 73,114</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$ 73,217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28%</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revenue—Lending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$ 43,051</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$ 47,264</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$ 47,412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Lending gross margin</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Cost of revenue—Real Estate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$ 21,342</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 $ 25,850</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 $ 25,805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3"/>
              </w:rPr>
              <w:t>As a percentage of Real Estate revenue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Real Estate gross margin</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and real estate network support staff, as well as credit scoring fees, consumer incentive costs, real estate agent commissions and website network hosting and server fees.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Cost of revenue in 2008 decreased $8.7 million from 2007 primarily due to decreases of $6.7 million in consumer incentive rebates related to decreased closings at the Lending network and the Real Estate builder and broker network businesses, $2.5 million in compensation and other employee-related costs (net of an increase of $0.6 million in non-cash compensation), $1.3 million in credit scoring and licensing fees, and $3.5 million in direct costs associated with the settlement services business. The decrease in compensation and other employee-related costs is primarily due to reduced personnel costs associated with Tree.com's customer call center, settlement services operation and portions of its loan processing department.</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Offsetting these decreases in cost of revenue was an increase of $4.1 million in costs associated with loan originations. This increase in 2008 is related to the impact of Tree.com's adoption of Statement of Financial Accounting Standards ("SFAS") No. 159, "The Fair Value Option for Financial Assets and Financial Liabilities Including an amendment of FASB Statement No. 115" ("SFAS 159"). Upon adoption of SFAS 159, Tree.com elected to account for all loans held for sale originated after January 1, 2008 at fair value. Electing the fair value option requires loan origination fees and costs to be recorded in earnings as incurred instead of being deferred until the loan is sold as in prior year periods. In 2008, all loan origination costs are recognized in cost of revenue. Prior to 2008, Tree.com applied the provisions of SFAS 91, "Accounting for Nonrefundable Fees and Costs Associated with Originating or Acquiring Loans and Initial Direct Costs of Leases", effectively deferring loan origination fees and costs until the underlying loan was sold. Upon sale of the loan, the origination fees and costs were recognized as a component of the gain on sale of the loan in revenue.</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Cost of revenue in 2008 also increased as a percentage of revenue due to an increase of $2.2 million in commission expense primarily related to the increase in closings at the company-owned brokerage business.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Cost of revenue in 2007 was relatively unchanged from 2006 despite the significant revenue decline. The increase in cost of revenue as a percentage of total revenue is principally due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reduced revenue discussed above, and a $5.5 million increase in costs associated with unsuccessful loan originations. If a loan funds, these costs were deferred until the loan was sold to an investor and are included in revenue on a net basis. However, costs associated with all unsuccessful loan origination attempts were expensed as incurred. This increase was partially offset by a $3.5 million decrease in compensation and other employee-related costs as Tree.com reduced its personnel costs associated with its customer call center, settlement services operation and portions of its loan processing department, and a $1.4 million decrease in credit scoring and licensing fees.</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Cost of revenue in 2007 also increased as a percentage of revenue due to an increase of $5.1 million in commission expense primarily related to the increase in closings at the company-owned brokerage business, partially offset by a decrease of $4.0 million in consumer incentive rebates related to decreased closings at the Lending network and the Real Estate builder and broker network businesses.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2"/>
          </w:tcPr>
          <w:p>
            <w:pPr>
              <w:jc w:val="right"/>
              <w:ind w:right="720"/>
              <w:spacing w:after="0"/>
              <w:rPr>
                <w:sz w:val="20"/>
                <w:szCs w:val="20"/>
                <w:color w:val="auto"/>
              </w:rPr>
            </w:pPr>
            <w:r>
              <w:rPr>
                <w:rFonts w:ascii="Arial" w:cs="Arial" w:eastAsia="Arial" w:hAnsi="Arial"/>
                <w:sz w:val="14"/>
                <w:szCs w:val="14"/>
                <w:b w:val="1"/>
                <w:bCs w:val="1"/>
                <w:color w:val="auto"/>
                <w:w w:val="94"/>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gridSpan w:val="2"/>
          </w:tcPr>
          <w:p>
            <w:pPr>
              <w:spacing w:after="0"/>
              <w:rPr>
                <w:sz w:val="14"/>
                <w:szCs w:val="14"/>
                <w:color w:val="auto"/>
              </w:rPr>
            </w:pPr>
          </w:p>
        </w:tc>
        <w:tc>
          <w:tcPr>
            <w:tcW w:w="7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$ 101,993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4"/>
              </w:rPr>
              <w:t>(39)% $ 168,436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w w:val="97"/>
              </w:rPr>
              <w:t>(14)% $ 195,245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Real Estate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19,176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$ 109,253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4"/>
              </w:rPr>
              <w:t>(42)% $ 187,612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(14)% $</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218,910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ind w:left="120"/>
              <w:spacing w:after="0"/>
              <w:rPr>
                <w:sz w:val="20"/>
                <w:szCs w:val="20"/>
                <w:color w:val="auto"/>
              </w:rPr>
            </w:pPr>
            <w:r>
              <w:rPr>
                <w:rFonts w:ascii="Arial" w:cs="Arial" w:eastAsia="Arial" w:hAnsi="Arial"/>
                <w:sz w:val="18"/>
                <w:szCs w:val="18"/>
                <w:color w:val="auto"/>
              </w:rPr>
              <w:t>As a percentage of total revenue</w:t>
            </w: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88"/>
              </w:rPr>
              <w:t>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1"/>
          </w:tcPr>
          <w:p>
            <w:pPr>
              <w:jc w:val="right"/>
              <w:ind w:right="520"/>
              <w:spacing w:after="0"/>
              <w:rPr>
                <w:sz w:val="20"/>
                <w:szCs w:val="20"/>
                <w:color w:val="auto"/>
              </w:rPr>
            </w:pPr>
            <w:r>
              <w:rPr>
                <w:rFonts w:ascii="Arial" w:cs="Arial" w:eastAsia="Arial" w:hAnsi="Arial"/>
                <w:sz w:val="14"/>
                <w:szCs w:val="14"/>
                <w:b w:val="1"/>
                <w:bCs w:val="1"/>
                <w:color w:val="auto"/>
                <w:w w:val="89"/>
              </w:rPr>
              <w:t>Year Ended December 31,</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gridSpan w:val="2"/>
          </w:tcPr>
          <w:p>
            <w:pPr>
              <w:spacing w:after="0"/>
              <w:rPr>
                <w:sz w:val="14"/>
                <w:szCs w:val="14"/>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Selling and marketing expense—Lending</w:t>
            </w:r>
          </w:p>
        </w:tc>
        <w:tc>
          <w:tcPr>
            <w:tcW w:w="1100" w:type="dxa"/>
            <w:vAlign w:val="bottom"/>
            <w:gridSpan w:val="6"/>
            <w:shd w:val="clear" w:color="auto" w:fill="CCEEFF"/>
          </w:tcPr>
          <w:p>
            <w:pPr>
              <w:jc w:val="right"/>
              <w:ind w:right="92"/>
              <w:spacing w:after="0"/>
              <w:rPr>
                <w:sz w:val="20"/>
                <w:szCs w:val="20"/>
                <w:color w:val="auto"/>
              </w:rPr>
            </w:pPr>
            <w:r>
              <w:rPr>
                <w:rFonts w:ascii="Arial" w:cs="Arial" w:eastAsia="Arial" w:hAnsi="Arial"/>
                <w:sz w:val="18"/>
                <w:szCs w:val="18"/>
                <w:color w:val="auto"/>
              </w:rPr>
              <w:t>$ 101,993</w:t>
            </w:r>
          </w:p>
        </w:tc>
        <w:tc>
          <w:tcPr>
            <w:tcW w:w="14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(39)%$ 168,436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(14)% $ 195,245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Selling and marketing expense—Real Estate</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88"/>
              </w:rPr>
              <w:t>7,260</w:t>
            </w:r>
          </w:p>
        </w:tc>
        <w:tc>
          <w:tcPr>
            <w:tcW w:w="14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(62)%$  19,176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(19)% $  23,665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w w:val="98"/>
              </w:rPr>
              <w:t>As a percentage of Real Estate revenue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40" w:firstLine="351"/>
        <w:spacing w:after="0" w:line="256"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the sales function and loan officers. Advertising and promotional expenditures primarily include online marketing, as well as television, print and radio spending. Advertising production costs are expensed in the period the related ad is first run.</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Selling and marketing expense in 2008 decreased $78.4 million from 2007 primarily due to a decrease of $80.6 million in advertising and promotional expenditures. In 2008, total expenses for the major advertising categories of online, broadcast and print were $56.4 million, $24.8 million and $3.8 million, respectively. These represent decreases from 2007 of $48.3 million, $12.9 million and $12.6 million, respectively. 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Selling and marketing expense in 2007 decreased $31.3 million from 2006 primarily due to a decrease of $32.5 million in advertising and promotional expenditures. In 2007, total expenses for the major advertising categories of online, broadcast and print were $104.7 million, $37.7 million and $16.4 million, respectively. These represent decreases from 2006 of $10.0 million, $7.0 million and $13.1 million, respectively. The increase in selling and marketing expense as a percentage of revenue is due to decreased conversions of consumer leads into closed transactions.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$ 55,798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4"/>
              </w:rPr>
              <w:t>(30)% $ 79,172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8"/>
              </w:rPr>
              <w:t>(18)%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96,888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19,407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3"/>
              </w:rPr>
              <w:t>20,072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$ 75,205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4"/>
              </w:rPr>
              <w:t>(24)% $ 99,244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8"/>
              </w:rPr>
              <w:t>(17)%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119,284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gridSpan w:val="2"/>
            <w:vMerge w:val="restart"/>
          </w:tcPr>
          <w:p>
            <w:pPr>
              <w:ind w:left="180"/>
              <w:spacing w:after="0"/>
              <w:rPr>
                <w:sz w:val="20"/>
                <w:szCs w:val="20"/>
                <w:color w:val="auto"/>
              </w:rPr>
            </w:pPr>
            <w:r>
              <w:rPr>
                <w:rFonts w:ascii="Arial" w:cs="Arial" w:eastAsia="Arial" w:hAnsi="Arial"/>
                <w:sz w:val="18"/>
                <w:szCs w:val="18"/>
                <w:color w:val="auto"/>
              </w:rPr>
              <w:t>As a percentage of total revenue</w:t>
            </w: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2"/>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General and administrative expense—Lending</w:t>
            </w: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$55,798</w:t>
            </w:r>
          </w:p>
        </w:tc>
        <w:tc>
          <w:tcPr>
            <w:tcW w:w="154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rPr>
              <w:t>(30)%$ 79,172</w:t>
            </w:r>
          </w:p>
        </w:tc>
        <w:tc>
          <w:tcPr>
            <w:tcW w:w="15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(18)% $ 96,888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General and administrative expense—Real Estate</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154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rPr>
              <w:t>(3)%$ 20,072</w:t>
            </w:r>
          </w:p>
        </w:tc>
        <w:tc>
          <w:tcPr>
            <w:tcW w:w="15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(10)% $ 22,396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As a percentage of Real Estate revenue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General and administrative expense in 2008 decreased $24.0 million from 2007. As a result of restructuring activities that occurred in 2008 and 2007, compensation and other employee-related costs, excluding non-cash compensation, decreased $21.1 million and facilities costs decreased $3.3 million. Other significant decreases during 2008 include $1.6 million in litigation expense and $1.3 million in bad debt expense, partially offset by a charge of $1.0 million associated with legal and regulatory costs.</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General and administrative expense includes non-cash compensation expense of $9.5 million in 2008 compared with $2.4 million in 2007. Non-cash compensation in 2008 includes a $5.5 million charge due to the modification of equity-based awards related to the spin-off, which consists of the accelerated vesting of certain restricted stock units and the modification of vested stock options.</w:t>
      </w:r>
    </w:p>
    <w:p>
      <w:pPr>
        <w:spacing w:after="0" w:line="194"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December 31, 2008, there was approximately $5.8 million and $4.0 million of unrecognized compensation cost, net of estimated forfeitures, related to stock options and restricted stock units and restricted stock, respectively. These costs are expected to be recognized over a weighted-average period of approximately 4.3 years for stock options and 2.0 years for restricted stock units and restricted stock.</w:t>
      </w:r>
    </w:p>
    <w:p>
      <w:pPr>
        <w:spacing w:after="0" w:line="19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General and administrative expense in 2007 decreased $20.0 million from 2006 primarily due to a decrease of $13.2 million in compensation and other employee-related costs, due principally to a reduction in workforce, and a decrease of $2.5 million in professional fees.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$ 4,442</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8"/>
              </w:rPr>
              <w:t>(54)%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 $ 10,301</w:t>
            </w:r>
          </w:p>
        </w:tc>
        <w:tc>
          <w:tcPr>
            <w:tcW w:w="16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Real Estate</w:t>
            </w:r>
          </w:p>
        </w:tc>
        <w:tc>
          <w:tcPr>
            <w:tcW w:w="540" w:type="dxa"/>
            <w:vAlign w:val="bottom"/>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Pr>
          <w:p>
            <w:pPr>
              <w:spacing w:after="0"/>
              <w:rPr>
                <w:sz w:val="19"/>
                <w:szCs w:val="19"/>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w w:val="91"/>
              </w:rPr>
              <w:t>(57)%</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5,271</w:t>
            </w: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80" w:type="dxa"/>
            <w:vAlign w:val="bottom"/>
          </w:tcPr>
          <w:p>
            <w:pPr>
              <w:jc w:val="right"/>
              <w:spacing w:after="0"/>
              <w:rPr>
                <w:sz w:val="20"/>
                <w:szCs w:val="20"/>
                <w:color w:val="auto"/>
              </w:rPr>
            </w:pPr>
            <w:r>
              <w:rPr>
                <w:rFonts w:ascii="Arial" w:cs="Arial" w:eastAsia="Arial" w:hAnsi="Arial"/>
                <w:sz w:val="18"/>
                <w:szCs w:val="18"/>
                <w:color w:val="auto"/>
              </w:rPr>
              <w:t>4,867</w:t>
            </w: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$ 6,687</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8"/>
              </w:rPr>
              <w:t>(55)%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14,991</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$ 15,168</w:t>
            </w:r>
          </w:p>
        </w:tc>
        <w:tc>
          <w:tcPr>
            <w:tcW w:w="16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gridSpan w:val="2"/>
            <w:vMerge w:val="restart"/>
          </w:tcPr>
          <w:p>
            <w:pPr>
              <w:ind w:left="2100"/>
              <w:spacing w:after="0"/>
              <w:rPr>
                <w:sz w:val="20"/>
                <w:szCs w:val="20"/>
                <w:color w:val="auto"/>
              </w:rPr>
            </w:pPr>
            <w:r>
              <w:rPr>
                <w:rFonts w:ascii="Arial" w:cs="Arial" w:eastAsia="Arial" w:hAnsi="Arial"/>
                <w:sz w:val="18"/>
                <w:szCs w:val="18"/>
                <w:color w:val="auto"/>
              </w:rPr>
              <w:t>As a percentage of total revenue</w:t>
            </w: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jc w:val="right"/>
              <w:ind w:right="96"/>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3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38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4"/>
                <w:szCs w:val="1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development—Lending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$ 4,442</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 $ 9,720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10,301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development—Real Estate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$ 2,245</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$ 5,271</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  $</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4,867</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Product development expense in 2008 decreased $8.3 million from 2007 due to decreased compensation and other employee-related costs associated with reductions in workforce that occurred in 2008 and 2007.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2007 decreased $0.2 million from 2006 primarily due to decreased compensation and other employee-related costs.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75"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5,279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(76)%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5"/>
              </w:rPr>
              <w:t>(67)%</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5,704</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(75)%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22,867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7"/>
        </w:trPr>
        <w:tc>
          <w:tcPr>
            <w:tcW w:w="356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5,279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(76)%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(67)%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response to adverse developments in mortgage and real estate market conditions, Tree.com recorded restructuring expense of $5.7 million in 2008 compared to $22.9 million in 2007. The restructuring expense in 2008 includes $2.0 million in employee termination costs associated with reductions in workforce, $2.6 million for liabilities associated with exiting facilities and $1.0 million for write-offs of fixed assets. The restructuring expense in 2007 includes $9.3 million in employee termination costs associated with reductions in workforce, $5.0 million for liabilities associated with exiting facilities and $8.0 million for write-offs of fixed assets and other projects in progress and $0.6 million for other items. As a part of these restructurings, positions across all departments and locations of Tree.com's business were eliminated, however the Lending restructuring expenses principally related to the mortgage origination operations of LendingTree Loans.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Earnings Before Interest, Taxes, Depreciation and Amortization ("EBITDA") is a non-GAAP measure and is defined in "Tree.com's Principles of Financial Reporting".</w:t>
      </w:r>
    </w:p>
    <w:p>
      <w:pPr>
        <w:spacing w:after="0" w:line="236"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1"/>
          </w:tcPr>
          <w:p>
            <w:pPr>
              <w:jc w:val="center"/>
              <w:ind w:right="18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ind w:right="81"/>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gridSpan w:val="2"/>
          </w:tcPr>
          <w:p>
            <w:pPr>
              <w:spacing w:after="0"/>
              <w:rPr>
                <w:sz w:val="14"/>
                <w:szCs w:val="1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 (10,550)</w:t>
            </w:r>
          </w:p>
        </w:tc>
        <w:tc>
          <w:tcPr>
            <w:tcW w:w="2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28% $ (14,618)</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Real Estate</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(10,883)</w:t>
            </w:r>
          </w:p>
        </w:tc>
        <w:tc>
          <w:tcPr>
            <w:tcW w:w="2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900" w:type="dxa"/>
            <w:vAlign w:val="bottom"/>
            <w:gridSpan w:val="3"/>
          </w:tcPr>
          <w:p>
            <w:pPr>
              <w:jc w:val="right"/>
              <w:ind w:right="52"/>
              <w:spacing w:after="0"/>
              <w:rPr>
                <w:sz w:val="20"/>
                <w:szCs w:val="20"/>
                <w:color w:val="auto"/>
              </w:rPr>
            </w:pPr>
            <w:r>
              <w:rPr>
                <w:rFonts w:ascii="Arial" w:cs="Arial" w:eastAsia="Arial" w:hAnsi="Arial"/>
                <w:sz w:val="18"/>
                <w:szCs w:val="18"/>
                <w:color w:val="auto"/>
              </w:rPr>
              <w:t>(18,906)</w:t>
            </w:r>
          </w:p>
        </w:tc>
        <w:tc>
          <w:tcPr>
            <w:tcW w:w="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(19,105)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 (21,433)</w:t>
            </w:r>
          </w:p>
        </w:tc>
        <w:tc>
          <w:tcPr>
            <w:tcW w:w="2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36% $ (33,524)</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52,076</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1"/>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ind w:right="101"/>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EBITDA—Lending</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7"/>
              </w:rPr>
              <w:t>$ (10,550)</w:t>
            </w:r>
          </w:p>
        </w:tc>
        <w:tc>
          <w:tcPr>
            <w:tcW w:w="2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ind w:left="280"/>
              <w:spacing w:after="0"/>
              <w:rPr>
                <w:sz w:val="20"/>
                <w:szCs w:val="20"/>
                <w:color w:val="auto"/>
              </w:rPr>
            </w:pPr>
            <w:r>
              <w:rPr>
                <w:rFonts w:ascii="Arial" w:cs="Arial" w:eastAsia="Arial" w:hAnsi="Arial"/>
                <w:sz w:val="18"/>
                <w:szCs w:val="18"/>
                <w:color w:val="auto"/>
              </w:rPr>
              <w:t>28% $ (14,618)</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EBITDA—Real Estate</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(10,833)</w:t>
            </w: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(18,906)</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(19,105)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w w:val="97"/>
              </w:rPr>
              <w:t>As a percentage of Real Estate revenue</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color w:val="auto"/>
        </w:rPr>
        <w:t>EBITDA loss in 2008 improved $12.1 million to $21.4 million. However, 2007 EBITDA reflects $15.0 million of proceeds from a litigation settlement, which are shown as a reduction in operating expenses. In 2007, EBITDA loss was further impacted by a $19.3 million provision for loan losses, compared to $0.8 million in 2008. Adjusting for the litigation proceeds, EBITDA improved $27.1 million in 2008, reflecting costs decreasing more rapidly than revenue in 2008 principally due to the marketing reductions and restructuring activities noted above.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EBITDA in 2007 decreased $85.6 million to a loss of $33.5 million, declining at a faster rate than revenue due to higher costs per loan sold resulting from a shift to lower margin products, lower close rates and stricter underwriting criteria, and $22.9 million in restructuring costs, due in part to a reduction in workforce, partially offset by a decrease of $31.3 million in selling and marketing expenses. EBITDA was adversely impacted by a $19.3 million provision for loan losses in 2007, compared to $6.6 million in 2006. The 2007 provision reflected the increased losses Tree.com experienced related to obligations to investors with respect to previously sold loans and the projection of higher loss ratios in future periods related to these loans. EBITDA benefited by $12.9 million due to the net impact of a favorable legal settlement and an increase in certain legal reserves.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 (133,340)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 (512,584)</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44,091</w:t>
            </w:r>
          </w:p>
        </w:tc>
        <w:tc>
          <w:tcPr>
            <w:tcW w:w="180" w:type="dxa"/>
            <w:vAlign w:val="bottom"/>
            <w:shd w:val="clear" w:color="auto" w:fill="CCEEFF"/>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Real Estate</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(81,690)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(27,856)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(29,920)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 (215,030)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 (540,440)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80" w:type="dxa"/>
            <w:vAlign w:val="bottom"/>
            <w:shd w:val="clear" w:color="auto" w:fill="CCEEFF"/>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ind w:left="2060"/>
              <w:spacing w:after="0"/>
              <w:rPr>
                <w:sz w:val="20"/>
                <w:szCs w:val="20"/>
                <w:color w:val="auto"/>
              </w:rPr>
            </w:pPr>
            <w:r>
              <w:rPr>
                <w:rFonts w:ascii="Arial" w:cs="Arial" w:eastAsia="Arial" w:hAnsi="Arial"/>
                <w:sz w:val="18"/>
                <w:szCs w:val="18"/>
                <w:color w:val="auto"/>
              </w:rPr>
              <w:t>As a percentage of total revenue</w:t>
            </w: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(94)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(156)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1"/>
        </w:trPr>
        <w:tc>
          <w:tcPr>
            <w:tcW w:w="298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income—Lending</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(133,340)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 $</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(512,584)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NM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44,091</w:t>
            </w:r>
          </w:p>
        </w:tc>
        <w:tc>
          <w:tcPr>
            <w:tcW w:w="2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loss—Real Estate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(81,690)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(193)% $</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(27,856)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(29,920)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w w:val="92"/>
              </w:rPr>
              <w:t>As a percentage of Real Estate revenue</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bl>
    <w:p>
      <w:pPr>
        <w:spacing w:after="0" w:line="20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Operating loss in 2008 improved $325.4 million to a loss of $215.0 million. In addition to the items noted above, the other primary drivers of the change relate to impairment charges on goodwill and an indefinite-lived intangible asset. In 2008, Tree.com recorded impairment charges of $131.0 million and $33.4 million related to goodwill and an indefinite-lived intangible asset, respectively. The charges associated with Lending were $70.2 million related to goodwill and $33.4 million related to an indefinite-lived intangible asset. The charge related to Real Estate was a goodwill impairment charge of $60.8 million. In 2007, Tree.com recorded impairment charges for Lending of $459.5 million and $16.2 million related to goodwill and an indefinite-lived intangible asset, respectively.</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These impairments resulted from Tree.com's most recent reassessments of the likely future profitability of Lending and Real Estate in light of the persistent adverse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during the fourth quarter of 2008 and quantified these considerations in Tree.com's future forecasted results.</w:t>
      </w:r>
    </w:p>
    <w:p>
      <w:pPr>
        <w:spacing w:after="0" w:line="19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Continued adverse market conditions may give rise to continued operating losses and require additional restructuring of Tree.com's operations and could give rise to additional restructuring charges and additional impairment charges.</w:t>
      </w:r>
    </w:p>
    <w:p>
      <w:pPr>
        <w:spacing w:after="0" w:line="186" w:lineRule="exact"/>
        <w:rPr>
          <w:sz w:val="20"/>
          <w:szCs w:val="20"/>
          <w:color w:val="auto"/>
        </w:rPr>
      </w:pPr>
    </w:p>
    <w:p>
      <w:pPr>
        <w:jc w:val="both"/>
        <w:ind w:right="280" w:firstLine="351"/>
        <w:spacing w:after="0" w:line="284" w:lineRule="auto"/>
        <w:rPr>
          <w:sz w:val="20"/>
          <w:szCs w:val="20"/>
          <w:color w:val="auto"/>
        </w:rPr>
      </w:pPr>
      <w:r>
        <w:rPr>
          <w:rFonts w:ascii="Arial" w:cs="Arial" w:eastAsia="Arial" w:hAnsi="Arial"/>
          <w:sz w:val="16"/>
          <w:szCs w:val="16"/>
          <w:color w:val="auto"/>
        </w:rPr>
        <w:t>Operating income in 2007 decreased $554.6 million to a loss of $540.4 million, resulting primarily from a goodwill impairment charge of $459.5 million which was recorded in the fourth quarter of 2007. In addition, an impairment charge of $16.2 million was recorded in the fourth quarter of 2007 in connection with the write-down of certain intangible assets. These impairments were identified in connection with Tree.com's annual impairment assessment which is</w:t>
      </w:r>
    </w:p>
    <w:p>
      <w:pPr>
        <w:spacing w:after="0" w:line="1" w:lineRule="exact"/>
        <w:rPr>
          <w:sz w:val="20"/>
          <w:szCs w:val="20"/>
          <w:color w:val="auto"/>
        </w:rPr>
      </w:pPr>
    </w:p>
    <w:p>
      <w:pPr>
        <w:ind w:right="580"/>
        <w:spacing w:after="0" w:line="209" w:lineRule="auto"/>
        <w:rPr>
          <w:sz w:val="20"/>
          <w:szCs w:val="20"/>
          <w:color w:val="auto"/>
        </w:rPr>
      </w:pPr>
      <w:r>
        <w:rPr>
          <w:rFonts w:ascii="Arial" w:cs="Arial" w:eastAsia="Arial" w:hAnsi="Arial"/>
          <w:sz w:val="18"/>
          <w:szCs w:val="18"/>
          <w:color w:val="auto"/>
        </w:rPr>
        <w:t>performed as of October 1</w:t>
      </w:r>
      <w:r>
        <w:rPr>
          <w:rFonts w:ascii="Arial" w:cs="Arial" w:eastAsia="Arial" w:hAnsi="Arial"/>
          <w:sz w:val="29"/>
          <w:szCs w:val="29"/>
          <w:color w:val="auto"/>
          <w:vertAlign w:val="superscript"/>
        </w:rPr>
        <w:t>st</w:t>
      </w:r>
      <w:r>
        <w:rPr>
          <w:rFonts w:ascii="Arial" w:cs="Arial" w:eastAsia="Arial" w:hAnsi="Arial"/>
          <w:sz w:val="18"/>
          <w:szCs w:val="18"/>
          <w:color w:val="auto"/>
        </w:rPr>
        <w:t>. Also contributing to the increase in operating loss was the decrease in EBITDA described above and an increase in non-cash compensation expense.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the years ended December 31, 2008, 2007 and 2006, Tree.com recorded a tax benefit (provision) of $13.3 million and $(10.2) million and $(5.0) million, respectively, which represents effective tax rates of 6.2%, 1.9% and 36.6%, respectively. The 2008 tax rate is lower than the federal statutory rate of 35% due principally to non-deductible impairment charges and an increase in the valuation allowance on deferred tax assets. The 2007 tax rate is lower than the federal statutory rate of 35% due principally to non-deductible impairment charges and an increase in the valuation allowance on deferred tax assets. The 2006 tax rate is higher than the federal statutory rate of 35% due principally to the impact of state taxes.</w:t>
      </w:r>
    </w:p>
    <w:p>
      <w:pPr>
        <w:spacing w:after="0" w:line="170"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of December 31, 2008 and December 31, 2007, the unrecognized tax benefits, including interest, were $2.3 million and $5.8 million, respectively. Included in unrecognized tax benefits is approximately $1.0 million for tax positions included in IAC's consolidated tax return filings that remain a liability of IAC after the spin-off. Also included in unrecognized tax benefits at December 31,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2008 is approximately $0.5 million for tax positions which the ultimate deductibility is highly certain but for which there is uncertainty about the timing of such deductibility.</w:t>
      </w:r>
    </w:p>
    <w:p>
      <w:pPr>
        <w:spacing w:after="0" w:line="186"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2008 is $0.1 million for interest on unrecognized tax benefits. At December 31, 2008 and December 31, 2007, Tree.com has accrued $0.1 million and $1.4 million (retained by IAC) for the payment of interest, respectively. There are no material accruals for penalties.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Tree.com believes that it is reasonably possible that its unrecognized tax benefits could decrease by approximately $0.5 million within twelve months of the current reporting date due to the reversal of deductible temporary differences which will result in a corresponding increase in net deferred tax liabilities. An estimate of other changes in unrecognized tax benefits cannot be made, but are not expected to be significant.</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terms of the tax sharing agreement, which was executed in connection with the spin-off, IAC generally retains the liability related to federal and state returns filed on a consolidated or unitary basis for all periods prior to the spin-off.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Tree.com had $88.8 million of cash and cash equivalents and restricted cash and cash equivalents.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Net cash used in operating activities was $41.9 million in the year ended December 31, 2008, compared to net cash provided by operating activities of</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$233.0 million in the same period in 2007. The decrease of $274.9 million is primarily due to a $280.5 million decrease in net proceeds and gains from the sales of loans held for sale.</w:t>
      </w:r>
    </w:p>
    <w:p>
      <w:pPr>
        <w:spacing w:after="0" w:line="19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Net cash used in investing activities in the year ended December 31, 2008 of $18.8 million primarily resulted from the payment of contingent purchase price consideration associated with the Home Loan Center, Inc. acquisition of $14.5 million and capital expenditures of $4.1 million. Net cash used in investing activities in the same period in 2007 of $10.9 million resulted from the payment of contingent consideration associated with certain acquisitions of $1.6 million and capital expenditures of $9.4 million.</w:t>
      </w:r>
    </w:p>
    <w:p>
      <w:pPr>
        <w:spacing w:after="0" w:line="197"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Net cash provided by financing activities in 2008 of $88.4 million was primarily due to capital contributions of $111.5 million from IAC in connection with the spin-off, partially offset by payments on notes payable and capital lease obligations of $20.0 million and net repayments of warehouse lines of credit of $3.2 million. Net cash used in financing activities in 2007 of $275.6 million was primarily due to net repayments under warehouse lines of credit of</w:t>
      </w:r>
    </w:p>
    <w:p>
      <w:pPr>
        <w:spacing w:after="0" w:line="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$259.0 million and payments on notes payable and capital lease obligations of $11.7 million. The net repayments under warehouse lines of credit in 2008 and 2007 is related to the decrease in loans held for sale at LendingTree Loans, which is included within cash flows from operating activities.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LendingTree Loans had committed lines of credit totaling $100 million, of which $50 million is scheduled to expire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2009, and another $50 million was scheduled to expire on January 24, 2009, and an uncommitted line of credit of $150 million. The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line of credit that was scheduled to expire on January 24, 2009 and the $150 million uncommitted line were provided by the same lender.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committed line of credit that was scheduled to expire on January 24, 2009 has been extended to April 30, 2009 while both parties work to finalize</w:t>
      </w:r>
    </w:p>
    <w:p>
      <w:pPr>
        <w:spacing w:after="0" w:line="32"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terms of an annual renewal, and, at the time of extension, the size of the $150 million uncommitted line was reduced to $50 million. The interest rate under the $50 million committed line that expires on December 29, 2009 is 30-day LIBOR plus 125 basis points. The interest rate under the $50 million committed line of credit that was extended to April 30, 2009 is 30-day LIBOR plus 225 basis points. The interest rate under the $50 million uncommitted line of credit is 30-day LIBOR plus 150 basis points. The $50 million committed line of credit expiring on April 30, 2009 can be cancelled at the option of the lender without default upon sixty days notice. Under the terms of the committed lines of credit, LendingTree Loans is required to maintain various financial and other covenants. These financial covenants include, but are not limited to, maintaining (i) minimum levels of tangible net worth, cash on hand with a certain lender and liquid assets,</w:t>
      </w:r>
    </w:p>
    <w:p>
      <w:pPr>
        <w:spacing w:after="0" w:line="3" w:lineRule="exact"/>
        <w:rPr>
          <w:sz w:val="20"/>
          <w:szCs w:val="20"/>
          <w:color w:val="auto"/>
        </w:rPr>
      </w:pPr>
    </w:p>
    <w:p>
      <w:pPr>
        <w:ind w:right="140" w:firstLine="8"/>
        <w:spacing w:after="0" w:line="255"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maximum ratio of total liabilities to net worth and (iii) pre-tax net income requirements on a quarterly basis. During the year ended December 31, 2008, LendingTree Loans was not in compliance with the quarterly pre-tax net income covenant for the third quarter of 2008. LendingTree Loans received a waiver of this covenant breach on October 28, 2008.</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Borrowings under these lines of credit are used to fund, and are secured by, consumer residential loans that are held for sale. Loans under these lines of credit are repaid from proceeds from the sales of loans held for sale by LendingTree Loans. At December 31, 2008, there was $76.2 million outstanding under the committed lines of credit. Borrowings under all of LendingTree Loans' lines of credit are non-recourse to Tree.com.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Tree.com has considered its anticipated operating cash flows in 2009, cash and cash equivalents, current borrowing capacity under lines of credit, its capitalization subsequent to the spin-off and access to capital markets, subject to restrictions in the tax sharing agreement, and believes that these are sufficient to fund its operating needs, including debt requirements, commitments and contingencies and capital and investing commitments for the foreseeable future. In connection with the completion of the spin-off, intercompany payable balances were extinguished and IAC transferred to Tree.com an amount of cash that is sufficient for its initial capitalization. LendingTree Loans is highly dependent on the availability of credit to finance its operations. Its inability to renew or replace existing facilities upon expiration or termination, which could be impacted by continuing disruptions in the credit market, would adversely impact its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1"/>
              </w:rPr>
              <w:t>Payments Due by Period</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w w:val="94"/>
              </w:rPr>
              <w:t>Contractual Obligations as of December 31, 2008</w:t>
            </w:r>
          </w:p>
        </w:tc>
        <w:tc>
          <w:tcPr>
            <w:tcW w:w="66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10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w w:val="85"/>
              </w:rPr>
              <w:t>Less Than 1 Year</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4"/>
              </w:rPr>
              <w:t>1–3 Years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3"/>
          </w:tcPr>
          <w:p>
            <w:pPr>
              <w:jc w:val="right"/>
              <w:ind w:right="92"/>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$ 76,186</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76,186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Purchase obligations(a)</w:t>
            </w:r>
          </w:p>
        </w:tc>
        <w:tc>
          <w:tcPr>
            <w:tcW w:w="660" w:type="dxa"/>
            <w:vAlign w:val="bottom"/>
          </w:tcPr>
          <w:p>
            <w:pPr>
              <w:jc w:val="right"/>
              <w:spacing w:after="0"/>
              <w:rPr>
                <w:sz w:val="20"/>
                <w:szCs w:val="20"/>
                <w:color w:val="auto"/>
              </w:rPr>
            </w:pPr>
            <w:r>
              <w:rPr>
                <w:rFonts w:ascii="Arial" w:cs="Arial" w:eastAsia="Arial" w:hAnsi="Arial"/>
                <w:sz w:val="18"/>
                <w:szCs w:val="18"/>
                <w:color w:val="auto"/>
              </w:rPr>
              <w:t>11,698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11,698</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Letters of credit and surety bonds(b)</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7,707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660" w:type="dxa"/>
            <w:vAlign w:val="bottom"/>
          </w:tcPr>
          <w:p>
            <w:pPr>
              <w:jc w:val="right"/>
              <w:spacing w:after="0"/>
              <w:rPr>
                <w:sz w:val="20"/>
                <w:szCs w:val="20"/>
                <w:color w:val="auto"/>
              </w:rPr>
            </w:pPr>
            <w:r>
              <w:rPr>
                <w:rFonts w:ascii="Arial" w:cs="Arial" w:eastAsia="Arial" w:hAnsi="Arial"/>
                <w:sz w:val="18"/>
                <w:szCs w:val="18"/>
                <w:color w:val="auto"/>
              </w:rPr>
              <w:t>23,357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7,101</w:t>
            </w: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3,642</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$118,973</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102,955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7,126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3,642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2009.</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licensing requirements for both mortgage and real estate operations require the Company to post surety bonds in order to conduct operations in those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Lending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reports Earnings Before Interest, Taxes, Depreciation and Amortization ("EBITDA") as a supplemental measure to GAAP. This measure is one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This non-GAAP measure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EBITDA is defined as operating income excluding, if applicable: (1) depreciation expense, (2) non-cash compensation expense, (3) amortization and impairment of intangibles, (4) goodwill impairment, (5) pro forma adjustments for significant acquisitions, and (6) one-time items. Tree.com believes this measure is useful to investors because it represents the operating results from the Tree.com Businesses, but excludes the effects of these non-cash expenses.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201" w:lineRule="exact"/>
        <w:rPr>
          <w:sz w:val="20"/>
          <w:szCs w:val="20"/>
          <w:color w:val="auto"/>
        </w:rPr>
      </w:pPr>
    </w:p>
    <w:p>
      <w:pPr>
        <w:ind w:right="280" w:firstLine="341"/>
        <w:spacing w:after="0" w:line="291" w:lineRule="auto"/>
        <w:rPr>
          <w:sz w:val="20"/>
          <w:szCs w:val="20"/>
          <w:color w:val="auto"/>
        </w:rPr>
      </w:pPr>
      <w:r>
        <w:rPr>
          <w:rFonts w:ascii="Arial" w:cs="Arial" w:eastAsia="Arial" w:hAnsi="Arial"/>
          <w:sz w:val="16"/>
          <w:szCs w:val="16"/>
          <w:color w:val="auto"/>
        </w:rPr>
        <w:t>Adjusted EBITDA is defined as EBITDA, which is defined above, excluding (1) restructuring expenses and (2) and proceeds from litigation settlements. Tree.com believes this measure is useful to investors because it represents the operating results from the Tree.com Businesses, but excludes the effects of the expenses. Adjusted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Tree.com will only present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EBITDA is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Non-cash compensation expense consists principally of expense associated with the grants, including unvested grants assumed in acquisitions,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Amortization of intangibles is a non-cash expense relating primarily to acquisitions. At the time of an acquisition, the intangible assets of the acquired company, such as purchase agreements, technology and customer relationships, are valued and amortized over their estimated lives. Tree.com believes that since intangibles represent costs incurred by the acquired company to build value prior to acquisition, they were part of transaction costs.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For a reconciliation of EBITDA to operating (loss) income for Tree.com's operating segments and to net (loss) income in total for the years ended December 31, 2008, 2007 and 2006, see Note 8 to the consolidated financial statements.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LendingTree Loans' mortgage banking operations expose the Company to interest rate risk from the point in time a consumer is given an interest rate lock commitment ("rate lock") until the time when those loans are sold in the secondary market ("loans held for sale"). The fair value of rate locks and loans held for sale is subject to change primarily due to changes in market interest rates. LendingTree Loans hedges the changes in fair value of certain rate locks and loans held for sale primarily by entering into mortgage forward delivery contracts. Although LendingTree Loans continues to enter into derivatives for risk management purposes, effective April 1, 2007 management determined these derivative instruments would no longer be designated as hedges and, therefore, would no longer qualify for the hedge accounting provisions of SFAS No. 133, "Accounting for Derivative Instruments and Hedging Activities."</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When hedge accounting was discontinued, the affected loans held for sale were no longer adjusted for changes in fair value. However, the changes in fair value of the forward delivery contracts continued to be recognized in current earnings as a component of revenue. For the years ended December 31, 2008 and 2007, Tree.com recognized losses of $0.2 million and $1.1 million, respectively, related to the changes in fair value of forward delivery contracts related to loans held for sale. For the year ended December 31, 2006, Tree.com recognized a loss of $0.3 million related to hedge ineffectiveness and a gain of $0.1 million related to changes in the fair value of derivative instruments when hedge accounting was discontinued.</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January 1, 2008, the Company adopted the provisions of SFAS No. 157, "Fair Value Measurements" ("SFAS No. 157"). Prior to the adoption of SFAS 157 the recognition of gains and losses at the inception of a derivative contract were prohibited unless the fair value of the contract was evidenced by a quoted price in an active market. As no active market exists for rate locks, such day one gains and losses were not recognized until the related loan was sold. Prior to January 1, 2008, guidance also prohibited including the value of servicing the loan in calculating the fair value of a rate lock.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rate locks.</w:t>
      </w:r>
    </w:p>
    <w:p>
      <w:pPr>
        <w:spacing w:after="0" w:line="20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net change in the fair value of the rate locks and related forward delivery contracts, including the impact of day one gains and servicing value, for the years ended December 31, 2008, 2007 and 2006, resulted in gains (losses) of $62.0 million, $(0.8) million and $0.2 million, respectively, which have been recognized as a component of revenue in the accompanying consolidated statements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operations. The significant change year over year is due principally to the inclusion of day one gains and the value of servicing the loans in 2008 associated with the adoption of SFAS No. 157 and SAB 109. Prior to the adoption of SFAS No. 157 and SAB 109, the recognition of such day one gains and servicing value were proscribed and these gains were not recognized until realized through the sale of the related loans. This change in treatment, therefore, is only related to the timing of revenue recognition.</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December 31, 2008, if market interest rates had increased by 100 basis points, the aggregate fair value of the derivative financial instruments and the hedged items at LendingTree Loans would have decreased by $1.2 million. As of December 31, 2008, if market interest rates had decreased by 100 basis points, the aggregate fair value of the derivative financial instruments and the hedged items at LendingTree Loans would have decreased by $0.6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Tree.com, Inc. and subsidiaries as of December 31, 2008 and 2007, and the related consolidated statements of operations, shareholders' equity, and cash flows for each of the three years in the period ended December 31, 2008. Our audits also included the financial statement schedule listed in the Index at Item 15(a). These financial statements and financial statement schedule are the responsibility of the Company's management. Our responsibility is to express an opinion on these financial statements and the financial statement schedule based on our audits.</w:t>
      </w:r>
    </w:p>
    <w:p>
      <w:pPr>
        <w:spacing w:after="0" w:line="16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Tree.com, Inc. and subsidiaries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52"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As discussed in Notes 2 and 10 to the consolidated financial statements, Tree.com adopted Statement of Financial Accounting Standard 157 "Fair Value Measurements" and Statement of Financial Accounting Standard 159 "The Fair Value Option for Financial Assets and Financial Liabilities Including an Amendment of FASB Statement No. 115" effective January 1, 2008.</w:t>
      </w:r>
    </w:p>
    <w:p>
      <w:pPr>
        <w:spacing w:after="0" w:line="200" w:lineRule="exact"/>
        <w:rPr>
          <w:sz w:val="20"/>
          <w:szCs w:val="20"/>
          <w:color w:val="auto"/>
        </w:rPr>
      </w:pPr>
    </w:p>
    <w:p>
      <w:pPr>
        <w:spacing w:after="0" w:line="23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1"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9"/>
              </w:rPr>
              <w:t>Year Ended December 31,</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60"/>
              <w:spacing w:after="0"/>
              <w:rPr>
                <w:sz w:val="20"/>
                <w:szCs w:val="20"/>
                <w:color w:val="auto"/>
              </w:rPr>
            </w:pPr>
            <w:r>
              <w:rPr>
                <w:rFonts w:ascii="Arial" w:cs="Arial" w:eastAsia="Arial" w:hAnsi="Arial"/>
                <w:sz w:val="18"/>
                <w:szCs w:val="18"/>
                <w:color w:val="auto"/>
              </w:rPr>
              <w:t>Lending:</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Origination and sale of loans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400"/>
              <w:spacing w:after="0"/>
              <w:rPr>
                <w:sz w:val="20"/>
                <w:szCs w:val="20"/>
                <w:color w:val="auto"/>
              </w:rPr>
            </w:pPr>
            <w:r>
              <w:rPr>
                <w:rFonts w:ascii="Arial" w:cs="Arial" w:eastAsia="Arial" w:hAnsi="Arial"/>
                <w:sz w:val="18"/>
                <w:szCs w:val="18"/>
                <w:color w:val="auto"/>
              </w:rPr>
              <w:t>Other lending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103,677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164,475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Lending</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192,645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294,626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51,752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Total cost of revenue (exclusive of depreciation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shown separately below)</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vMerge w:val="restart"/>
          </w:tcPr>
          <w:p>
            <w:pPr>
              <w:ind w:left="1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164,179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273,264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187,612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119,284</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 litigation settlement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and impairment of intangibles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459,463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379,209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813,704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(loss) income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(215,030)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(540,440)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(215,550)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(540,241)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(10,161)</w:t>
            </w:r>
          </w:p>
        </w:tc>
        <w:tc>
          <w:tcPr>
            <w:tcW w:w="3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(202,276)</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(550,402)</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9,368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9,328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income per share available to common</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(21.59)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(59.00)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(21.59)</w:t>
            </w:r>
          </w:p>
        </w:tc>
        <w:tc>
          <w:tcPr>
            <w:tcW w:w="3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(59.00)</w:t>
            </w:r>
          </w:p>
        </w:tc>
        <w:tc>
          <w:tcPr>
            <w:tcW w:w="36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December 31, 2007</w:t>
            </w:r>
          </w:p>
        </w:tc>
        <w:tc>
          <w:tcPr>
            <w:tcW w:w="74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10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89"/>
              </w:rPr>
              <w:t>except par value</w:t>
            </w: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Arial" w:cs="Arial" w:eastAsia="Arial" w:hAnsi="Arial"/>
                <w:sz w:val="14"/>
                <w:szCs w:val="14"/>
                <w:b w:val="1"/>
                <w:bCs w:val="1"/>
                <w:color w:val="auto"/>
              </w:rPr>
              <w:t>and share amounts)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73,643</w:t>
            </w:r>
          </w:p>
        </w:tc>
        <w:tc>
          <w:tcPr>
            <w:tcW w:w="860" w:type="dxa"/>
            <w:vAlign w:val="bottom"/>
          </w:tcPr>
          <w:p>
            <w:pPr>
              <w:spacing w:after="0"/>
              <w:rPr>
                <w:sz w:val="18"/>
                <w:szCs w:val="18"/>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45,940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15,204</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$367 and</w:t>
            </w: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20"/>
              <w:spacing w:after="0"/>
              <w:rPr>
                <w:sz w:val="20"/>
                <w:szCs w:val="20"/>
                <w:color w:val="auto"/>
              </w:rPr>
            </w:pPr>
            <w:r>
              <w:rPr>
                <w:rFonts w:ascii="Arial" w:cs="Arial" w:eastAsia="Arial" w:hAnsi="Arial"/>
                <w:sz w:val="18"/>
                <w:szCs w:val="18"/>
                <w:color w:val="auto"/>
              </w:rPr>
              <w:t>$322, respectively</w:t>
            </w:r>
          </w:p>
        </w:tc>
        <w:tc>
          <w:tcPr>
            <w:tcW w:w="202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7,234</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12,433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Loans held for sale ($85,638 measured at fair value in</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87,835</w:t>
            </w: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86,754</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8,960</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192,876</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17,057</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20" w:type="dxa"/>
            <w:vAlign w:val="bottom"/>
          </w:tcPr>
          <w:p>
            <w:pPr>
              <w:spacing w:after="0"/>
              <w:rPr>
                <w:sz w:val="18"/>
                <w:szCs w:val="18"/>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9,285</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140,892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64,663</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108,440</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2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202</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284,083</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443,587</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Warehouse lines of credit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76,186</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79,426</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020" w:type="dxa"/>
            <w:vAlign w:val="bottom"/>
          </w:tcPr>
          <w:p>
            <w:pPr>
              <w:spacing w:after="0"/>
              <w:rPr>
                <w:sz w:val="18"/>
                <w:szCs w:val="18"/>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trade</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3,541</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1,231</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0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37,146</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74,506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118,104</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179,891</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020" w:type="dxa"/>
            <w:vAlign w:val="bottom"/>
          </w:tcPr>
          <w:p>
            <w:pPr>
              <w:spacing w:after="0"/>
              <w:rPr>
                <w:sz w:val="18"/>
                <w:szCs w:val="18"/>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862</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9,016</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17,973</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36,706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145,955</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228,963</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w w:val="99"/>
              </w:rPr>
              <w:t>Commitments and contingencies (Notes 14 and 15)</w:t>
            </w: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140"/>
              <w:spacing w:after="0"/>
              <w:rPr>
                <w:sz w:val="20"/>
                <w:szCs w:val="20"/>
                <w:color w:val="auto"/>
              </w:rPr>
            </w:pPr>
            <w:r>
              <w:rPr>
                <w:rFonts w:ascii="Arial" w:cs="Arial" w:eastAsia="Arial" w:hAnsi="Arial"/>
                <w:sz w:val="18"/>
                <w:szCs w:val="18"/>
                <w:color w:val="auto"/>
                <w:w w:val="97"/>
              </w:rPr>
              <w:t>Preferred stock $.01 par value; authorized 5,000,000</w:t>
            </w: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20"/>
              <w:spacing w:after="0"/>
              <w:rPr>
                <w:sz w:val="20"/>
                <w:szCs w:val="20"/>
                <w:color w:val="auto"/>
              </w:rPr>
            </w:pPr>
            <w:r>
              <w:rPr>
                <w:rFonts w:ascii="Arial" w:cs="Arial" w:eastAsia="Arial" w:hAnsi="Arial"/>
                <w:sz w:val="18"/>
                <w:szCs w:val="18"/>
                <w:color w:val="auto"/>
              </w:rPr>
              <w:t>shares; none issued or outstanding</w:t>
            </w:r>
          </w:p>
        </w:tc>
        <w:tc>
          <w:tcPr>
            <w:tcW w:w="2020" w:type="dxa"/>
            <w:vAlign w:val="bottom"/>
          </w:tcPr>
          <w:p>
            <w:pPr>
              <w:spacing w:after="0"/>
              <w:rPr>
                <w:sz w:val="19"/>
                <w:szCs w:val="19"/>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Common stock $.01 par value; authorized 50,000,000</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shares; issued and outstanding 9,369,381 and -0-</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respectively</w:t>
            </w:r>
          </w:p>
        </w:tc>
        <w:tc>
          <w:tcPr>
            <w:tcW w:w="2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Invested capital</w:t>
            </w:r>
          </w:p>
        </w:tc>
        <w:tc>
          <w:tcPr>
            <w:tcW w:w="2020" w:type="dxa"/>
            <w:vAlign w:val="bottom"/>
          </w:tcPr>
          <w:p>
            <w:pPr>
              <w:spacing w:after="0"/>
              <w:rPr>
                <w:sz w:val="18"/>
                <w:szCs w:val="18"/>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751,923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894,577</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Payables to IAC and subsidiaries</w:t>
            </w:r>
          </w:p>
        </w:tc>
        <w:tc>
          <w:tcPr>
            <w:tcW w:w="2020" w:type="dxa"/>
            <w:vAlign w:val="bottom"/>
          </w:tcPr>
          <w:p>
            <w:pPr>
              <w:spacing w:after="0"/>
              <w:rPr>
                <w:sz w:val="18"/>
                <w:szCs w:val="18"/>
                <w:color w:val="auto"/>
              </w:rPr>
            </w:pPr>
          </w:p>
        </w:tc>
        <w:tc>
          <w:tcPr>
            <w:tcW w:w="18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20,067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(756,543)</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8"/>
              </w:rPr>
              <w:t>(557,366)</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280"/>
              <w:spacing w:after="0"/>
              <w:rPr>
                <w:sz w:val="20"/>
                <w:szCs w:val="20"/>
                <w:color w:val="auto"/>
              </w:rPr>
            </w:pPr>
            <w:r>
              <w:rPr>
                <w:rFonts w:ascii="Arial" w:cs="Arial" w:eastAsia="Arial" w:hAnsi="Arial"/>
                <w:sz w:val="18"/>
                <w:szCs w:val="18"/>
                <w:color w:val="auto"/>
              </w:rPr>
              <w:t>Total shareholders' equity</w:t>
            </w:r>
          </w:p>
        </w:tc>
        <w:tc>
          <w:tcPr>
            <w:tcW w:w="2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138,128</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284,083</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443,587</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Common Stock</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4"/>
              </w:rPr>
              <w:t>Payables to</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Invested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IAC and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w w:val="71"/>
              </w:rPr>
              <w:t>thousands)</w:t>
            </w: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$ 766,486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754,773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 ended December 31, 2006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to IAC (principally tax adjustments related to equity awards)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change in payables to IAC and subsidiaries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750,331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 ended December 31, 2007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(550,402)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(550,402)</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(550,402)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EITF 06-2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transfers to IAC (principally tax adjustments related to equity awards)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payables to IAC and subsidiaries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2007</w:t>
            </w: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751,923</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20,067</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(557,366)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120"/>
              <w:spacing w:after="0"/>
              <w:rPr>
                <w:sz w:val="20"/>
                <w:szCs w:val="20"/>
                <w:color w:val="auto"/>
              </w:rPr>
            </w:pPr>
            <w:r>
              <w:rPr>
                <w:rFonts w:ascii="Arial" w:cs="Arial" w:eastAsia="Arial" w:hAnsi="Arial"/>
                <w:sz w:val="18"/>
                <w:szCs w:val="18"/>
                <w:color w:val="auto"/>
              </w:rPr>
              <w:t>Net loss for the year ended December 31, 2008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(202,276)</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(202,276)</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(202,276)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Cumulative effect of adoption of SFAS No. 157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spacing w:after="0"/>
              <w:rPr>
                <w:sz w:val="20"/>
                <w:szCs w:val="20"/>
                <w:color w:val="auto"/>
              </w:rPr>
            </w:pPr>
            <w:r>
              <w:rPr>
                <w:rFonts w:ascii="Arial" w:cs="Arial" w:eastAsia="Arial" w:hAnsi="Arial"/>
                <w:sz w:val="18"/>
                <w:szCs w:val="18"/>
                <w:color w:val="auto"/>
              </w:rPr>
              <w:t>Spin-off contribution from IAC, net of invested capital and extinguishment of</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intercompany amounts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111,423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(751,923)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883,413</w:t>
            </w: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(20,067)</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spin off</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spacing w:after="0"/>
              <w:rPr>
                <w:sz w:val="20"/>
                <w:szCs w:val="20"/>
                <w:color w:val="auto"/>
              </w:rPr>
            </w:pPr>
            <w:r>
              <w:rPr>
                <w:rFonts w:ascii="Arial" w:cs="Arial" w:eastAsia="Arial" w:hAnsi="Arial"/>
                <w:sz w:val="18"/>
                <w:szCs w:val="18"/>
                <w:color w:val="auto"/>
                <w:w w:val="95"/>
              </w:rPr>
              <w:t>Issuance of common stock upon exercise of stock options and vesting of restricted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stock units, net of withholding taxes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payable in cash</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2008</w:t>
            </w: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$ 138,128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8"/>
              </w:rPr>
              <w:t>94</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894,577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(756,543)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(202,276)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(550,402)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Amortization and impairment of intangibles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130,957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Gain on origination and sale of loans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(88,968)</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(130,151)</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(221,400)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Loss on real estate acquired in satisfaction of loans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(2,206,065)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(5,812,047)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(7,841,700)</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2,291,022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6,218,684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8,089,716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Payments to investors for loan repurchases and early payoff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(4,568)</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(6,717)</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(23,329)</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(41,920)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232,985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w w:val="89"/>
              </w:rPr>
              <w:t>Contingent consideration paid to former shareholders of subsidiaries acquired in a purchase business combination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(14,487)</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22"/>
        </w:trPr>
        <w:tc>
          <w:tcPr>
            <w:tcW w:w="82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(18,761)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(16,410)</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1,993,938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5,651,803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7,700,842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(1,997,179)</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(5,910,849)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(7,724,663)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Transfers to IAC</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Spin-off capital contributions from IAC</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120"/>
              <w:spacing w:after="0"/>
              <w:rPr>
                <w:sz w:val="20"/>
                <w:szCs w:val="20"/>
                <w:color w:val="auto"/>
              </w:rPr>
            </w:pPr>
            <w:r>
              <w:rPr>
                <w:rFonts w:ascii="Arial" w:cs="Arial" w:eastAsia="Arial" w:hAnsi="Arial"/>
                <w:sz w:val="18"/>
                <w:szCs w:val="18"/>
                <w:color w:val="auto"/>
              </w:rPr>
              <w:t>(Increase) decrease in restricted cash</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(45,915)</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27,703</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73,643</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45,940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We refer herein to these businesses as the "Tree.com Businesses," which include LendingTree.com, RealEstate.com, GetSmart.com, Home Loan Center, Inc. (d/b/a LendingTree Loans) and iNest.com.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Lending consists of online networks and call centers (principally LendingTree.com and GetSmart.com) that connect consumers and financial providers in the lending industry. Tree.com also originates, processes, approves and funds various residential real estate loans through Home Loan Center, Inc. ("HLC"), which does business as LendingTree Loans in certain jurisdictions. The HLC and LendingTree Loans brand names are collectively referred to in these consolidated financial statements as "LendingTree Loans."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Real Estate consists of a proprietary full service real estate brokerage (RealEstate.com, REALTORS®) that operates in 20 U.S. markets, as well as an online network accessed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 and iNest.com, an online network that matches buyers and builders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new homes.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ind w:right="820" w:firstLine="348"/>
        <w:spacing w:after="0" w:line="370" w:lineRule="auto"/>
        <w:rPr>
          <w:sz w:val="20"/>
          <w:szCs w:val="20"/>
          <w:color w:val="auto"/>
        </w:rPr>
      </w:pPr>
      <w:r>
        <w:rPr>
          <w:rFonts w:ascii="Arial" w:cs="Arial" w:eastAsia="Arial" w:hAnsi="Arial"/>
          <w:sz w:val="15"/>
          <w:szCs w:val="15"/>
          <w:color w:val="auto"/>
        </w:rPr>
        <w:t>The consolidated financial statements include the accounts of the Company and all entities that are wholly-owned by the Company. Intercompany transactions and accounts have been eliminated. Certain prior period amounts have been reclassified to conform with the current year presentation.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 Exchange Business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Lending's exchange revenue principally represents match fees and closed-loan fees paid by lenders that received a transmitted loan request or closed a loan for a consumer that originated through one of LendingTree's websites or affiliates. Match fees are recognized at the time qualification forms are transmitted, while closed-loan fees are recognized at the time the lender reports the closed loan to LendingTree, which may be several months after the loan request is transmitted.</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jc w:val="both"/>
        <w:ind w:right="80" w:firstLine="351"/>
        <w:spacing w:after="0" w:line="323" w:lineRule="auto"/>
        <w:rPr>
          <w:sz w:val="20"/>
          <w:szCs w:val="20"/>
          <w:color w:val="auto"/>
        </w:rPr>
      </w:pPr>
      <w:r>
        <w:rPr>
          <w:rFonts w:ascii="Arial" w:cs="Arial" w:eastAsia="Arial" w:hAnsi="Arial"/>
          <w:sz w:val="15"/>
          <w:szCs w:val="15"/>
          <w:color w:val="auto"/>
        </w:rPr>
        <w:t>LendingTree Loan's revenues are primarily derived from the origination and sale of mortgage loans. Loans are funded through warehouse lines of credit and are sold to investors, typically within thirty days. The gain or loss on the sale of loans is realized on the date the loans are sold. The Company sells its loans on a servicing released basis in which the Company gives up the right to service the loans on an ongoing basis. The recognition of the sale of loans is accounted for in accordance with SFAS No. 140, "Accounting for Transfers and Servicing of Financial Assets and Extinguishments of Liabilities" ("SFAS No. 140").</w:t>
      </w:r>
    </w:p>
    <w:p>
      <w:pPr>
        <w:spacing w:after="0" w:line="15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Loans funded prior to January 1, 2008 are carried at the lower of cost or market value determined on an aggregate basis except for loans that are impaired, which are assessed on an individual basis. Loans are deemed impaired when they have a significant defect impacting the ability of the Company to sell the loan and recoup substantially all of the balance due. In accordance with Statement of Financial Accounting Standards ("SFAS") No. 91, "Accounting for Nonrefundable Fees and Costs Associated with Originating or Acquiring Loans and Initial Direct Costs of Leases," loan origination fees and certain direct costs related to the origination of loans prior to January 1, 2008 were capitalized and deferred until the loans were sold. Upon sale of the loans, the origination fees and costs were recognized as a component of the gain on sale of loans.</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Subsequent to the adoption of the fair value accounting standards on January 1, 2008 (See Recent Accounting Pronouncements), loans are recorded at fair value at the time of origination. Changes in the fair value of loans are recorded through revenue prior to the sale of the loans to investors. At the time of sale, any difference between the estimated fair value of the loan and the sales price is recorded as an adjustment to the gain.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Real Estate earns revenue from commissions paid by consumers for our agents closing a real estate transaction on their behalf and from subscription and cooperative brokerage fees paid by real estate professionals participating on its exchange. Commissions are recognized at the time the real estate transaction is closed. Subscription fees are recognized over the subscription period. Cooperative brokerage fees are recognized when the transmission of a consumer's information results in the purchase or sale of a home and the transaction is reported closed by the participating real estate professional.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12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in escrow for future operating lease</w:t>
            </w: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5,016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Minimum required balances for warehouse lines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of credit</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15,204</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Accounts receivable are stated at amounts due from customers, primarily lending and real estate service providers participating on our networks, net of an allowance for doubtful accounts.</w:t>
      </w:r>
    </w:p>
    <w:p>
      <w:pPr>
        <w:spacing w:after="0" w:line="186"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Accounts receivable outstanding longer than the contractual payment terms are considered past due. The Company determines its allowance for doubtful accounts by considering a number of factors, including the length of time accounts receivable are past due, the Company's previous loss history, the specific customer's current ability to pay its obligation to the Company and the condition of the general economy and the customer's industry as a whole. The Company writes off accounts receivable when management deems them uncollectible. Write-offs were $0.6 million, $2.7 million and $1.4 million for the years ended December 31, 2008, 2007 and 2006,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and second mortgage loans that are secured by residential real estate throughout the United States.</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Effective January 1, 2008 the Company adopted Statement of Financial Accounting Standards ("SFAS") No. 159 "The Fair Value Option for Financial Assets and Financial Liabilities Including an amendment of FASB Statement No. 115" ("SFAS No. 159"). SFAS No. 159 permits entities to choose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to measure certain financial instruments at fair value with the objective of reducing both the complexity in the accounting for financial instruments and the volatility in earnings caused by measuring related assets and liabilities differently. Upon adoption, the Company elected to account for loans held for sale originated on or after January 1, 2008 at fair value. Management believes that the fair value option allows a better offset of the changes in fair values of the loans and the forward delivery contracts used to economically hedge them without the burden of complying with the requirements for hedge accounting under SFAS No. 133, "Accounting for Derivative Instruments and Hedging Activities" ("SFAS No. 133").</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did not elect the fair value option on loans held for sale originated prior to January 1, 2008 or on any loans that have been repurchased from investors. As of December 31, 2008, $2.2 million of such loans were impaired and carried on the balance sheet at the lower of cost or market value assessed on an individual loan basis.</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fair value of loans held for sale is determined using current secondary market prices for loans with similar coupons, maturities and credit quality. Loans held for sale are pledged as collateral under LendingTree Loans' warehouse lines of credit. LendingTree Loans relies substantially on the secondary mortgage market as all of the loans originated are sold into this market.</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Fees received from borrowers for a commitment to originate a mortgage loan at a specified rate (interest rate lock commitment or "IRLC") are deferred. Such fees are generally credited toward loan origination fees when the loan is funded or recognized as income upon expiration of the commitment in the case of unexercised commitments.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Interest on mortgage loans held for sale is recognized as earned and is only accrued if deemed collectible. Interest is generally deemed uncollectible when a loan becomes three months or more delinquent or when a loan has a defect affecting its salability. Delinquency is calculated based on the contractual due date of the loan. Loans are written off when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LendingTree Loans sells loans it originates to investors on a servicing released basis without recourse so that the risk of loss or default by the borrower is generally transferred to the investor. However, LendingTree Loans is required by these investors to make certain representations relating to credit information, loan documentation and collateral. To the extent LendingTree Loans does not comply with such representations or there are early payment defaults, LendingTree Loans may be required to repurchase loans or indemnify the investors for any losses from borrower defaults. The Company initially records the liability for this obligation at fair value. Subsequently, LendingTree Loans maintains a liability for the estimated obligation related to this exposure based, in part, on historical and projected loss frequency and loss severity using its claims history (adjusted for recent trends in claims experience as well as market pricing information on loans repurchased), the original principal amount of the loans previously sold, the year the loans were sold, and loan type. There are four loan types used in this analysis that are determined based on the extent of the documentation received (full or limited) and the lien position of the mortgage in the underling property (first or second position). In the case of early payoffs, which occur when a borrower prepays a loan prior to the end of a specified period, LendingTree Loans may be required to repay all or a portion of the premium initially paid by the investor. The estimated obligation associated with early payoffs is calculated based on historical loss experience by loan type.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Properties Acquired in Satisfaction of Loans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Real estate properties acquired in satisfaction of loans are recorded at the lower of carrying amount or estimated fair value less selling costs on their acquisition dates. Subsequent write-downs, costs to maintain the property, and gains or losses realized upon disposition are included in operating expenses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Property and equipment, including significant improvements, are recorded at cost less accumulated depreciation. Repairs and maintenance and any gains or losses on dispositions are included in operations.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Depreciation is recorded on a straight-line basis to allocate the cost of depreciable assets to operations over their estimated service lives. Amortization of assets recorded under capital leases is included in depreciation expense. The following table presents the depreciation period for each asset category:</w:t>
      </w:r>
    </w:p>
    <w:p>
      <w:pPr>
        <w:spacing w:after="0" w:line="135"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4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7"/>
              </w:rPr>
              <w:t>Depreciation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Computer equipment and capitalized software</w:t>
            </w:r>
          </w:p>
        </w:tc>
        <w:tc>
          <w:tcPr>
            <w:tcW w:w="4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76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Lesser of asset life or life of lease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4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 to 7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Software development costs primarily include expenses incurred to develop the software that powers our websites. Statement of Position No. 98-1 "Accounting for the Costs of Computer Software Developed or Obtained for Internal Use" ("SOP 98-1") provides guidance regarding when software developed or obtained for internal use should be capitalized. SOP 98-1 requires that certain costs incurred during the application development stage be capitalized, while costs incurred during the preliminary project stage and post-implementation/operation stage should be expensed as incurred. The Company accounts for its website development costs and other internal use software in accordance with SOP 98-1. Capitalized software development costs are amortized over the estimated life of three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accordance with SFAS No. 142, "Goodwill and Other Intangible Assets" ("SFAS No. 142"), goodwill acquired in business combinations is assigned to the reporting units that are expected to benefit from the combination as of the acquisition date.</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Goodwill impairment is determined using a two-step process. The first step of the process is to compare the fair value of a reporting unit with its carrying amount, including goodwill. In performing the first step, Tree.com determines the fair value of its reporting units by using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fair value, an impairment loss is recognized in an amount equal to that excess. The estimates of fair value of indefinite-lived intangible assets are determined using a DCF valuation analysis that employs a "relief from royalty" methodology in estimating the fair value of its trade names and trademarks. Significant judgments inherent in this analysis include the determination of royalty rates, discount rates and the terminal growth rates.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Goodwill and indefinite-lived intangible assets, primarily trade names and trademarks, are tested annually for impairment as of October 1 or earlier upon the occurrence of certain events or substantive changes in circumstances. In light of the substantive changes in the mortgage and real estate markets, Tree.com performed an interim test as of June 30, 2008, in addition to the annual test on October 1, 2008. Tree.com identified significant impairments in both the interim test in 2008 and the annual test in 2007, as described in Note 4.</w:t>
      </w:r>
    </w:p>
    <w:p>
      <w:pPr>
        <w:spacing w:after="0" w:line="19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interim test as of June 30, 2008, and as of December 31, 2008, the remaining goodwill balance relates only to the Real Estate segment. The annual goodwill impairment test for the Real Estate segment as of October 1, 2008 included the following material assumptions: a discounted cash flow model, utilizing a discount rate of 18%, a perpetual growth rate of 4% and EBITDA margin growth from 3% of revenue in 2010 to 29% in 2018. (See Note 8 for the definition of EBITDA.) As of December 31, 2008, the remaining indefinite-lived intangible assets balance relates to both the Lending and Real Estate segments. The annual indefinite-lived intangible assets impairment test as of October 1, 2008 included the following material assumptions: an assumed relief from royalties model, discount rates of 16% to 18%, perpetual growth rates of 4% to 11%, and royalty rates of 1% to 4%. Management of Tree.com believes that the assumptions used in the impairment test are reasonable. However, Tree.com's reporting units continue to operate in dynamic and challenged industry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accordance with SFAS No. 144, "Accounting for the Impairment or Disposal of Long-Lived Assets" ("SFAS No. 144"), long-lived assets, including property and equipment and intangible assets with definite lives, are tested for recoverability whenever events or changes in circumstances indicate that their carrying amount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 Amortization of definite lived intangible assets is recorded on a straight-line basis over their estimated lives.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Tree.com is exposed to certain risks in connection with its mortgage banking operations. LendingTree Loans is exposed to interest rate risk for loans it originates until those loans are sold in the secondary market. The fair value of loans held for sale is subject to change primarily due to changes in market interest rates. LendingTree Loans economically hedges the changes in fair value of certain loans held for sale primarily by entering into mortgage forward delivery contracts. Although LendingTree Loans continues to enter into derivatives for risk management purposes, effective April 1, 2007 it no longer designates these derivative instruments as hedges and thus the relationships no longer qualify for the hedge accounting provisions of SFAS No. 133. See Note 10 for a description of Tree.com's derivative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and real estate network support staff, as well as credit scoring fees, consumer incentive costs, real estate agent commissions and website network hosting and server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Promotional Costs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offers certain consumers that utilize our exchange services promotional incentives to complete a transaction. These include cash payments, gift certificates, airline miles or other discounts or coupons in the event a transaction is completed utilizing our services. The liability is estimated for these consumer promotional costs each period based on the number of consumers that are presented such offers, the cost of the item being offered and the historical trends of consumers qualifying for the offer and our payout rates. The estimated costs of the consumer promotional incentives are charged to cost of revenue each period. Consumer promotional expense was $9.4 million, $16.1 million and $20.1 million for the years ended December 31, 2008, 2007 and 2006, respectively. Consumer promotional costs accrued totaled $0.6 million and $1.0 million at December 31, 2008 and 2007, respectively, and are included in accrued liabilities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31"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Advertising costs are expensed in the period incurred (when the advertisement first runs for production costs that are initially capitalized) and principally represent offline costs, including television and radio advertising, and online advertising costs, including fees paid to search engines and distribution partners. Advertising expense was $92.0 million, $172.6 million and $204.4 million for the years ended December 31, 2008, 2007 and 2006, respectively. Prepaid advertising totaled $-0- and $0.6 million at December 31, 2008 and 2007, respectively, and is included in "Prepaid and other current assets" in the accompanying consolidated balance sheets.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Tree.com accounts for income taxes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other than enactments of changes in the tax law or rates,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Tree.com records interest on potential tax contingencies as a component of income tax expense and records interest net of any applicable related income tax benefit.</w:t>
      </w:r>
    </w:p>
    <w:p>
      <w:pPr>
        <w:spacing w:after="0" w:line="174"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Effective January 1, 2007, Tree.com adopted the provisions of Financial Accounting Standards Board ("FASB") Interpretation No. 48, "Accounting for Uncertainty in Income Taxes—an interpretation of FASB Statement No. 109" ("FIN 48"). As a result of the adoption of FIN 48, Tree.com recognizes liabilities for uncertain tax positions based on the two-step process prescribed by the interpretation.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Effective January 1, 2006, Tree.com adopted the provisions of SFAS No. 123 (revised 2004), "Share-Based Payment" ("SFAS 123R"), using the modified prospective transition method and therefore has not restated results for prior periods. See Note 3 for a further description of the impact of the adoption of SFAS 123R and Staff Accounting Bulletin No. 107 ("SAB 107").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reserve for obligations on loans that have been previously sold; the fair value of loans held for sale and related derivatives; the recoverability of long-lived assets; the recovery of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Tree.com's business is subject to certain risks and concentrations including dependence on third party technology providers, exposure to risks associated with online commerce security and credit card fraud.</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Financial instruments, which potentially subject Tree.com to concentration of credit risk, consist primarily of cash and cash equivalents. Cash and cash equivalents are maintained with quality financial institutions of high credit and are in excess of Federal Deposit Insurance Corporation insurance limits.</w:t>
      </w:r>
    </w:p>
    <w:p>
      <w:pPr>
        <w:spacing w:after="0" w:line="11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Due to the nature of the mortgage lending industry, changes in interest rates may significantly impact revenue from originating mortgages and subsequent sales of loans to investors, which are the primary source of income for LendingTree Loans. LendingTree Loans originates mortgage loans on property located throughout the United States, with no one location representing more than 10% of Tree.com's consolidated revenue for any periods presented. Revenue from loans originated for property located in California and Florida in the aggregate totaled approximately 7%, 10% and 14% of Tree.com's revenue in 2008, 2007 and 2006, respectively.</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LendingTree Loan's two largest investors (purchasers of the loans originated) represented approximately 12% and 11% of Tree.com's revenue for 2008, 28% and 13% of Tree.com's revenue for 2007, and 30% and 15% of Tree.com's revenue for 2006. LendingTree Loans monitors its relationships with investors and, from time to time, makes adjustments in the amount it sells to any one investor based upon a number of factors, including but not limited to, price, loan review time and funding turnaround, underwriting guidelines and the overall efficiency of its relationship with the investor.</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LendingTree Loans funds loans through warehouse lines of credit. As of December 31, 2008 and 2007, 65% and 73%, respectively, of the total balance due on the lines of credit was payable to one lender. The decision regarding how to allocate this balance amongst lenders is based on several factors, including the interest rate and commitment fee.</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lending networks as well as revenue from originating and selling loans.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 lenders participating on our lending networks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SFAS No. 159 permits entities to choose to measure many financial instruments and certain other assets and liabilities at fair value with the objective of reducing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both the complexity in the accounting for financial instruments and the volatility in earnings caused by measuring related assets and liabilities differently. SFAS No. 159 is effective for fiscal years beginning after November 15, 2007. Tree.com adopted SFAS No. 159 effective January 1, 2008 and elected the fair value option on loans funded after December 31, 2007. Therefore there was no cumulative effect related to the adoption of SFAS No. 159.</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September 2006, the FASB issued SFAS No. 157, "Fair Value Measurements" (SFAS No. 157"), which provides enhanced guidance for using fair value to measure assets and liabilities. SFAS No. 157 is effective for fiscal years beginning after November 15, 2007, and interim periods within those fiscal years. SFAS No. 157 defines fair value, establishes a framework for measuring fair value and expands disclosures about fair value measurements and the effect of the measurements on earnings or changes in net assets. Among other things, SFAS No. 157 clarifies the principle that fair value should be based on the assumptions that market participants would use when pricing the asset or liability and establishes a fair value hierarchy that prioritizes the information used to develop those assumptions. The most significant financial impact of adopting the provisions of SFAS No. 157 is related to the valuing of interest rate lock commitments (related to loans intended to be held for sale). Under SFAS No. 157, the fair value of a closed loan includes the embedded cash flows that are ultimately realized as servicing value or through the sale of a loan on a servicing released basis. The valuation of loan commitments includes assumptions related to the likelihood that a commitment will ultimately result in a closed loan ("expected close rates"). These expected close rates are based on Tree.com's historical data, which is a significant unobservable assumption. Prior accounting requirements precluded the recognition of any day one gains and losses if fair value was not based on observable market data. Rather, these gains and losses were recognized when the interest rate lock commitment expired or when the underlying loan was ultimately sold. The change in valuation methodology under SFAS No. 157 accelerates the recognition of these day one gains and losses. The cumulative effect of adopting the provisions of SFAS No. 157 is required to be reported as an adjustment to beginning retained earnings in the year of adoption. Accordingly, upon adoption of SFAS No. 157 on January 1, 2008, Tree.com recorded a $3.1 million reduction to accumulated deficit.</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November 2007, the SEC issued Staff Accounting Bulletin No. 109, "Written Loan Commitments Recorded at Fair Value Through Earnings"</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("SAB 109"). SAB 109 supersedes Staff Accounting Bulletin No. 105, "Application of Accounting Principles to Loan Commitments" ("SAB 105"). It clarifies that the expected net future cash flows related to the associated servicing of a loan should be included in the measurement of all written loan commitments that are accounted for at fair value through earnings. However, it retains the guidance in SAB 105 that internally-developed intangible assets should not be recorded as part of the fair value of a derivative loan commitment. The guidance is effective on a prospective basis to derivative loan commitments issued or modified in fiscal quarters beginning after December 15, 2007.</w:t>
      </w:r>
    </w:p>
    <w:p>
      <w:pPr>
        <w:spacing w:after="0" w:line="199"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adoption of SFAS No. 157, SFAS No. 159, and SAB 109 generally results in higher fair values of loans held for sale being recorded at loan origination. Prior to adoption certain aspects of the loan value associated with the cash flows related to the servicing of a loan, origination fees and day one gains on derivative transactions would be deferred until the sale of the loan. However, as loans are typically sold within thirty days of origination, Tree.com has determined that adoption of SFAS No. 157, SFAS No. 159 and SAB 109 did not have a material impact on its consolidated financial position, results of operations or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FASB Statement No. 141. SFAS No. 141R establishes principles and requirements for how an acquirer recognizes and measures in its financial statements the identifiable assets acquired, the liabilities assumed, any noncontrolling interest in the acquiree and the goodwill acquired. The Statement also establishes disclosure requirements that will enable users to evaluate the nature and financial effects of the business combination. SFAS No. 141R applies prospectively to business combinations in fiscal years beginning after December 15, 2008. Early adoption is not permitted. Tree.com does not expect the impact of the adoption of SFAS No. 141R to have a material impact on its consolidated financial position,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3—SFAS 123R AND STOCK-BASED COMPENSATION</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Effective January 1, 2006, Tree.com adopted SFAS 123R using the modified prospective transition method and has applied the classification provisions of SAB 107 regarding the SEC's interpretation of SFAS 123R and the valuation of share-based payments for public companies in its adoption of SFAS 123R.</w:t>
      </w:r>
    </w:p>
    <w:p>
      <w:pPr>
        <w:spacing w:after="0" w:line="139"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adoption of SFAS 123R did not impact the amount of stock-based compensation expense recorded in the accompanying consolidated statements of operations as Tree.com had previously adopted the expense recognition provisions of SFAS No. 123, "Accounting for Stock-Based Compensation" ("SFAS No. 123").</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adoption of SFAS 123R, the entire tax benefit from stock-based compensation was reported as a component of operating cash flows. Upon the adoption of SFAS 123R, tax benefits resulting from tax deductions in excess of the stock-based compensation expense recognized in the consolidated statement of operations are reported as a component of financing cash flows. For the years ended December 31, 2008, 2007 and 2006, excess tax benefits from stock-based compensation of $0.4 million, $1.7 million and $1.2 million, respectively, are included as a component of financing cash flows.</w:t>
      </w:r>
    </w:p>
    <w:p>
      <w:pPr>
        <w:spacing w:after="0" w:line="16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Prior to the spin-off, Tree.com employees received equity awards that were granted under various IAC stock and annual incentive plans. Upon spin-off, these IAC awards were converted into awards of both Tree.com and other former IAC companies. Tree.com will continue to recognize non-cash compensation expense for all of these awards granted to Tree.com employees in accordance with SFAS 123R.</w:t>
      </w:r>
    </w:p>
    <w:p>
      <w:pPr>
        <w:spacing w:after="0" w:line="194"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Tree.com currently has one active plan ("Tree.com 2008 Stock and Annual Incentive Plan") under which future awards may be granted, which currently covers outstanding stock options to acquire shares of Tree.com common stock and restricted stock units ("RSUs"), as well as provide for the future grant of these and other equity awards. Under the Tree.com 2008 Stock and Annual Incentive Plan, the Company is authorized to grant stock options, RSUs and other equity based awards for up to 2.2 million shares of Tree.com common stock. The active plan described above authorizes the Company to grant awards to its employees, officers and directors.</w:t>
      </w:r>
    </w:p>
    <w:p>
      <w:pPr>
        <w:spacing w:after="0" w:line="197"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In addition, the plan described above has a stated term of ten years and provides that the exercise price of stock options granted will not be less than the market price of the Company's common stock on the grant date. The plan does not specify grant dates or vesting schedules as those determinations have been delegated to the Compensation Committee of Tree.com's Board of Directors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3—SFAS 123R AND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"Committee"). Each grant agreement reflects the vesting schedule for that particular grant as determined by the Committee.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Non-cash stock-based compensation expense related to equity awards is included in the following line items in the accompanying consolidated statements of operations for the years ended December 31, 2008, 2007 and 2006 (in thousands):</w:t>
      </w:r>
    </w:p>
    <w:p>
      <w:pPr>
        <w:spacing w:after="0" w:line="236"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4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1,603</w:t>
            </w:r>
          </w:p>
        </w:tc>
        <w:tc>
          <w:tcPr>
            <w:tcW w:w="8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89"/>
              </w:rPr>
              <w:t>Non-cash stock-based compensation expense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11,237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2,925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2,177</w:t>
            </w:r>
          </w:p>
        </w:tc>
        <w:tc>
          <w:tcPr>
            <w:tcW w:w="8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(4,438)</w:t>
            </w: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(1,228)</w:t>
            </w: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(1,169)</w:t>
            </w:r>
          </w:p>
        </w:tc>
      </w:tr>
      <w:tr>
        <w:trPr>
          <w:trHeight w:val="21"/>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Non-cash stock-based compensation expense after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6,799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shd w:val="clear" w:color="auto" w:fill="CCEEFF"/>
              </w:rPr>
              <w:t>1,697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shd w:val="clear" w:color="auto" w:fill="CCEEFF"/>
              </w:rPr>
              <w:t>1,008</w:t>
            </w:r>
          </w:p>
        </w:tc>
        <w:tc>
          <w:tcPr>
            <w:tcW w:w="80" w:type="dxa"/>
            <w:vAlign w:val="bottom"/>
            <w:shd w:val="clear" w:color="auto" w:fill="CCEEFF"/>
          </w:tcPr>
          <w:p>
            <w:pPr>
              <w:spacing w:after="0"/>
              <w:rPr>
                <w:sz w:val="18"/>
                <w:szCs w:val="18"/>
                <w:color w:val="auto"/>
              </w:rPr>
            </w:pPr>
          </w:p>
        </w:tc>
      </w:tr>
      <w:tr>
        <w:trPr>
          <w:trHeight w:val="27"/>
        </w:trPr>
        <w:tc>
          <w:tcPr>
            <w:tcW w:w="4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Non-cash compensation in 2008 includes a $6.6 million charge due to the modification of equity-based awards related to the spin-off, which consists of the accelerated vesting of certain restricted stock units and the modification of vested stock options.</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December 31, 2008, there was approximately $5.8 million and $4.0 million of unrecognized compensation cost, net of estimated forfeitures, related to stock options and RSUs and restricted stock, respectively. These costs are expected to be recognized over a weighted-average period of approximately 4.3 years for stock options and 2.0 years for RSUs and restricted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3—SFAS 123R AND STOCK-BASED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Weighted</w:t>
            </w: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0"/>
              </w:rPr>
              <w:t>Aggregate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2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94"/>
              </w:rPr>
              <w:t>(Intrinsic value 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5"/>
              </w:rPr>
              <w:t>Converted from IAC options to Tree.com options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364,696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1,558,950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(45,863)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Expired</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1,870,707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vMerge w:val="continu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215,765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10.37</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480" w:type="dxa"/>
            <w:vAlign w:val="bottom"/>
            <w:tcBorders>
              <w:top w:val="single" w:sz="8" w:color="auto"/>
            </w:tcBorders>
          </w:tcPr>
          <w:p>
            <w:pPr>
              <w:jc w:val="right"/>
              <w:ind w:right="224"/>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The fair value of each stock option award is estimated on the grant date using the Black-Scholes option pricing model. There were 364,696 stock options converted from IAC options to Tree.com options in connection with the spin-off, and 1,558,950 stock options granted by the Company during the year ended December 31, 2008. There were no options granted by IAC during the years ended December 31, 2007 and 2006.</w:t>
      </w:r>
    </w:p>
    <w:p>
      <w:pPr>
        <w:spacing w:after="0" w:line="16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Black-Scholes option pricing model incorporates various assumptions, including expected volatility and expected term. For purposes of this model, no dividends have been assumed. Expected stock price volatilities are estimated based on the historical volatility of similar companies, as the stock of Tree.com began trading on August 21, 2008, and there was insufficient data at the grant date to calculate its own historical volatility. The risk-free interest rates are based on U.S. Treasury yields for notes with comparable terms as the awards, in effect at the grant date. The expected term of options granted is based on analyses of historical employee termination rates and option exercise patterns, giving consideration to expectations of future employee behavior. The following are the weighted average assumptions used in the Black-Scholes option pricing model for the year ended December 31, 2008: volatility factor of 70%, risk-free interest rate of 3.4%, expected term of 6.7 years, and a dividend yield of zero.</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weighted average fair value of stock options granted during the year ended December 31, 2008 at market prices equal to Tree.com's common stock on the grant date was $5.04.</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spin-off, the Chairman and CEO was awarded two grants of 589,950 stock options each, which represents the right to acquire 2.5% of the fully diluted equity at exercise prices representing a total equity value of the Company of $100 million and $300 million. The stock options all cliff vest at the end of five years. The weighted average exercise price and the weighted average fair value related to these stock option grants were $16.95 and $4.19, respectively.</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Tree.com's closing stock price on the last trading day of 2008 and the exercise price,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3—SFAS 123R AND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multiplied by the number of in-the-money options) that would have been received by the option holders had all option holders exercised their options on December 31, 2008. This amount changes based on the fair market value of Tree.com's common stock. The total intrinsic value of stock options exercised during the year ended December 31, 2008 was $10,000.</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Cash received from stock option exercises and the related actual tax benefit realized for the year ended December 31, 2008 were $7,000 and $4,000,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December 31, 2008:</w:t>
      </w:r>
    </w:p>
    <w:p>
      <w:pPr>
        <w:spacing w:after="0" w:line="275"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Options Outstanding</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6"/>
              </w:rPr>
              <w:t>Options Exercisable</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98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22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Life in</w:t>
            </w:r>
          </w:p>
        </w:tc>
        <w:tc>
          <w:tcPr>
            <w:tcW w:w="200" w:type="dxa"/>
            <w:vAlign w:val="bottom"/>
          </w:tcPr>
          <w:p>
            <w:pPr>
              <w:spacing w:after="0"/>
              <w:rPr>
                <w:sz w:val="12"/>
                <w:szCs w:val="12"/>
                <w:color w:val="auto"/>
              </w:rPr>
            </w:pPr>
          </w:p>
        </w:tc>
        <w:tc>
          <w:tcPr>
            <w:tcW w:w="9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14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1"/>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Exercise Price</w:t>
            </w:r>
          </w:p>
        </w:tc>
        <w:tc>
          <w:tcPr>
            <w:tcW w:w="11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24,335</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24,335</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900" w:type="dxa"/>
            <w:vAlign w:val="bottom"/>
          </w:tcPr>
          <w:p>
            <w:pPr>
              <w:jc w:val="right"/>
              <w:spacing w:after="0"/>
              <w:rPr>
                <w:sz w:val="20"/>
                <w:szCs w:val="20"/>
                <w:color w:val="auto"/>
              </w:rPr>
            </w:pPr>
            <w:r>
              <w:rPr>
                <w:rFonts w:ascii="Arial" w:cs="Arial" w:eastAsia="Arial" w:hAnsi="Arial"/>
                <w:sz w:val="18"/>
                <w:szCs w:val="18"/>
                <w:color w:val="auto"/>
              </w:rPr>
              <w:t>24,976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24,575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900" w:type="dxa"/>
            <w:vAlign w:val="bottom"/>
          </w:tcPr>
          <w:p>
            <w:pPr>
              <w:jc w:val="right"/>
              <w:spacing w:after="0"/>
              <w:rPr>
                <w:sz w:val="20"/>
                <w:szCs w:val="20"/>
                <w:color w:val="auto"/>
              </w:rPr>
            </w:pPr>
            <w:r>
              <w:rPr>
                <w:rFonts w:ascii="Arial" w:cs="Arial" w:eastAsia="Arial" w:hAnsi="Arial"/>
                <w:sz w:val="18"/>
                <w:szCs w:val="18"/>
                <w:color w:val="auto"/>
              </w:rPr>
              <w:t>133,211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131,108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900" w:type="dxa"/>
            <w:vAlign w:val="bottom"/>
          </w:tcPr>
          <w:p>
            <w:pPr>
              <w:jc w:val="right"/>
              <w:spacing w:after="0"/>
              <w:rPr>
                <w:sz w:val="20"/>
                <w:szCs w:val="20"/>
                <w:color w:val="auto"/>
              </w:rPr>
            </w:pPr>
            <w:r>
              <w:rPr>
                <w:rFonts w:ascii="Arial" w:cs="Arial" w:eastAsia="Arial" w:hAnsi="Arial"/>
                <w:sz w:val="18"/>
                <w:szCs w:val="18"/>
                <w:color w:val="auto"/>
              </w:rPr>
              <w:t>48,547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8.56</w:t>
            </w:r>
          </w:p>
        </w:tc>
        <w:tc>
          <w:tcPr>
            <w:tcW w:w="6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14.43</w:t>
            </w:r>
          </w:p>
        </w:tc>
        <w:tc>
          <w:tcPr>
            <w:tcW w:w="1100" w:type="dxa"/>
            <w:vAlign w:val="bottom"/>
            <w:gridSpan w:val="2"/>
          </w:tcPr>
          <w:p>
            <w:pPr>
              <w:spacing w:after="0"/>
              <w:rPr>
                <w:sz w:val="2"/>
                <w:szCs w:val="2"/>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3"/>
              </w:rPr>
              <w:t>10.37</w:t>
            </w: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1,870,707</w:t>
            </w:r>
          </w:p>
        </w:tc>
        <w:tc>
          <w:tcPr>
            <w:tcW w:w="9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215,765</w:t>
            </w:r>
          </w:p>
        </w:tc>
        <w:tc>
          <w:tcPr>
            <w:tcW w:w="74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Committee at the time of grant. Each RSU and restricted stock grant is subject to service-based vesting, where a specific period of continued employment must pass before an award vests. Tree.com recognizes expense for all RSUs and restricted stock grants for which vesting is considered probable. For RSU and restricted stock grants the accounting charge is measured at the grant date as the fair value of Tree.com common stock and expensed ratably as non-cash compensation over the vesting term.</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3—SFAS 123R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December 31, 2008 and changes during the year ended December 31, 2008 were as follows:</w:t>
      </w:r>
    </w:p>
    <w:p>
      <w:pPr>
        <w:spacing w:after="0" w:line="29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Restricted Stock</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 of</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Date Fair</w:t>
            </w:r>
          </w:p>
        </w:tc>
        <w:tc>
          <w:tcPr>
            <w:tcW w:w="22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w w:val="96"/>
              </w:rPr>
              <w:t>Converted from IAC awards to Tree.com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463,968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(97,292)</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(32,728)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vMerge w:val="restart"/>
          </w:tcPr>
          <w:p>
            <w:pPr>
              <w:spacing w:after="0"/>
              <w:rPr>
                <w:sz w:val="20"/>
                <w:szCs w:val="20"/>
                <w:color w:val="auto"/>
              </w:rPr>
            </w:pPr>
            <w:r>
              <w:rPr>
                <w:rFonts w:ascii="Arial" w:cs="Arial" w:eastAsia="Arial" w:hAnsi="Arial"/>
                <w:sz w:val="18"/>
                <w:szCs w:val="18"/>
                <w:color w:val="auto"/>
              </w:rPr>
              <w:t>Nonvested at December 31, 2008</w:t>
            </w: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380,205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11.39</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117,970</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total intrinsic value of RSUs that vested during the year ended December 31, 2008 was $-0-. The total fair value of RSUs that vested during the year ended December 31, 2008 was $1.2 million.</w:t>
      </w:r>
    </w:p>
    <w:p>
      <w:pPr>
        <w:spacing w:after="0" w:line="186"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In connection with the spin-off, the Chairman and CEO was granted 117,970 shares of restricted stock, which were equal to 1% of the fully diluted equity of the Company at the spin-off date. These shares of restricted stock vest one year from the spin-off date, and their weighted average grant date fair value was $7.46.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spin-off, the Chairman and CEO was granted 5,000 shares of preferred stock in LendingTree Holdings Corp., a subsidiary of Tree.com. The shares earn dividends at 12%, vest over 3 years, and have a total fair value of $5.0 million. During the year ended December 31, 2008, $0.6 million was recognized as cash compensation expense related to the preferred stock. The related liability is required to be settled in cash in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addition to the annual impairment assessment as of October 1, 2008, Tree.com performed an interim impairment test in the second quarter of 2008 in light of continued adverse developments in the mortgage and real estate markets. In the second quarter of 2008, Tree.com recorded impairment charges of</w:t>
      </w:r>
    </w:p>
    <w:p>
      <w:pPr>
        <w:spacing w:after="0"/>
        <w:rPr>
          <w:sz w:val="20"/>
          <w:szCs w:val="20"/>
          <w:color w:val="auto"/>
        </w:rPr>
      </w:pPr>
      <w:r>
        <w:rPr>
          <w:rFonts w:ascii="Arial" w:cs="Arial" w:eastAsia="Arial" w:hAnsi="Arial"/>
          <w:sz w:val="16"/>
          <w:szCs w:val="16"/>
          <w:color w:val="auto"/>
        </w:rPr>
        <w:t>$131.0 million and $33.4 million related to goodwill and an indefinite- lived intangible asset, respectively. The charges associated with Lending were</w:t>
      </w:r>
    </w:p>
    <w:p>
      <w:pPr>
        <w:spacing w:after="0" w:line="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$70.2 million related to goodwill and $33.4 million related to an indefinite-lived intangible asset. The charge related to Real Estate was a goodwill impairment charge of $60.8 million. No further impairment was indicated in the test as of October 1, 2008.</w:t>
      </w:r>
    </w:p>
    <w:p>
      <w:pPr>
        <w:spacing w:after="0" w:line="19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connection with its annual impairment assessment in 2007, which was prepared in connection with the preparation of its annual financial statements, Tree.com identified and recorded impairment charges related to the goodwill and intangible assets of the Lending segment of $459.5 million and $16.2 million,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impairments at Tree.com resulted from the Company's reassessment of the likely future profitability of Lending and Real Estate in light of the adverse developments in the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and quantified these considerations in Tree.com's future forecasted results.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vMerge w:val="restart"/>
          </w:tcPr>
          <w:p>
            <w:pPr>
              <w:ind w:left="140"/>
              <w:spacing w:after="0"/>
              <w:rPr>
                <w:sz w:val="20"/>
                <w:szCs w:val="20"/>
                <w:color w:val="auto"/>
              </w:rPr>
            </w:pPr>
            <w:r>
              <w:rPr>
                <w:rFonts w:ascii="Arial" w:cs="Arial" w:eastAsia="Arial" w:hAnsi="Arial"/>
                <w:sz w:val="18"/>
                <w:szCs w:val="18"/>
                <w:color w:val="auto"/>
                <w:w w:val="93"/>
              </w:rPr>
              <w:t>Total goodwill and intangible assets, net</w:t>
            </w: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73,948</w:t>
            </w:r>
          </w:p>
        </w:tc>
        <w:tc>
          <w:tcPr>
            <w:tcW w:w="200" w:type="dxa"/>
            <w:vAlign w:val="bottom"/>
          </w:tcPr>
          <w:p>
            <w:pPr>
              <w:spacing w:after="0"/>
              <w:rPr>
                <w:sz w:val="18"/>
                <w:szCs w:val="18"/>
                <w:color w:val="auto"/>
              </w:rPr>
            </w:pP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 At December 31, 2008, intangible assets with definite lives relate to the following ($ in thousands):</w:t>
      </w:r>
    </w:p>
    <w:p>
      <w:pPr>
        <w:spacing w:after="0" w:line="16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Life</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8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$ 7,219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29,100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(29,100)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9,512</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(7,297)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2,215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121,336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(111,902)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$ 9,434</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2007,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020" w:type="dxa"/>
            <w:vAlign w:val="bottom"/>
          </w:tcPr>
          <w:p>
            <w:pPr>
              <w:spacing w:after="0"/>
              <w:rPr>
                <w:sz w:val="12"/>
                <w:szCs w:val="12"/>
                <w:color w:val="auto"/>
              </w:rPr>
            </w:pPr>
          </w:p>
        </w:tc>
      </w:tr>
      <w:tr>
        <w:trPr>
          <w:trHeight w:val="161"/>
        </w:trPr>
        <w:tc>
          <w:tcPr>
            <w:tcW w:w="1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10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(59,212)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(28,663)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0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(6,437)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
        </w:trPr>
        <w:tc>
          <w:tcPr>
            <w:tcW w:w="1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(100,919)</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7"/>
        </w:trPr>
        <w:tc>
          <w:tcPr>
            <w:tcW w:w="1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0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 (Continued)</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December 31, 2008 balances, such amortization for the next five years is estimated to be as follows (in thousands):</w:t>
      </w:r>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Year ending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-103505</wp:posOffset>
            </wp:positionV>
            <wp:extent cx="335343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30"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Year ending December 31, 2010</w:t>
      </w:r>
    </w:p>
    <w:p>
      <w:pPr>
        <w:spacing w:after="0" w:line="44"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Year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-107315</wp:posOffset>
            </wp:positionV>
            <wp:extent cx="335343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24"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54610</wp:posOffset>
            </wp:positionV>
            <wp:extent cx="335343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Amount</w:t>
      </w:r>
    </w:p>
    <w:p>
      <w:pPr>
        <w:spacing w:after="0" w:line="36" w:lineRule="exact"/>
        <w:rPr>
          <w:sz w:val="20"/>
          <w:szCs w:val="20"/>
          <w:color w:val="auto"/>
        </w:rPr>
      </w:pPr>
    </w:p>
    <w:p>
      <w:pPr>
        <w:jc w:val="right"/>
        <w:ind w:left="100" w:right="3060" w:hanging="98"/>
        <w:spacing w:after="0" w:line="312" w:lineRule="auto"/>
        <w:rPr>
          <w:sz w:val="20"/>
          <w:szCs w:val="20"/>
          <w:color w:val="auto"/>
        </w:rPr>
      </w:pPr>
      <w:r>
        <w:rPr>
          <w:rFonts w:ascii="Arial" w:cs="Arial" w:eastAsia="Arial" w:hAnsi="Arial"/>
          <w:sz w:val="15"/>
          <w:szCs w:val="15"/>
          <w:color w:val="auto"/>
        </w:rPr>
        <w:t>$4,559 2,818 1,231 826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317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$9,434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317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59690</wp:posOffset>
            </wp:positionV>
            <wp:extent cx="317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560"/>
          </w:cols>
          <w:pgMar w:left="240" w:top="131" w:right="299" w:bottom="1440" w:gutter="0" w:footer="0" w:header="0"/>
          <w:type w:val="continuous"/>
        </w:sectPr>
      </w:pPr>
    </w:p>
    <w:p>
      <w:pPr>
        <w:spacing w:after="0" w:line="11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presents the balance of goodwill by segment, including changes in the carrying amount of goodwill, for the year ended December 31, 2008 (in thousands):</w:t>
      </w:r>
    </w:p>
    <w:p>
      <w:pPr>
        <w:spacing w:after="0" w:line="169"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Balance as of</w:t>
            </w:r>
          </w:p>
        </w:tc>
      </w:tr>
      <w:tr>
        <w:trPr>
          <w:trHeight w:val="149"/>
        </w:trPr>
        <w:tc>
          <w:tcPr>
            <w:tcW w:w="2540" w:type="dxa"/>
            <w:vAlign w:val="bottom"/>
          </w:tcPr>
          <w:p>
            <w:pPr>
              <w:spacing w:after="0"/>
              <w:rPr>
                <w:sz w:val="12"/>
                <w:szCs w:val="12"/>
                <w:color w:val="auto"/>
              </w:rPr>
            </w:pP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Additions</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Deductions</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Impairments</w:t>
            </w:r>
          </w:p>
        </w:tc>
        <w:tc>
          <w:tcPr>
            <w:tcW w:w="240" w:type="dxa"/>
            <w:vAlign w:val="bottom"/>
          </w:tcPr>
          <w:p>
            <w:pPr>
              <w:spacing w:after="0"/>
              <w:rPr>
                <w:sz w:val="14"/>
                <w:szCs w:val="14"/>
                <w:color w:val="auto"/>
              </w:rPr>
            </w:pPr>
          </w:p>
        </w:tc>
        <w:tc>
          <w:tcPr>
            <w:tcW w:w="5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70,126</w:t>
            </w:r>
          </w:p>
        </w:tc>
        <w:tc>
          <w:tcPr>
            <w:tcW w:w="28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(60,806)</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9,285</w:t>
            </w:r>
          </w:p>
        </w:tc>
        <w:tc>
          <w:tcPr>
            <w:tcW w:w="60" w:type="dxa"/>
            <w:vAlign w:val="bottom"/>
          </w:tcPr>
          <w:p>
            <w:pPr>
              <w:spacing w:after="0"/>
              <w:rPr>
                <w:sz w:val="19"/>
                <w:szCs w:val="19"/>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140,892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(130,957)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60" w:type="dxa"/>
            <w:vAlign w:val="bottom"/>
            <w:shd w:val="clear" w:color="auto" w:fill="CCEEFF"/>
          </w:tcPr>
          <w:p>
            <w:pPr>
              <w:spacing w:after="0"/>
              <w:rPr>
                <w:sz w:val="18"/>
                <w:szCs w:val="18"/>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Deductions principally relate to the establishment of deferred tax assets related to acquired tax attributes and the income tax benefit realized pursuant to the exercise of stock options assumed in a business acquisition that were vested at the transaction date and are treated as a reduction in goodwill when the income tax deductions are realized. The impairments are described above.</w:t>
      </w:r>
    </w:p>
    <w:p>
      <w:pPr>
        <w:spacing w:after="0" w:line="177"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Balance as of</w:t>
            </w:r>
          </w:p>
        </w:tc>
      </w:tr>
      <w:tr>
        <w:trPr>
          <w:trHeight w:val="149"/>
        </w:trPr>
        <w:tc>
          <w:tcPr>
            <w:tcW w:w="2300" w:type="dxa"/>
            <w:vAlign w:val="bottom"/>
          </w:tcPr>
          <w:p>
            <w:pPr>
              <w:spacing w:after="0"/>
              <w:rPr>
                <w:sz w:val="12"/>
                <w:szCs w:val="12"/>
                <w:color w:val="auto"/>
              </w:rPr>
            </w:pP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January 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Additions</w:t>
            </w:r>
          </w:p>
        </w:tc>
        <w:tc>
          <w:tcPr>
            <w:tcW w:w="2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Deductions</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Impairments</w:t>
            </w:r>
          </w:p>
        </w:tc>
        <w:tc>
          <w:tcPr>
            <w:tcW w:w="220" w:type="dxa"/>
            <w:vAlign w:val="bottom"/>
          </w:tcPr>
          <w:p>
            <w:pPr>
              <w:spacing w:after="0"/>
              <w:rPr>
                <w:sz w:val="14"/>
                <w:szCs w:val="14"/>
                <w:color w:val="auto"/>
              </w:rPr>
            </w:pPr>
          </w:p>
        </w:tc>
        <w:tc>
          <w:tcPr>
            <w:tcW w:w="720" w:type="dxa"/>
            <w:vAlign w:val="bottom"/>
          </w:tcPr>
          <w:p>
            <w:pPr>
              <w:jc w:val="center"/>
              <w:ind w:right="137"/>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513,405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$ 18,914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(2,090)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(459,463)</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60" w:type="dxa"/>
            <w:vAlign w:val="bottom"/>
            <w:shd w:val="clear" w:color="auto" w:fill="CCEEFF"/>
          </w:tcPr>
          <w:p>
            <w:pPr>
              <w:spacing w:after="0"/>
              <w:rPr>
                <w:sz w:val="18"/>
                <w:szCs w:val="18"/>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68,890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1,367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70,126</w:t>
            </w:r>
          </w:p>
        </w:tc>
        <w:tc>
          <w:tcPr>
            <w:tcW w:w="6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582,295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$ 20,281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(2,221)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(459,463)</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140,892</w:t>
            </w:r>
          </w:p>
        </w:tc>
        <w:tc>
          <w:tcPr>
            <w:tcW w:w="60" w:type="dxa"/>
            <w:vAlign w:val="bottom"/>
            <w:shd w:val="clear" w:color="auto" w:fill="CCEEFF"/>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Additions principally relate to estimated contingent consideration payable to former shareholders of HLC under the terms of the purchase agreement. Deductions principally relate to the income tax benefit realized pursuant to the exercise of stock options assumed in business acquisitions that were vested at the transaction date and are treated as a reduction in goodwill when the income tax deductions are realized, and adjustments to the carrying value of goodwill based upon the finalization of the valuation of goodwill and intangible assets and their related deferred tax impacts. The impairments are described above.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2008</w:t>
            </w:r>
          </w:p>
        </w:tc>
        <w:tc>
          <w:tcPr>
            <w:tcW w:w="200" w:type="dxa"/>
            <w:vAlign w:val="bottom"/>
          </w:tcPr>
          <w:p>
            <w:pPr>
              <w:spacing w:after="0"/>
              <w:rPr>
                <w:sz w:val="14"/>
                <w:szCs w:val="14"/>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8"/>
              </w:rPr>
              <w:t>December 31, 2007</w:t>
            </w:r>
          </w:p>
        </w:tc>
        <w:tc>
          <w:tcPr>
            <w:tcW w:w="260" w:type="dxa"/>
            <w:vAlign w:val="bottom"/>
          </w:tcPr>
          <w:p>
            <w:pPr>
              <w:spacing w:after="0"/>
              <w:rPr>
                <w:sz w:val="14"/>
                <w:szCs w:val="14"/>
                <w:color w:val="auto"/>
              </w:rPr>
            </w:pPr>
          </w:p>
        </w:tc>
      </w:tr>
      <w:tr>
        <w:trPr>
          <w:trHeight w:val="201"/>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Computer equipment and capitalized</w:t>
            </w:r>
          </w:p>
        </w:tc>
        <w:tc>
          <w:tcPr>
            <w:tcW w:w="540" w:type="dxa"/>
            <w:vAlign w:val="bottom"/>
            <w:shd w:val="clear" w:color="auto" w:fill="CCEEFF"/>
          </w:tcPr>
          <w:p>
            <w:pPr>
              <w:jc w:val="right"/>
              <w:ind w:right="59"/>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34,416</w:t>
            </w:r>
          </w:p>
        </w:tc>
        <w:tc>
          <w:tcPr>
            <w:tcW w:w="540" w:type="dxa"/>
            <w:vAlign w:val="bottom"/>
            <w:shd w:val="clear" w:color="auto" w:fill="CCEEFF"/>
          </w:tcPr>
          <w:p>
            <w:pPr>
              <w:jc w:val="right"/>
              <w:ind w:right="59"/>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35,183</w:t>
            </w:r>
          </w:p>
        </w:tc>
      </w:tr>
      <w:tr>
        <w:trPr>
          <w:trHeight w:val="224"/>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3,184</w:t>
            </w:r>
          </w:p>
        </w:tc>
        <w:tc>
          <w:tcPr>
            <w:tcW w:w="5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3,076</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5,088</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3,737</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Projects in progress</w:t>
            </w:r>
          </w:p>
        </w:tc>
        <w:tc>
          <w:tcPr>
            <w:tcW w:w="5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3,169</w:t>
            </w:r>
          </w:p>
        </w:tc>
        <w:tc>
          <w:tcPr>
            <w:tcW w:w="5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5,002</w:t>
            </w:r>
          </w:p>
        </w:tc>
      </w:tr>
      <w:tr>
        <w:trPr>
          <w:trHeight w:val="21"/>
        </w:trPr>
        <w:tc>
          <w:tcPr>
            <w:tcW w:w="3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45,857</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46,998</w:t>
            </w:r>
          </w:p>
        </w:tc>
      </w:tr>
      <w:tr>
        <w:trPr>
          <w:trHeight w:val="208"/>
        </w:trPr>
        <w:tc>
          <w:tcPr>
            <w:tcW w:w="3140" w:type="dxa"/>
            <w:vAlign w:val="bottom"/>
          </w:tcPr>
          <w:p>
            <w:pPr>
              <w:spacing w:after="0"/>
              <w:rPr>
                <w:sz w:val="20"/>
                <w:szCs w:val="20"/>
                <w:color w:val="auto"/>
              </w:rPr>
            </w:pPr>
            <w:r>
              <w:rPr>
                <w:rFonts w:ascii="Arial" w:cs="Arial" w:eastAsia="Arial" w:hAnsi="Arial"/>
                <w:sz w:val="18"/>
                <w:szCs w:val="18"/>
                <w:color w:val="auto"/>
              </w:rPr>
              <w:t>Less: accumulated depreciation and</w:t>
            </w:r>
          </w:p>
        </w:tc>
        <w:tc>
          <w:tcPr>
            <w:tcW w:w="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(28,800)</w:t>
            </w:r>
          </w:p>
        </w:tc>
        <w:tc>
          <w:tcPr>
            <w:tcW w:w="5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(25,532)</w:t>
            </w:r>
          </w:p>
        </w:tc>
      </w:tr>
      <w:tr>
        <w:trPr>
          <w:trHeight w:val="222"/>
        </w:trPr>
        <w:tc>
          <w:tcPr>
            <w:tcW w:w="31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9"/>
        </w:trPr>
        <w:tc>
          <w:tcPr>
            <w:tcW w:w="3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and equipment, net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17,057</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21,466</w:t>
            </w:r>
          </w:p>
        </w:tc>
      </w:tr>
      <w:tr>
        <w:trPr>
          <w:trHeight w:val="27"/>
        </w:trPr>
        <w:tc>
          <w:tcPr>
            <w:tcW w:w="3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Company capitalized $2.1 million, $4.4 million and $2.7 million of internal software development costs during the years ended December 31, 2008, 2007 and 2006, respectively. Unamortized capitalized software development costs were $5.0 million and $5.1 million at December 31, 2008 and 2007, respectively. Capitalized software development amortization expense was $1.7 million, $1.4 million, and $1.9 million for the years ended December 31, 2008, 2007 and 2006, respectively.</w:t>
      </w:r>
    </w:p>
    <w:p>
      <w:pPr>
        <w:spacing w:after="0" w:line="197"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Total assets under capital leases are $-0- and $4.5 million at December 31, 2008 and 2007, respectively, and are included in computer equipment and capitalized software. Accumulated amortization is $-0- and $2.7 million at December 31, 2008 and 2007,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loan loss liability related to loans previously sold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Litigation accruals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vMerge w:val="restart"/>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37,146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the HLC acquisition, deferred rent liabilities, customer security deposits, accrued professional fees and other miscellaneous accrued expenses.</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In 2008, Tree.com settled a litigation matter and paid $11.75 million, which was included in the December 31, 2007 accrual balance noted above.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 (Continued)</w:t>
      </w:r>
    </w:p>
    <w:p>
      <w:pPr>
        <w:spacing w:after="0" w:line="231"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An additional $6.5 million and $9.1 million of accrued loan loss liability related to loans previously sold is classified in other long term liabilities at December 31,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7—WAREHOUSE LINES OF CREDIT AND NOTES PAYABLE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Borrowings on warehouse lines of credit were $76.2 million and $79.4 million at December 31, 2008 and December 31, 2007, respectively. Borrowings under these lines of credit are used to fund, and are secured by, consumer residential loans that are held for sale. Loans under these lines of credit are repaid from proceeds from the sales of loans held for sale by LendingTree Loans. The interest rate under these lines of credit is 30-day LIBOR plus 125 to 225 basis points, but may vary under certain circumstances. The weighted average interest rate on outstanding borrowings under the warehouse lines of credit at December 31, 2008 and 2007 was 2.1% and 5.5%, respectively. The Company pays a facility fee of up to 25 basis points annually based on the size of the committed lines. Borrowings under all of LendingTree Loans' lines of credit are non-recourse to Tree.com.</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LendingTree Loans had committed lines of credit totaling $100 million, of which $50 million is scheduled to expire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29, 2009, and another $50 million was scheduled to expire on January 24, 2009, and an uncommitted line of credit of $150 million. The $50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line of credit that was scheduled to expire on January 24, 2009 and the $150 million uncommitted line were provided by the same lender.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committed line of credit that was scheduled to expire on January 24, 2009 has been extended to April 30, 2009 while both parties work to finalize</w:t>
      </w:r>
    </w:p>
    <w:p>
      <w:pPr>
        <w:spacing w:after="0" w:line="32"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terms of an annual renewal, and, at the time of extension, the size of the $150 million uncommitted line was reduced to $50 million. The interest rate under the $50 million committed line that expires on December 29, 2009 is 30-day LIBOR plus 125 basis points. The interest rate under the $50 million committed line of credit that was extended to April 30, 2009 is 30-day LIBOR plus 225 basis points. The interest rate under the $50 million uncommitted line of credit is 30-day LIBOR plus 150 basis points. The $50 million committed line of credit expiring on April 30, 2009 can be cancelled at the option of the lender without default upon sixty days notice. Under the terms of the committed lines of credit, LendingTree Loans is required to maintain various financial and other covenants. These financial covenants include, but are not limited to, maintaining (i) minimum levels of tangible net worth, cash on hand with a certain lender and liquid assets,</w:t>
      </w:r>
    </w:p>
    <w:p>
      <w:pPr>
        <w:spacing w:after="0" w:line="3" w:lineRule="exact"/>
        <w:rPr>
          <w:sz w:val="20"/>
          <w:szCs w:val="20"/>
          <w:color w:val="auto"/>
        </w:rPr>
      </w:pPr>
    </w:p>
    <w:p>
      <w:pPr>
        <w:ind w:right="80" w:firstLine="8"/>
        <w:spacing w:after="0" w:line="255"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maximum ratio of total liabilities to net worth and (iii) pre-tax net income requirements on a quarterly basis. During the year ended December 31, 2008, LendingTree Loans was not in compliance with the quarterly pre-tax net income covenant for the third quarter of 2008. LendingTree Loans received a waiver of this covenant breach on October 28, 2008.</w:t>
      </w:r>
    </w:p>
    <w:p>
      <w:pPr>
        <w:spacing w:after="0" w:line="19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connection with the acquisition of LendingTree Loans, Tree.com committed to pay a portion of the purchase price payments to former stockholders under an installment note payable in three installments. The liability for the final payment of $20.0 million, due January 31, 2008, is recorded net of imputed interest of $0.1 million in the December 31, 2007 balance sheet as a note payable. Payment was made in January 2008. Included in notes payable, capital leases are $-0- and $0.3 million at December 31, 2008 and 2007, respectively. The capital lease obligation matured in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overall concept that Tree.com employs in determining its operating segments and related financial information is to present them in a manner consistent with how the chief operating decision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maker and executive management view the businesses, how the businesses are organized as to segment management, and the focus of the businesses with regards to the types of products or services offered or the target market.</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Tree.com's primary metric is Earnings Before Interest, Taxes, Depreciation and Amortization ("EBITDA"), which is defined as operating income excluding, if applicable: (1) depreciation expense, (2) non-cash compensation expense, (3) amortization and impairment of intangibles, (4) goodwill impairment, (5) pro forma adjustments for significant acquisitions, and (6) one-time items. Tree.com believes this measure is useful to investors because it represents the operating results from Tree.com's segments, but excluding the effects of any other non-cash expenses. EBITDA has certain limitations in that it does not take into account the impact to Tree.com's statement of operations of certain expenses, including depreciation, non-cash compensation and acquisition related accounting.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reconcile EBITDA to operating (loss) income for Tree.com's operating segments and to net (loss) income in total (in thousands):</w:t>
      </w:r>
    </w:p>
    <w:p>
      <w:pPr>
        <w:spacing w:after="0" w:line="298"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8"/>
              </w:rPr>
              <w:t>For the Year Ended December 31, 2008:</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Non-Cash</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Impairment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Goodwill</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EBITDA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2"/>
              </w:rPr>
              <w:t>Impairment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Intangibles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 (10,550)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(70,151)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(40,014)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(5,258)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$(133,340)</w:t>
            </w: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Real Estate</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(10,883)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(60,806)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(4,347)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(1,784)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(81,690)</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 (21,433)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(130,957)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(44,361)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(7,042)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(215,030)</w:t>
            </w:r>
          </w:p>
        </w:tc>
        <w:tc>
          <w:tcPr>
            <w:tcW w:w="0" w:type="dxa"/>
            <w:vAlign w:val="bottom"/>
          </w:tcPr>
          <w:p>
            <w:pPr>
              <w:spacing w:after="0"/>
              <w:rPr>
                <w:sz w:val="1"/>
                <w:szCs w:val="1"/>
                <w:color w:val="auto"/>
              </w:rPr>
            </w:pPr>
          </w:p>
        </w:tc>
      </w:tr>
      <w:tr>
        <w:trPr>
          <w:trHeight w:val="27"/>
        </w:trPr>
        <w:tc>
          <w:tcPr>
            <w:tcW w:w="182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18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87"/>
              </w:rPr>
              <w:t>Loss before income taxes</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(215,550)</w:t>
            </w: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$(202,276)</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52"/>
              <w:spacing w:after="0"/>
              <w:rPr>
                <w:sz w:val="20"/>
                <w:szCs w:val="20"/>
                <w:color w:val="auto"/>
              </w:rPr>
            </w:pPr>
            <w:r>
              <w:rPr>
                <w:rFonts w:ascii="Arial" w:cs="Arial" w:eastAsia="Arial" w:hAnsi="Arial"/>
                <w:sz w:val="14"/>
                <w:szCs w:val="14"/>
                <w:b w:val="1"/>
                <w:bCs w:val="1"/>
                <w:color w:val="auto"/>
              </w:rPr>
              <w:t>For the Year Ended December 31, 2007:</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Amortization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Impairment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EBITDA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Impairment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Intangibles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$(14,618)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(459,463)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(27,683)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$(512,584)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Real Estate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(18,907)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(6,786)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(1,152)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(27,856)</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$(33,525)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(459,463)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(34,469)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(10,058)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(540,440)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80" w:type="dxa"/>
            <w:vAlign w:val="bottom"/>
            <w:gridSpan w:val="2"/>
            <w:vMerge w:val="restart"/>
          </w:tcPr>
          <w:p>
            <w:pPr>
              <w:ind w:left="2000"/>
              <w:spacing w:after="0"/>
              <w:rPr>
                <w:sz w:val="20"/>
                <w:szCs w:val="20"/>
                <w:color w:val="auto"/>
              </w:rPr>
            </w:pPr>
            <w:r>
              <w:rPr>
                <w:rFonts w:ascii="Arial" w:cs="Arial" w:eastAsia="Arial" w:hAnsi="Arial"/>
                <w:sz w:val="18"/>
                <w:szCs w:val="18"/>
                <w:color w:val="auto"/>
              </w:rPr>
              <w:t>Other income, net</w:t>
            </w: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0"/>
              </w:rPr>
              <w:t>Loss before income taxes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(540,241)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Income tax expense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(10,161)</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$(550,402)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restart"/>
          </w:tcPr>
          <w:p>
            <w:pPr>
              <w:jc w:val="right"/>
              <w:ind w:right="626"/>
              <w:spacing w:after="0"/>
              <w:rPr>
                <w:sz w:val="20"/>
                <w:szCs w:val="20"/>
                <w:color w:val="auto"/>
              </w:rPr>
            </w:pPr>
            <w:r>
              <w:rPr>
                <w:rFonts w:ascii="Arial" w:cs="Arial" w:eastAsia="Arial" w:hAnsi="Arial"/>
                <w:sz w:val="18"/>
                <w:szCs w:val="18"/>
                <w:color w:val="auto"/>
                <w:w w:val="79"/>
              </w:rPr>
              <w:t>69</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jc w:val="right"/>
              <w:ind w:right="72"/>
              <w:spacing w:after="0"/>
              <w:rPr>
                <w:sz w:val="20"/>
                <w:szCs w:val="20"/>
                <w:color w:val="auto"/>
              </w:rPr>
            </w:pPr>
            <w:r>
              <w:rPr>
                <w:rFonts w:ascii="Arial" w:cs="Arial" w:eastAsia="Arial" w:hAnsi="Arial"/>
                <w:sz w:val="14"/>
                <w:szCs w:val="14"/>
                <w:b w:val="1"/>
                <w:bCs w:val="1"/>
                <w:color w:val="auto"/>
              </w:rPr>
              <w:t>For the Year Ended December 31, 2006:</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Non-Cash</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60" w:type="dxa"/>
            <w:vAlign w:val="bottom"/>
          </w:tcPr>
          <w:p>
            <w:pPr>
              <w:spacing w:after="0"/>
              <w:rPr>
                <w:sz w:val="12"/>
                <w:szCs w:val="12"/>
                <w:color w:val="auto"/>
              </w:rPr>
            </w:pP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9"/>
              </w:rPr>
              <w:t>EBITDA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Impairment</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Intangibles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Income/(Loss)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(16,412)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(19,105)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(29,920)</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(2,177)</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(11,710)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4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16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years ended December 31, 2008, 2007 and 2006 are as follows (in thousands):</w:t>
      </w:r>
    </w:p>
    <w:p>
      <w:pPr>
        <w:spacing w:after="0" w:line="275"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8"/>
                <w:szCs w:val="18"/>
                <w:color w:val="auto"/>
              </w:rPr>
              <w:t>Origination and sale of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88,968</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$130,151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$221,400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Match fees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57,622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8"/>
                <w:szCs w:val="18"/>
                <w:color w:val="auto"/>
              </w:rPr>
              <w:t>Closed loan fees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35,570</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65,227</w:t>
            </w:r>
          </w:p>
        </w:tc>
        <w:tc>
          <w:tcPr>
            <w:tcW w:w="660" w:type="dxa"/>
            <w:vAlign w:val="bottom"/>
          </w:tcPr>
          <w:p>
            <w:pPr>
              <w:jc w:val="right"/>
              <w:spacing w:after="0"/>
              <w:rPr>
                <w:sz w:val="20"/>
                <w:szCs w:val="20"/>
                <w:color w:val="auto"/>
              </w:rPr>
            </w:pPr>
            <w:r>
              <w:rPr>
                <w:rFonts w:ascii="Arial" w:cs="Arial" w:eastAsia="Arial" w:hAnsi="Arial"/>
                <w:sz w:val="18"/>
                <w:szCs w:val="18"/>
                <w:color w:val="auto"/>
              </w:rPr>
              <w:t>85,022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60" w:type="dxa"/>
            <w:vAlign w:val="bottom"/>
            <w:vMerge w:val="restart"/>
          </w:tcPr>
          <w:p>
            <w:pPr>
              <w:ind w:left="280"/>
              <w:spacing w:after="0"/>
              <w:rPr>
                <w:sz w:val="20"/>
                <w:szCs w:val="20"/>
                <w:color w:val="auto"/>
              </w:rPr>
            </w:pPr>
            <w:r>
              <w:rPr>
                <w:rFonts w:ascii="Arial" w:cs="Arial" w:eastAsia="Arial" w:hAnsi="Arial"/>
                <w:sz w:val="18"/>
                <w:szCs w:val="18"/>
                <w:color w:val="auto"/>
              </w:rPr>
              <w:t>Total Lending revenue</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192,645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294,626</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419,657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 Estate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228,572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$346,378</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$476,478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December 31, 2008 and 2007 are as follows (in thousands):</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188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$245,998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$345,810</w:t>
            </w:r>
          </w:p>
        </w:tc>
      </w:tr>
      <w:tr>
        <w:trPr>
          <w:trHeight w:val="222"/>
        </w:trPr>
        <w:tc>
          <w:tcPr>
            <w:tcW w:w="18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Real Estate(a)</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38,085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97,777</w:t>
            </w:r>
          </w:p>
        </w:tc>
      </w:tr>
      <w:tr>
        <w:trPr>
          <w:trHeight w:val="21"/>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8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$284,083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$443,587</w:t>
            </w:r>
          </w:p>
        </w:tc>
      </w:tr>
      <w:tr>
        <w:trPr>
          <w:trHeight w:val="27"/>
        </w:trPr>
        <w:tc>
          <w:tcPr>
            <w:tcW w:w="1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hanging="532"/>
        <w:spacing w:after="0" w:line="256"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December 31, 2007, assets related to the Real Estate segment only include goodwill and intangible assets, net, as it was impracticable to allocate the remaining jointly used assets between the Lending and Real Estate segments. Accordingly, assets related to the Lending segment include goodwill and intangible assets, net, and the remaining jointly used assets comprising both the Lending and Real Estate segments.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INFORMATION (Continued)</w:t>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Capital expenditures by segment during the year ended December 31, 2008 are as follows (in thousands):</w:t>
      </w:r>
    </w:p>
    <w:p>
      <w:pPr>
        <w:spacing w:after="0" w:line="275"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Lending(b)</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Estate(b)</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20" w:right="160" w:hanging="532"/>
        <w:spacing w:after="0" w:line="370" w:lineRule="auto"/>
        <w:tabs>
          <w:tab w:leader="none" w:pos="1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capital expenditures for the Lending and Real Estate segments for the years ended December 31, 2007 and 2006 were $9.4 million and $13.3 million, respectively. It was impracticable to allocate capital expenditures between Lending and Real Estate for those years.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years ended December 31, 2008, 2007 and 2006: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Basic</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Diluted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Basic</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Diluted</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74"/>
              </w:rPr>
              <w:t>Basic</w:t>
            </w:r>
          </w:p>
        </w:tc>
        <w:tc>
          <w:tcPr>
            <w:tcW w:w="8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9"/>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6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8"/>
              </w:rPr>
              <w:t>Net (loss) income available to common shareholders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(202,276)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(202,276)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(540,402)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(540,402)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8,693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8,693</w:t>
            </w:r>
          </w:p>
        </w:tc>
        <w:tc>
          <w:tcPr>
            <w:tcW w:w="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16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9,328</w:t>
            </w:r>
          </w:p>
        </w:tc>
        <w:tc>
          <w:tcPr>
            <w:tcW w:w="60" w:type="dxa"/>
            <w:vAlign w:val="bottom"/>
          </w:tcPr>
          <w:p>
            <w:pPr>
              <w:spacing w:after="0"/>
              <w:rPr>
                <w:sz w:val="19"/>
                <w:szCs w:val="19"/>
                <w:color w:val="auto"/>
              </w:rPr>
            </w:pPr>
          </w:p>
        </w:tc>
      </w:tr>
      <w:tr>
        <w:trPr>
          <w:trHeight w:val="21"/>
        </w:trPr>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6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common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0" w:type="dxa"/>
            <w:vAlign w:val="bottom"/>
            <w:shd w:val="clear" w:color="auto" w:fill="CCEEFF"/>
          </w:tcPr>
          <w:p>
            <w:pPr>
              <w:spacing w:after="0"/>
              <w:rPr>
                <w:sz w:val="18"/>
                <w:szCs w:val="18"/>
                <w:color w:val="auto"/>
              </w:rPr>
            </w:pPr>
          </w:p>
        </w:tc>
      </w:tr>
      <w:tr>
        <w:trPr>
          <w:trHeight w:val="27"/>
        </w:trPr>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6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35" w:lineRule="exact"/>
        <w:rPr>
          <w:sz w:val="20"/>
          <w:szCs w:val="20"/>
          <w:color w:val="auto"/>
        </w:rPr>
      </w:pPr>
    </w:p>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common shares for the year ended December 31, 2007 and for the period from January 1, 2008 until the spin-off from IAC is equal to the number of shares outstanding immediately following the spin-off from IAC.</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Equity awards that could potentially dilute basic earnings per share in the future were not included in the computation of diluted earnings per share because to do so would have been antidilutive for the periods presented. See Footnote 3 for a full description of outstanding equity awards.</w:t>
      </w:r>
    </w:p>
    <w:p>
      <w:pPr>
        <w:spacing w:after="0" w:line="13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February 9, 2009, the Chairman and CEO of agreed to purchase 935,000 newly issued shares of unregistered restricted common stock from the company at $3.91 per share, based on the Friday, February 6, 2009 closing share price. The shares of common stock have not been registered under the Securities Act of 1933 and may not be offered or sold in the United States absent registration or an applicable exemption from registration requirements.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Tree.com adopted SFAS No. 157 effective January 1, 2008. In accordance with SFAS No. 157, Tree.com categorizes its assets and liabilities measured at fair value into a fair value hierarchy that prioritizes the assumptions used in pricing the asset or liability into the following three levels:</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Tree.com's assets and liabilities that are measured at fair value on a recurring basis at December 31, 2008 (in thousands):</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w w:val="88"/>
              </w:rPr>
              <w:t>Recurring Fair Value Measurements Using</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Quoted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Prices in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Active</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Identical</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Fair</w:t>
            </w: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Assets</w:t>
            </w: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60" w:type="dxa"/>
            <w:vAlign w:val="bottom"/>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60" w:type="dxa"/>
            <w:vAlign w:val="bottom"/>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w w:val="95"/>
              </w:rPr>
              <w:t>Interest rate lock commitments ("IRLCs") and forward delivery contracts</w:t>
            </w:r>
          </w:p>
        </w:tc>
        <w:tc>
          <w:tcPr>
            <w:tcW w:w="14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9"/>
                <w:szCs w:val="19"/>
                <w:color w:val="auto"/>
              </w:rPr>
            </w:pPr>
          </w:p>
        </w:tc>
      </w:tr>
      <w:tr>
        <w:trPr>
          <w:trHeight w:val="21"/>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89,638</w:t>
            </w:r>
          </w:p>
        </w:tc>
        <w:tc>
          <w:tcPr>
            <w:tcW w:w="60" w:type="dxa"/>
            <w:vAlign w:val="bottom"/>
            <w:shd w:val="clear" w:color="auto" w:fill="CCEEFF"/>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The following table presents the changes in Tree.com's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Lock</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Forward</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Delivery</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Held</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w w:val="93"/>
              </w:rPr>
              <w:t>Total net gains (losses) (realized and unrealized) included in earnings</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62,705</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of IRLCs to closed loans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Purchase, sales, issuances and settlements, net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(24,023)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(1,399)</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in (out) of Level 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80" w:type="dxa"/>
            <w:vAlign w:val="bottom"/>
            <w:gridSpan w:val="2"/>
            <w:vMerge w:val="restart"/>
          </w:tcPr>
          <w:p>
            <w:pPr>
              <w:ind w:left="2120"/>
              <w:spacing w:after="0"/>
              <w:rPr>
                <w:sz w:val="20"/>
                <w:szCs w:val="20"/>
                <w:color w:val="auto"/>
              </w:rPr>
            </w:pPr>
            <w:r>
              <w:rPr>
                <w:rFonts w:ascii="Arial" w:cs="Arial" w:eastAsia="Arial" w:hAnsi="Arial"/>
                <w:sz w:val="18"/>
                <w:szCs w:val="18"/>
                <w:color w:val="auto"/>
              </w:rPr>
              <w:t>Balance at December 31, 2008</w:t>
            </w: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8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presents the gains included in earnings for the year ended December 31, 2008 relating to Tree.com's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Lock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Commitments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0"/>
              </w:rPr>
              <w:t>Forward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Delivery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9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 which are included in revenue from origination and sale of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9620" w:type="dxa"/>
            <w:vAlign w:val="bottom"/>
            <w:vMerge w:val="restart"/>
          </w:tcPr>
          <w:p>
            <w:pPr>
              <w:spacing w:after="0"/>
              <w:rPr>
                <w:sz w:val="20"/>
                <w:szCs w:val="20"/>
                <w:color w:val="auto"/>
              </w:rPr>
            </w:pPr>
            <w:r>
              <w:rPr>
                <w:rFonts w:ascii="Arial" w:cs="Arial" w:eastAsia="Arial" w:hAnsi="Arial"/>
                <w:sz w:val="18"/>
                <w:szCs w:val="18"/>
                <w:color w:val="auto"/>
                <w:w w:val="92"/>
              </w:rPr>
              <w:t>Change in unrealized gains (losses) relating to assets and liabilities still held at December 31, 2008, which are included in revenue</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620" w:type="dxa"/>
            <w:vAlign w:val="bottom"/>
          </w:tcPr>
          <w:p>
            <w:pPr>
              <w:ind w:left="180"/>
              <w:spacing w:after="0"/>
              <w:rPr>
                <w:sz w:val="20"/>
                <w:szCs w:val="20"/>
                <w:color w:val="auto"/>
              </w:rPr>
            </w:pPr>
            <w:r>
              <w:rPr>
                <w:rFonts w:ascii="Arial" w:cs="Arial" w:eastAsia="Arial" w:hAnsi="Arial"/>
                <w:sz w:val="18"/>
                <w:szCs w:val="18"/>
                <w:color w:val="auto"/>
              </w:rPr>
              <w:t>from origination and sale of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9"/>
        </w:trPr>
        <w:tc>
          <w:tcPr>
            <w:tcW w:w="9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LendingTree Loans hedges the changes in fair value of certain loans held for sale primarily by entering into mortgage forward delivery contracts. Although LendingTree Loans continued to enter into forward delivery contracts for risk management purposes, effective April 1, 2007 it no longer designated these derivatives as hedges for accounting purposes. When hedge accounting was discontinued, the affected loans held for sale were no longer adjusted for changes in fair value. However, the changes in fair value of the forward delivery contracts continued to be recognized in current earnings as a component of revenue. The fair value of the forward delivery contracts is recorded in "Prepaid and other current assets" and/or "Accrued expenses and other current liabilities" in the accompanying consolidated balance sheets. For the years ended December 31, 2008 and 2007, Tree.com recognized losses of $0.2 million and $1.1 million, respectively, related to the changes in fair value of forward delivery contracts hedging loans held for sale. For the year ended December 31, 2006, Tree.com recognized a loss of $0.3 million related to hedge ineffectiveness and a gain of $0.1 million related to changes in the fair value of derivative instruments when hedge accounting was discontinued.</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in accordance with SFAS No. 133. Accordingly, LendingTree Loans determines the fair value of IRLCs using current secondary market prices for underlying loans with similar coupons, maturity and credit quality, subject to the anticipated loan funding probability. The fair value of IRLCs is subject to change primarily due to changes in interest rates and the loan funding probability. Under LendingTree Loans' risk management policy, LendingTree Loans hedges the changes in fair value of IRLCs primarily by entering into mortgage forward delivery contracts which can reduce the volatility of economic outcomes. IRLCs and the related hedging instruments are recorded at fair value with changes in fair value being recorded in current earnings as a component of revenue from the origination and sale of loans in the consolidated statement of operations.</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Prior to the adoption of SFAS No.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Earnings" ("SAB 109"). Accordingly, with the adoption of SFAS No. 157 and SAB 109 on January 1, 2008, the day one gains and servicing value, adjusted by the loan funding probability, are included in the value of IRLCs.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net change in fair value of the IRLCs and related forward delivery contracts for the years ended December 31, 2008, 2007 and 2006 resulted in gains (losses) of $62.0 million, ($0.8) million and $0.2 million, respectively, which have been recognized as a component of revenue from the origination and sale of loans in the accompanying consolidated statements of operations. The significant change from 2007 to 2008 is due principally to the inclusion of day one gains and the value of servicing the loans in 2008 associated with the adoption of SFAS No. 157 and SAB 109. Prior to the adoption of SFAS No. 157 and SAB 109, the recognition of such day one gains and servicing value were prohibited and these gains were not recognized until realized through the sale of the related loans. This change in treatment, therefore, is only related to the timing of revenue recognition. The IRLCs are recorded in "Prepaid and other current assets" and/or "Accrued expenses and other current liabilities" in the accompanying consolidated balance sheets. At December 31, 2008 and 2007, there were $252.9 million and $157.8 million, respectively, of IRLCs notional value outstanding.</w:t>
      </w:r>
    </w:p>
    <w:p>
      <w:pPr>
        <w:spacing w:after="0" w:line="17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Tree.com adopted SFAS No. 159 effective January 1, 2008. SFAS No. 159 permits entities to choose to measure certain financial instruments at fair value with the objective of reducing both the complexity in the accounting for financial instruments and the volatility in earnings caused by measuring related assets and liabilities differently. Upon adoption, Tree.com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 under SFAS No. 133.</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December 31, 2008, 60 such loans, all of which were impaired, were included in loans held for sale and were carried at the lower of cost or market ("LOCOM") value assessed on an individual loan basis. The market value (or fair value) of these impaired loans at December 31, 2008, measured on a non-recurring basis using significant unobservable inputs (Level 3), was $2.2 million. This fair value measurement is management's best estimate of the market value of such loans and considers current bids in the secondary market for similar loans.</w:t>
      </w:r>
    </w:p>
    <w:p>
      <w:pPr>
        <w:spacing w:after="0" w:line="17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presents the difference between the aggregate principal balance of loans held for sale for which the fair value option has been elected and for loans measured at LOCOM as of December 31,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Loans Held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Sale—</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Total Loans</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—Measured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Measured</w:t>
            </w: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Held For</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at LOCOM</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Sale</w:t>
            </w: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89,043</w:t>
            </w:r>
          </w:p>
        </w:tc>
        <w:tc>
          <w:tcPr>
            <w:tcW w:w="8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87,835</w:t>
            </w:r>
          </w:p>
        </w:tc>
        <w:tc>
          <w:tcPr>
            <w:tcW w:w="8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gridSpan w:val="2"/>
            <w:vMerge w:val="restart"/>
          </w:tcPr>
          <w:p>
            <w:pPr>
              <w:jc w:val="right"/>
              <w:ind w:right="992"/>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During the year ended December 31, 2008, the change in fair value of loans held for sale for which the fair value option has been elected was a loss of $1.2 million and is included as a component of revenue in the accompanying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LendingTree Loans' revenues are primarily derived from the origination and sale of loans. Mortgage loans are funded through warehouse lines of credit and are recorded at fair value at the time of funding.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 on an ongoing basis. The recognition of the sale of loans is accounted for in accordance with SFAS No. 140.</w:t>
      </w:r>
    </w:p>
    <w:p>
      <w:pPr>
        <w:spacing w:after="0" w:line="170"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years ended December 31, 2008, 2007 and 2006 is presented below ($ amounts in millions):</w:t>
      </w:r>
    </w:p>
    <w:p>
      <w:pPr>
        <w:spacing w:after="0" w:line="23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86"/>
              </w:rPr>
              <w:t>Years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$4,210</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$3,773</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FHA and Alt-A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Home equity</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$6,073</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$7,871</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r>
      <w:tr>
        <w:trPr>
          <w:trHeight w:val="27"/>
        </w:trPr>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held for sale by type of loan as of December 31, 2008 and 2007 (amounts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2008</w:t>
            </w:r>
          </w:p>
        </w:tc>
        <w:tc>
          <w:tcPr>
            <w:tcW w:w="13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December 31, 2007</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$74,993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$74,701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FHA and Alt-A</w:t>
            </w:r>
          </w:p>
        </w:tc>
        <w:tc>
          <w:tcPr>
            <w:tcW w:w="2500" w:type="dxa"/>
            <w:vAlign w:val="bottom"/>
            <w:gridSpan w:val="3"/>
          </w:tcPr>
          <w:p>
            <w:pPr>
              <w:jc w:val="right"/>
              <w:ind w:right="220"/>
              <w:spacing w:after="0"/>
              <w:rPr>
                <w:sz w:val="20"/>
                <w:szCs w:val="20"/>
                <w:color w:val="auto"/>
              </w:rPr>
            </w:pPr>
            <w:r>
              <w:rPr>
                <w:rFonts w:ascii="Arial" w:cs="Arial" w:eastAsia="Arial" w:hAnsi="Arial"/>
                <w:sz w:val="18"/>
                <w:szCs w:val="18"/>
                <w:color w:val="auto"/>
              </w:rPr>
              <w:t>11,737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580" w:type="dxa"/>
            <w:vAlign w:val="bottom"/>
          </w:tcPr>
          <w:p>
            <w:pPr>
              <w:jc w:val="right"/>
              <w:spacing w:after="0"/>
              <w:rPr>
                <w:sz w:val="20"/>
                <w:szCs w:val="20"/>
                <w:color w:val="auto"/>
              </w:rPr>
            </w:pPr>
            <w:r>
              <w:rPr>
                <w:rFonts w:ascii="Arial" w:cs="Arial" w:eastAsia="Arial" w:hAnsi="Arial"/>
                <w:sz w:val="18"/>
                <w:szCs w:val="18"/>
                <w:color w:val="auto"/>
              </w:rPr>
              <w:t>9,167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Home equity</w:t>
            </w:r>
          </w:p>
        </w:tc>
        <w:tc>
          <w:tcPr>
            <w:tcW w:w="2500" w:type="dxa"/>
            <w:vAlign w:val="bottom"/>
            <w:gridSpan w:val="3"/>
          </w:tcPr>
          <w:p>
            <w:pPr>
              <w:jc w:val="right"/>
              <w:ind w:right="220"/>
              <w:spacing w:after="0"/>
              <w:rPr>
                <w:sz w:val="20"/>
                <w:szCs w:val="20"/>
                <w:color w:val="auto"/>
              </w:rPr>
            </w:pPr>
            <w:r>
              <w:rPr>
                <w:rFonts w:ascii="Arial" w:cs="Arial" w:eastAsia="Arial" w:hAnsi="Arial"/>
                <w:sz w:val="18"/>
                <w:szCs w:val="18"/>
                <w:color w:val="auto"/>
              </w:rPr>
              <w:t>227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$87,835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$86,754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00" w:type="dxa"/>
            <w:vAlign w:val="bottom"/>
            <w:vMerge w:val="restart"/>
          </w:tcPr>
          <w:p>
            <w:pPr>
              <w:jc w:val="right"/>
              <w:ind w:right="352"/>
              <w:spacing w:after="0"/>
              <w:rPr>
                <w:sz w:val="20"/>
                <w:szCs w:val="20"/>
                <w:color w:val="auto"/>
              </w:rPr>
            </w:pPr>
            <w:r>
              <w:rPr>
                <w:rFonts w:ascii="Arial" w:cs="Arial" w:eastAsia="Arial" w:hAnsi="Arial"/>
                <w:sz w:val="18"/>
                <w:szCs w:val="18"/>
                <w:color w:val="auto"/>
              </w:rPr>
              <w:t>75</w:t>
            </w: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unpaid principal amount of loans on nonaccrual status at December 31, 2008 and 2007 was $7.0 million and $7.2 million, respectively. Real estate properties acquired in satisfaction of loans totaled $0.9 million and $1.5 million at December 31, 2008 and 2007, respectively, and is included in prepaid and other current assets in the accompanying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Subsequently, the Company maintains the liability using the estimated obligation related to this exposure based, in part, on historical and projected loss frequency and loss severity using its claims history (adjusted for recent trends in claims experience as well as market pricing information on loans repurchased),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frequencies and loss severities by loan segment as well as analyses of loss claims in investor pipelines to estimate its exposure to losses on loans previously sold.</w:t>
      </w:r>
    </w:p>
    <w:p>
      <w:pPr>
        <w:spacing w:after="0" w:line="15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documentation, first lien position loans generally having the lowest loss ratios and limited documentation, second lien position loans generally having the highest loss ratios.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2008, LendingTree Loans sold approximately 11,000 loans with an original principal balance of $2.2 billion. Through December 31, 2008 there had been 4 loans from this group with an original balance of $680,000 which had experienced aggregate losses of $21,000.</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2007, LendingTree Loans sold approximately 36,300 loans with an original principal balance of $6.1 billion. Through December 31, 2008 there had been 87 loans from this group with an original balance of $10.9 million which had experienced aggregate losses of $2.5 million.</w:t>
      </w:r>
    </w:p>
    <w:p>
      <w:pPr>
        <w:spacing w:after="0" w:line="139"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2006, LendingTree Loans sold approximately 55,000 loans with an original principal balance of $7.9 billion. Through December 31, 2008 there had been 113 loans from this group with an original balance of $13.6 million which had experienced aggregate losses of $5.0 million.</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For 2005 and prior years, LendingTree Loans sold approximately 86,700 loans with an original principal balance of $13.0 billion. Through December 31, 2008 there had been 68 loans from this group with an original balance of $9.3 million which had experienced aggregate losses of $2.7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historical experience, it is anticipated that the Company will continue to experience losses on these vintage loans sold for years to come.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2008 and 2007, there were $3.6 million and $4.7 million of repurchased loans with a lower of cost or market valuation allowance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 million and $3.2 million included in loans held for sale. During the years ended December 31, 2008 and 2007, LendingTree Loans repurchased loans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 million and $7.6 million of unpaid principal balances, respectively.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years ended December 31, 2008, 2007 and 2006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gridSpan w:val="6"/>
          </w:tcPr>
          <w:p>
            <w:pPr>
              <w:jc w:val="right"/>
              <w:ind w:right="256"/>
              <w:spacing w:after="0"/>
              <w:rPr>
                <w:sz w:val="20"/>
                <w:szCs w:val="20"/>
                <w:color w:val="auto"/>
              </w:rPr>
            </w:pPr>
            <w:r>
              <w:rPr>
                <w:rFonts w:ascii="Arial" w:cs="Arial" w:eastAsia="Arial" w:hAnsi="Arial"/>
                <w:sz w:val="14"/>
                <w:szCs w:val="14"/>
                <w:b w:val="1"/>
                <w:bCs w:val="1"/>
                <w:color w:val="auto"/>
              </w:rPr>
              <w:t>Years Ended December 31,</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$ 3,064</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Provisions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15,539</w:t>
            </w:r>
          </w:p>
        </w:tc>
        <w:tc>
          <w:tcPr>
            <w:tcW w:w="620" w:type="dxa"/>
            <w:vAlign w:val="bottom"/>
          </w:tcPr>
          <w:p>
            <w:pPr>
              <w:jc w:val="right"/>
              <w:spacing w:after="0"/>
              <w:rPr>
                <w:sz w:val="20"/>
                <w:szCs w:val="20"/>
                <w:color w:val="auto"/>
              </w:rPr>
            </w:pPr>
            <w:r>
              <w:rPr>
                <w:rFonts w:ascii="Arial" w:cs="Arial" w:eastAsia="Arial" w:hAnsi="Arial"/>
                <w:sz w:val="18"/>
                <w:szCs w:val="18"/>
                <w:color w:val="auto"/>
              </w:rPr>
              <w:t>6,193</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Charge offs to reserves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(5,473)</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ind w:left="2880"/>
              <w:spacing w:after="0"/>
              <w:rPr>
                <w:sz w:val="20"/>
                <w:szCs w:val="20"/>
                <w:color w:val="auto"/>
              </w:rPr>
            </w:pPr>
            <w:r>
              <w:rPr>
                <w:rFonts w:ascii="Arial" w:cs="Arial" w:eastAsia="Arial" w:hAnsi="Arial"/>
                <w:sz w:val="18"/>
                <w:szCs w:val="18"/>
                <w:color w:val="auto"/>
              </w:rPr>
              <w:t>Balance, end of year</w:t>
            </w:r>
          </w:p>
        </w:tc>
        <w:tc>
          <w:tcPr>
            <w:tcW w:w="1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$10,451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13,886</w:t>
            </w:r>
          </w:p>
        </w:tc>
        <w:tc>
          <w:tcPr>
            <w:tcW w:w="2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$ 3,820</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vMerge w:val="restart"/>
          </w:tcPr>
          <w:p>
            <w:pPr>
              <w:jc w:val="right"/>
              <w:ind w:right="472"/>
              <w:spacing w:after="0"/>
              <w:rPr>
                <w:sz w:val="20"/>
                <w:szCs w:val="20"/>
                <w:color w:val="auto"/>
              </w:rPr>
            </w:pPr>
            <w:r>
              <w:rPr>
                <w:rFonts w:ascii="Arial" w:cs="Arial" w:eastAsia="Arial" w:hAnsi="Arial"/>
                <w:sz w:val="18"/>
                <w:szCs w:val="18"/>
                <w:color w:val="auto"/>
              </w:rPr>
              <w:t>77</w:t>
            </w: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an analysis of the Company's historical loan loss experience, it has been determined that a portion of the loss claims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December 31, 2008 and 2007 as follows (in thousands):</w:t>
      </w:r>
    </w:p>
    <w:p>
      <w:pPr>
        <w:spacing w:after="0" w:line="216"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Current portion, included in accrued expenses and other current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3,972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4,779</w:t>
            </w:r>
          </w:p>
        </w:tc>
        <w:tc>
          <w:tcPr>
            <w:tcW w:w="60" w:type="dxa"/>
            <w:vAlign w:val="bottom"/>
            <w:shd w:val="clear" w:color="auto" w:fill="CCEEFF"/>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Long term portion, included in other long-term 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9,107</w:t>
            </w:r>
          </w:p>
        </w:tc>
        <w:tc>
          <w:tcPr>
            <w:tcW w:w="60" w:type="dxa"/>
            <w:vAlign w:val="bottom"/>
          </w:tcPr>
          <w:p>
            <w:pPr>
              <w:spacing w:after="0"/>
              <w:rPr>
                <w:sz w:val="19"/>
                <w:szCs w:val="19"/>
                <w:color w:val="auto"/>
              </w:rPr>
            </w:pPr>
          </w:p>
        </w:tc>
      </w:tr>
      <w:tr>
        <w:trPr>
          <w:trHeight w:val="21"/>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13,886</w:t>
            </w:r>
          </w:p>
        </w:tc>
        <w:tc>
          <w:tcPr>
            <w:tcW w:w="60" w:type="dxa"/>
            <w:vAlign w:val="bottom"/>
            <w:shd w:val="clear" w:color="auto" w:fill="CCEEFF"/>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Prior to August 21, 2008, Tree.com filed as a member of IAC's consolidated federal and state tax returns. Effective August 21, 2008, Tree.com will file separate consolidated federal and state tax returns. In all periods presented, current and deferred tax expense has been computed for Tree.com on a separate return basis. Tree.com's payments to IAC for its share of IAC's consolidated federal and state tax return liabilities have been reflected within cash flows from operating activities in the accompanying consolidated statements of cash flows.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income tax provision (benefit) are as follows (in thousands):</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provision:</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Federal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5,533</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$ 2,113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Current income tax provision</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Deferred income tax provision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(11,266)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(3,563)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Deferred income tax provision (benefit)</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(13,274)</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(13,274)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10,161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Current income taxes payable has been reduced by $0.4 million, $1.7 million and $1.2 million for the years ended December 31, 2008, 2007 and 2006, respectively, for tax deductions attributable to stock-based compensation. The related income tax benefits of this stock-based compensation were recorded as amounts charged or credited to invested capital or a reduction in goodwill.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tax effects of cumulative temporary differences that give rise to significant portions of the deferred tax assets and deferred tax liabilities at December 31, 2008 and 2007 are presented below (in thousands). The valuation allowance is related to items for which it is more likely than not that the tax benefit will not be realized.</w:t>
      </w:r>
    </w:p>
    <w:p>
      <w:pPr>
        <w:spacing w:after="0" w:line="244"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9,174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$ 19,647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38,015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16,184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63,373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(62,062)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(68,830)</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(16,261)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(34,581)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(19,284)</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(17,973)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$(30,286)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 are presented in the accompanying consolidated balance sheets as follows (in thousands):</w:t>
      </w:r>
    </w:p>
    <w:p>
      <w:pPr>
        <w:spacing w:after="0" w:line="275"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8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(17,973)</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(36,706)</w:t>
            </w:r>
          </w:p>
        </w:tc>
      </w:tr>
      <w:tr>
        <w:trPr>
          <w:trHeight w:val="21"/>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(17,973)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(30,286)</w:t>
            </w:r>
          </w:p>
        </w:tc>
      </w:tr>
      <w:tr>
        <w:trPr>
          <w:trHeight w:val="27"/>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2008 and December 31, 2007, Tree.com had consolidated federal net operating losses ("NOLs") of approximately $75.4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$58.9 million, respectively. Of this amount, approximately $30 million is available toTree.com. NOL's generated before the spin-off have been fully utilized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IAC consolidated federal return filings and are not available to Tree.com. In addition, Tree.com had separate company state NOLs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$264.5 million that will expire at various times between 2009 and 2028.</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2008, Tree.com's valuation allowance decreased by approximately $6.7 million. This net decrease is related to the elimination of NOLs which had been fully utilized in prior IAC consolidated returns and an increase for the NOLs generated in 2008. At December 31, 2008, Tree.com had a valuation allowance of approximately $62.0 million related to the portion of tax operating loss carryforwards and other deferred tax assets for which it is more likely than not that the tax benefit will not be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reconciliation of total income tax provision to the amounts computed by applying the statutory federal income tax rate to earnings from continuing operations before income taxes and minority interest is shown as follows (in thousands):</w:t>
      </w:r>
    </w:p>
    <w:p>
      <w:pPr>
        <w:spacing w:after="0" w:line="236"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3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Income tax (benefit) provision at the federal statutory rate of 35%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shd w:val="clear" w:color="auto" w:fill="CCEEFF"/>
              </w:rPr>
              <w:t>$(75,443)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shd w:val="clear" w:color="auto" w:fill="CCEEFF"/>
              </w:rPr>
              <w:t>(189,084)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$4,800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50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effective tax rate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Non-deductible non-cash compensation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non-deductible goodwill and intangible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145,665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40" w:type="dxa"/>
            <w:vAlign w:val="bottom"/>
          </w:tcPr>
          <w:p>
            <w:pPr>
              <w:jc w:val="right"/>
              <w:spacing w:after="0"/>
              <w:rPr>
                <w:sz w:val="20"/>
                <w:szCs w:val="20"/>
                <w:color w:val="auto"/>
              </w:rPr>
            </w:pPr>
            <w:r>
              <w:rPr>
                <w:rFonts w:ascii="Arial" w:cs="Arial" w:eastAsia="Arial" w:hAnsi="Arial"/>
                <w:sz w:val="18"/>
                <w:szCs w:val="18"/>
                <w:color w:val="auto"/>
              </w:rPr>
              <w:t>31,922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54,960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$(13,274)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Tree.com adopted the provisions of FIN 48 effective January 1, 2007. FIN 48 clarifies the accounting for income taxes by prescribing the minimum recognition threshold a tax position is required to meet before being recognized in the financial statements. FIN 48 provides guidance on derecognition, classification, interest and penalties, accounting in interim periods, disclosure and transition. The adoption had no impact on Tree.com's accumulated deficit. A reconciliation of the beginning and ending amount of unrecognized tax benefits, excluding interest, is as follows (in thousands):</w:t>
      </w:r>
    </w:p>
    <w:p>
      <w:pPr>
        <w:spacing w:after="0" w:line="150"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Years Ended</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2"/>
              </w:rPr>
              <w:t>Additions based on tax positions related to the current year</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(2,178)</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color w:val="auto"/>
              </w:rPr>
              <w:t>Balance, end of the period</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31, 2008 and December 31, 2007, the unrecognized tax benefits, including interest, were $2.3 million and $5.8 million, respectively. Included in unrecognized tax benefits is approximately $1.0 million for tax positions included in IAC's consolidated tax return filings that will remain a liability of IAC after the spin-off. Also included in unrecognized tax benefits at December 31, 2008 is approximately $0.5 million for tax positions which the ultimate deductibility is highly certain but for which there is uncertainty about the timing of such deductibility. The amount of unrecognized tax benefits that, if recognized, would impact the effective tax rate is approximately $0.7 million.</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Tree.com recognizes interest and, if applicable, penalties related to unrecognized tax benefits in income tax expense. Included in income tax expense for the year ended December 31, 2008 is $0.1 million, for interest on unrecognized tax benefits. At December 31, 2008 and December 31, 2007, Tree.com has accrued $0.1 million and $1.4 million (retained by IAC) for the payment of interest, respectively. There are no material accruals for penalties.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Internal Revenue Service ("IRS") is currently examining the IAC consolidated tax returns for the years ended December 31, 2001 through 2006, which includes the operations of LendingTree from August 8, 2003, its date of acquisition by IAC. The statute of limitations for the years 2001-2004 has been extended to December 31, 2009. Various IAC consolidated tax returns filed with state and local jurisdictions are currently under examination, the most significant of which are California, Florida, New York State and New York City, for various tax years after December 31, 2001. These examinations are expected to be completed during 2009.</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$0.8 million within twelve months of the current reporting, $0.5 million date due to the reversal of deductible temporary differences which will result in a corresponding increase in net deferred tax liabilities, and approximately $0.3 million may be recognized in the next twelve months due to the expiration of the statute of limitations which could impact the effective tax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Years Ended December 31,</w:t>
            </w: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Interest(a)</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$2,246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$14,888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tax payments (including amounts paid to IAC for Tree.com's share of IAC's consolidated tax liability in 2007 and 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Income tax refunds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133350</wp:posOffset>
            </wp:positionV>
            <wp:extent cx="1724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620" w:right="360" w:hanging="532"/>
        <w:spacing w:after="0" w:line="332"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interest expense related to borrowings under warehouse lines of credit. This expense is netted with interest income earned on loans held for sale, both of which are included in revenue in the accompanying consolidated statements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Company leases office space, equipment and services used in connection with its operations under various operating leases, many of which contain escalation clauses.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agreements are as follows (in thousands):</w:t>
      </w:r>
    </w:p>
    <w:p>
      <w:pPr>
        <w:spacing w:after="0" w:line="221"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2010</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2012</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3,642</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23,357</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Expenses charged to operations under these agreements were $5.4 million, $6.9 million, and $6.7 million for the years ended December 31, 2008, 2007 and 2006, respectively, and are included in general and administrative expense in the consolidated statement of operations.</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also has funding commitments that could potentially require its performance in the event of demands by third parties or contingent events, such as under letters of credit extended or under guarantees of debt, as follows (in thousands):</w:t>
      </w:r>
    </w:p>
    <w:p>
      <w:pPr>
        <w:spacing w:after="0" w:line="236"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jc w:val="center"/>
              <w:ind w:left="282"/>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More</w:t>
            </w:r>
          </w:p>
        </w:tc>
        <w:tc>
          <w:tcPr>
            <w:tcW w:w="6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Less Than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89"/>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76"/>
              </w:rPr>
              <w:t>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Than</w:t>
            </w:r>
          </w:p>
        </w:tc>
      </w:tr>
      <w:tr>
        <w:trPr>
          <w:trHeight w:val="161"/>
        </w:trPr>
        <w:tc>
          <w:tcPr>
            <w:tcW w:w="31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Committed</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3 years</w:t>
            </w:r>
          </w:p>
        </w:tc>
        <w:tc>
          <w:tcPr>
            <w:tcW w:w="20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5 years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60" w:type="dxa"/>
            <w:vAlign w:val="bottom"/>
          </w:tcPr>
          <w:p>
            <w:pPr>
              <w:spacing w:after="0"/>
              <w:rPr>
                <w:sz w:val="14"/>
                <w:szCs w:val="14"/>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 and surety bonds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3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commercial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19,405</w:t>
            </w:r>
          </w:p>
        </w:tc>
        <w:tc>
          <w:tcPr>
            <w:tcW w:w="3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commercial commitments above primarily consist of surety bonds relating to guarantees with mortgage brokers. The purchase obligations primarily relate to marketing event contracts in 2009.</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conducting its operations, Home Loan Center, Inc., through its wholly-owned subsidiary, HLC Escrow, Inc., routinely holds customers' assets in escrow pending completion of real estate financing transactions. These amounts are maintained in segregated bank accounts and are not included in the accompanying consolidated balance sheets. The balances held for LendingTree Loans'customers totaled $0.8 million and $1.2 million at December 31, 2008 and 2007,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HLC is party to various employment related lawsuits. During 2008, 2007 and 2006, provisions of $3.1 million, $2.1 million, and $0.4 million, respectively, were recorded in general and administrative expenses in the accompanying consolidated statements of income. The balance of the related liability was $2.0 million and $2.5 million at December 31, 2008 and 2007,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15—CONTINGENCIES (Continued)</w:t>
      </w:r>
    </w:p>
    <w:p>
      <w:pPr>
        <w:spacing w:after="0" w:line="231"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color w:val="auto"/>
        </w:rPr>
        <w:t>During 2007, the Company settled a lawsuit (as the plaintiff) and received a payment of $15.0 million, which is reflected as a separate line in the accompanying consolidated statement of operations.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 See Note 12 for a discussion related to income tax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16—FINANCIAL INSTRUMENTS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SFAS No. 107, "Disclosures About Fair Value of Financial Instruments" ("SFAS No. 107"), requires the disclosure of the estimated fair value of financial instruments, including those financial instruments for which the Company did not elect the fair value option. The following disclosures represent financial instruments in which the ending balances at December 31, 2008 and 2007 are not carried at fair value in their entirety on the Company's consolidated balance sheets. The additional disclosure below of the estimated fair value of financial instruments has been determined by the Company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The Company's financial instruments include letters of credit and surety bonds. The Company has $5.0 million in restricted cash at December 31, 2008 as collateral for the surety bonds. These commitments are in place to facilitate the commercial operations of certain Tree.com subsidiaries.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December 31, 2008</w:t>
            </w:r>
          </w:p>
        </w:tc>
        <w:tc>
          <w:tcPr>
            <w:tcW w:w="15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9"/>
              </w:rPr>
              <w:t>December 31, 2007</w:t>
            </w:r>
          </w:p>
        </w:tc>
        <w:tc>
          <w:tcPr>
            <w:tcW w:w="220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Carrying</w:t>
            </w:r>
          </w:p>
        </w:tc>
        <w:tc>
          <w:tcPr>
            <w:tcW w:w="64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Fair</w:t>
            </w:r>
          </w:p>
        </w:tc>
        <w:tc>
          <w:tcPr>
            <w:tcW w:w="2200" w:type="dxa"/>
            <w:vAlign w:val="bottom"/>
          </w:tcPr>
          <w:p>
            <w:pPr>
              <w:spacing w:after="0"/>
              <w:rPr>
                <w:sz w:val="11"/>
                <w:szCs w:val="11"/>
                <w:color w:val="auto"/>
              </w:rPr>
            </w:pPr>
          </w:p>
        </w:tc>
      </w:tr>
      <w:tr>
        <w:trPr>
          <w:trHeight w:val="161"/>
        </w:trPr>
        <w:tc>
          <w:tcPr>
            <w:tcW w:w="2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Value</w:t>
            </w:r>
          </w:p>
        </w:tc>
        <w:tc>
          <w:tcPr>
            <w:tcW w:w="2200" w:type="dxa"/>
            <w:vAlign w:val="bottom"/>
          </w:tcPr>
          <w:p>
            <w:pPr>
              <w:spacing w:after="0"/>
              <w:rPr>
                <w:sz w:val="14"/>
                <w:szCs w:val="14"/>
                <w:color w:val="auto"/>
              </w:rPr>
            </w:pPr>
          </w:p>
        </w:tc>
      </w:tr>
      <w:tr>
        <w:trPr>
          <w:trHeight w:val="210"/>
        </w:trPr>
        <w:tc>
          <w:tcPr>
            <w:tcW w:w="22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$ 73,643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$ 73,643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$ 45,940</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$ 45,940</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Restricted cash</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15,204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14,953</w:t>
            </w:r>
          </w:p>
        </w:tc>
        <w:tc>
          <w:tcPr>
            <w:tcW w:w="120" w:type="dxa"/>
            <w:vAlign w:val="bottom"/>
          </w:tcPr>
          <w:p>
            <w:pPr>
              <w:spacing w:after="0"/>
              <w:rPr>
                <w:sz w:val="18"/>
                <w:szCs w:val="18"/>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14,953</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12,433</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Loans held for sale,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87,835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87,835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86,754</w:t>
            </w:r>
          </w:p>
        </w:tc>
        <w:tc>
          <w:tcPr>
            <w:tcW w:w="120" w:type="dxa"/>
            <w:vAlign w:val="bottom"/>
          </w:tcPr>
          <w:p>
            <w:pPr>
              <w:spacing w:after="0"/>
              <w:rPr>
                <w:sz w:val="18"/>
                <w:szCs w:val="18"/>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89,397</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0"/>
              </w:rPr>
              <w:t>Warehouse lines of credit and notes payable</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(76,186)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(76,186)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(99,622)</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(99,622)</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(3,541)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2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74,506</w:t>
            </w:r>
          </w:p>
        </w:tc>
        <w:tc>
          <w:tcPr>
            <w:tcW w:w="22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Surety bonds and letters of credit</w:t>
            </w:r>
          </w:p>
        </w:tc>
        <w:tc>
          <w:tcPr>
            <w:tcW w:w="5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(7,732)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(8,182)</w:t>
            </w:r>
          </w:p>
        </w:tc>
        <w:tc>
          <w:tcPr>
            <w:tcW w:w="2200" w:type="dxa"/>
            <w:vAlign w:val="bottom"/>
          </w:tcPr>
          <w:p>
            <w:pPr>
              <w:spacing w:after="0"/>
              <w:rPr>
                <w:sz w:val="19"/>
                <w:szCs w:val="19"/>
                <w:color w:val="auto"/>
              </w:rPr>
            </w:pPr>
          </w:p>
        </w:tc>
      </w:tr>
      <w:tr>
        <w:trPr>
          <w:trHeight w:val="424"/>
        </w:trPr>
        <w:tc>
          <w:tcPr>
            <w:tcW w:w="2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16—FINANCIAL INSTRUMENTS (Continued)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carrying amounts of cash and cash equivalents and restricted cash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fair value of loans held for sale, net, was estimated using current secondary market prices for underlying loans with similar coupons, maturity and credit quality. The carrying amounts for the remaining warehouse lines of credit and notes payable and all other financial instruments approximate their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31"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$0.3 million, $1.0 million and $1.2 million for the years ended December 31, 2008, 2007 and 2006, respectively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5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Tree.com has various agreements with Microsoft Corporation ("Microsoft"), which was the beneficial owner of more than 5% of IAC's outstanding common stock during 2006. These agreements include partner agreements, licensing agreements and support agreements. Total fees paid related to these agreements in 2006 were approximately $21.8 million. In the first quarter of 2007, Microsoft publicly disclosed that it was no longer the beneficial owner of 5% or more of IAC's outstanding common stock, and as a result, it is no longer a related 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Tree.com and IAC after the Spin-Off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18—BENEFIT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years ended December 31, 2008, Tree.com participated in a retirement savings plan sponsored by IAC that was qualified under</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401(k) of the Internal Revenue Code. Under the IAC plan, participating employees may contribute up to 16% of their pretax earnings, but not more than statutory limits. Tree.com's match under the IAC plan is fifty cents for each dollar a participant contributes in this plan, with a maximum contribution of 3% of a participant's eligible earnings. Matching contributions were approximately $1.1 million, $2.7 million and $3.0 million in 2008, 2007, and 2006, respectively. The decrease in matching contributions in 2008 is primarily due to the reduction in workforce associated with the 2007 and 2008 restructuring actions. Matching contributions are invested in the same manner as each participant's voluntary contributions in the investment options provided under the plan. Investment options in the plan include IAC common stock, but neither participant nor matching contributions are required to be invested in IAC common stock. Funds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18—BENEFIT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contributed prior to December 31, 2008 are subject to the vesting schedule established by the IAC plan. This vesting schedule is less than two years of service will vest with 0% and two years of service or more will vest with 100%.</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Effective January 1, 2009, Tree.com established a retirement savings plan in the United States and, pending approval, will be qualified under Section 401(k) of the Internal Revenue Code. The net assets available for benefits of the employees of Tree.com were transferred from the IAC plan to the newly created Tree.com plan. Employees are eligible to enroll in the plan upon date of hire. Participating employees may contribute up to 50% of their pretax earnings, but not more than statutory limits. Tree.com's match is fifty cents for each dollar a participant contributes to the plan, with a maximum contribution of 3% of a participant's eligible earnings. Matching contributions are invested in the same manner as each participant's voluntary contributions in the investment options provided under the plan. Funds contributed after January 1, 2009 are subject to the Tree.com vesting schedule. This vesting schedule is less than three years of service will vest with 0% and three years of service or more will vest with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19—RESTRUCTURING CHARGES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restructuring charges primarily relate to Tree.com's significant reduction in its mortgage origination operations in response to the adverse developments in mortgage market conditions.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w w:val="91"/>
              </w:rPr>
              <w:t>For The Year Ended December 31, 2008</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Employee</w:t>
            </w:r>
          </w:p>
        </w:tc>
        <w:tc>
          <w:tcPr>
            <w:tcW w:w="2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Continuing</w:t>
            </w:r>
          </w:p>
        </w:tc>
        <w:tc>
          <w:tcPr>
            <w:tcW w:w="2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78"/>
              </w:rPr>
              <w:t>Asset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40" w:type="dxa"/>
            <w:vAlign w:val="bottom"/>
          </w:tcPr>
          <w:p>
            <w:pPr>
              <w:spacing w:after="0"/>
              <w:rPr>
                <w:sz w:val="12"/>
                <w:szCs w:val="12"/>
                <w:color w:val="auto"/>
              </w:rPr>
            </w:pPr>
          </w:p>
        </w:tc>
        <w:tc>
          <w:tcPr>
            <w:tcW w:w="1980" w:type="dxa"/>
            <w:vAlign w:val="bottom"/>
            <w:gridSpan w:val="3"/>
          </w:tcPr>
          <w:p>
            <w:pPr>
              <w:jc w:val="center"/>
              <w:ind w:left="1162"/>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120"/>
              <w:spacing w:after="0"/>
              <w:rPr>
                <w:sz w:val="20"/>
                <w:szCs w:val="20"/>
                <w:color w:val="auto"/>
              </w:rPr>
            </w:pPr>
            <w:r>
              <w:rPr>
                <w:rFonts w:ascii="Arial" w:cs="Arial" w:eastAsia="Arial" w:hAnsi="Arial"/>
                <w:sz w:val="14"/>
                <w:szCs w:val="14"/>
                <w:b w:val="1"/>
                <w:bCs w:val="1"/>
                <w:color w:val="auto"/>
                <w:w w:val="77"/>
              </w:rPr>
              <w:t>Costs</w:t>
            </w:r>
          </w:p>
        </w:tc>
        <w:tc>
          <w:tcPr>
            <w:tcW w:w="88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offs</w:t>
            </w:r>
          </w:p>
        </w:tc>
        <w:tc>
          <w:tcPr>
            <w:tcW w:w="760" w:type="dxa"/>
            <w:vAlign w:val="bottom"/>
            <w:gridSpan w:val="3"/>
          </w:tcPr>
          <w:p>
            <w:pPr>
              <w:ind w:left="200"/>
              <w:spacing w:after="0"/>
              <w:rPr>
                <w:sz w:val="20"/>
                <w:szCs w:val="20"/>
                <w:color w:val="auto"/>
              </w:rPr>
            </w:pPr>
            <w:r>
              <w:rPr>
                <w:rFonts w:ascii="Arial" w:cs="Arial" w:eastAsia="Arial" w:hAnsi="Arial"/>
                <w:sz w:val="14"/>
                <w:szCs w:val="14"/>
                <w:b w:val="1"/>
                <w:bCs w:val="1"/>
                <w:color w:val="auto"/>
              </w:rPr>
              <w:t>Other</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$ 5,279</w:t>
            </w:r>
          </w:p>
        </w:tc>
        <w:tc>
          <w:tcPr>
            <w:tcW w:w="60" w:type="dxa"/>
            <w:vAlign w:val="bottom"/>
            <w:shd w:val="clear" w:color="auto" w:fill="CCEEFF"/>
          </w:tcPr>
          <w:p>
            <w:pPr>
              <w:spacing w:after="0"/>
              <w:rPr>
                <w:sz w:val="18"/>
                <w:szCs w:val="18"/>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Real Estate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r>
      <w:tr>
        <w:trPr>
          <w:trHeight w:val="21"/>
        </w:trPr>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$ 5,704</w:t>
            </w:r>
          </w:p>
        </w:tc>
        <w:tc>
          <w:tcPr>
            <w:tcW w:w="60" w:type="dxa"/>
            <w:vAlign w:val="bottom"/>
            <w:shd w:val="clear" w:color="auto" w:fill="CCEEFF"/>
          </w:tcPr>
          <w:p>
            <w:pPr>
              <w:spacing w:after="0"/>
              <w:rPr>
                <w:sz w:val="18"/>
                <w:szCs w:val="18"/>
                <w:color w:val="auto"/>
              </w:rPr>
            </w:pPr>
          </w:p>
        </w:tc>
      </w:tr>
      <w:tr>
        <w:trPr>
          <w:trHeight w:val="27"/>
        </w:trPr>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ind w:left="520"/>
              <w:spacing w:after="0"/>
              <w:rPr>
                <w:sz w:val="20"/>
                <w:szCs w:val="20"/>
                <w:color w:val="auto"/>
              </w:rPr>
            </w:pPr>
            <w:r>
              <w:rPr>
                <w:rFonts w:ascii="Arial" w:cs="Arial" w:eastAsia="Arial" w:hAnsi="Arial"/>
                <w:sz w:val="14"/>
                <w:szCs w:val="14"/>
                <w:b w:val="1"/>
                <w:bCs w:val="1"/>
                <w:color w:val="auto"/>
                <w:w w:val="88"/>
              </w:rPr>
              <w:t>For The Year Ended December 31, 2007</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29"/>
        </w:trPr>
        <w:tc>
          <w:tcPr>
            <w:tcW w:w="22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Employee</w:t>
            </w:r>
          </w:p>
        </w:tc>
        <w:tc>
          <w:tcPr>
            <w:tcW w:w="2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Continuing</w:t>
            </w: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49"/>
        </w:trPr>
        <w:tc>
          <w:tcPr>
            <w:tcW w:w="2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40" w:type="dxa"/>
            <w:vAlign w:val="bottom"/>
            <w:gridSpan w:val="3"/>
          </w:tcPr>
          <w:p>
            <w:pPr>
              <w:jc w:val="center"/>
              <w:ind w:left="1122"/>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61"/>
        </w:trPr>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119"/>
              <w:spacing w:after="0"/>
              <w:rPr>
                <w:sz w:val="20"/>
                <w:szCs w:val="20"/>
                <w:color w:val="auto"/>
              </w:rPr>
            </w:pPr>
            <w:r>
              <w:rPr>
                <w:rFonts w:ascii="Arial" w:cs="Arial" w:eastAsia="Arial" w:hAnsi="Arial"/>
                <w:sz w:val="14"/>
                <w:szCs w:val="14"/>
                <w:b w:val="1"/>
                <w:bCs w:val="1"/>
                <w:color w:val="auto"/>
                <w:w w:val="77"/>
              </w:rPr>
              <w:t>Costs</w:t>
            </w:r>
          </w:p>
        </w:tc>
        <w:tc>
          <w:tcPr>
            <w:tcW w:w="88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4"/>
                <w:szCs w:val="14"/>
                <w:color w:val="auto"/>
              </w:rPr>
            </w:pPr>
          </w:p>
        </w:tc>
      </w:tr>
      <w:tr>
        <w:trPr>
          <w:trHeight w:val="210"/>
        </w:trPr>
        <w:tc>
          <w:tcPr>
            <w:tcW w:w="22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5,004</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$7,510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$ 21,567</w:t>
            </w:r>
          </w:p>
        </w:tc>
        <w:tc>
          <w:tcPr>
            <w:tcW w:w="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22"/>
        </w:trPr>
        <w:tc>
          <w:tcPr>
            <w:tcW w:w="220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Real Estate</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474</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$ 22,867</w:t>
            </w:r>
          </w:p>
        </w:tc>
        <w:tc>
          <w:tcPr>
            <w:tcW w:w="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7"/>
        </w:trPr>
        <w:tc>
          <w:tcPr>
            <w:tcW w:w="2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
        </w:trPr>
        <w:tc>
          <w:tcPr>
            <w:tcW w:w="2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1"/>
        </w:trPr>
        <w:tc>
          <w:tcPr>
            <w:tcW w:w="2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79"/>
              <w:spacing w:after="0"/>
              <w:rPr>
                <w:sz w:val="20"/>
                <w:szCs w:val="20"/>
                <w:color w:val="auto"/>
              </w:rPr>
            </w:pPr>
            <w:r>
              <w:rPr>
                <w:rFonts w:ascii="Arial" w:cs="Arial" w:eastAsia="Arial" w:hAnsi="Arial"/>
                <w:sz w:val="18"/>
                <w:szCs w:val="18"/>
                <w:color w:val="auto"/>
                <w:w w:val="79"/>
              </w:rPr>
              <w:t>85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19—RESTRUCTURING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4"/>
                <w:szCs w:val="14"/>
                <w:b w:val="1"/>
                <w:bCs w:val="1"/>
                <w:color w:val="auto"/>
                <w:w w:val="87"/>
              </w:rPr>
              <w:t>For The Year Ended December 31, 2008</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00" w:type="dxa"/>
            <w:vAlign w:val="bottom"/>
          </w:tcPr>
          <w:p>
            <w:pPr>
              <w:spacing w:after="0"/>
              <w:rPr>
                <w:sz w:val="11"/>
                <w:szCs w:val="11"/>
                <w:color w:val="auto"/>
              </w:rPr>
            </w:pPr>
          </w:p>
        </w:tc>
        <w:tc>
          <w:tcPr>
            <w:tcW w:w="920" w:type="dxa"/>
            <w:vAlign w:val="bottom"/>
            <w:gridSpan w:val="3"/>
          </w:tcPr>
          <w:p>
            <w:pPr>
              <w:jc w:val="center"/>
              <w:ind w:right="152"/>
              <w:spacing w:after="0" w:line="129" w:lineRule="exact"/>
              <w:rPr>
                <w:sz w:val="20"/>
                <w:szCs w:val="20"/>
                <w:color w:val="auto"/>
              </w:rPr>
            </w:pPr>
            <w:r>
              <w:rPr>
                <w:rFonts w:ascii="Arial" w:cs="Arial" w:eastAsia="Arial" w:hAnsi="Arial"/>
                <w:sz w:val="14"/>
                <w:szCs w:val="14"/>
                <w:b w:val="1"/>
                <w:bCs w:val="1"/>
                <w:color w:val="auto"/>
                <w:w w:val="87"/>
              </w:rPr>
              <w:t>Employee</w:t>
            </w:r>
          </w:p>
        </w:tc>
        <w:tc>
          <w:tcPr>
            <w:tcW w:w="8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200" w:type="dxa"/>
            <w:vAlign w:val="bottom"/>
          </w:tcPr>
          <w:p>
            <w:pPr>
              <w:spacing w:after="0"/>
              <w:rPr>
                <w:sz w:val="12"/>
                <w:szCs w:val="12"/>
                <w:color w:val="auto"/>
              </w:rPr>
            </w:pPr>
          </w:p>
        </w:tc>
        <w:tc>
          <w:tcPr>
            <w:tcW w:w="92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78"/>
              </w:rPr>
              <w:t>Asset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ind w:right="116"/>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3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$ 6,503</w:t>
            </w:r>
          </w:p>
        </w:tc>
      </w:tr>
      <w:tr>
        <w:trPr>
          <w:trHeight w:val="216"/>
        </w:trPr>
        <w:tc>
          <w:tcPr>
            <w:tcW w:w="32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5,703</w:t>
            </w: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(3,663)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(2,868)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(599)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(7,033)</w:t>
            </w:r>
          </w:p>
        </w:tc>
      </w:tr>
      <w:tr>
        <w:trPr>
          <w:trHeight w:val="222"/>
        </w:trPr>
        <w:tc>
          <w:tcPr>
            <w:tcW w:w="3200" w:type="dxa"/>
            <w:vAlign w:val="bottom"/>
          </w:tcPr>
          <w:p>
            <w:pPr>
              <w:ind w:left="14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(1,117)</w:t>
            </w: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(1,085)</w:t>
            </w:r>
          </w:p>
        </w:tc>
      </w:tr>
      <w:tr>
        <w:trPr>
          <w:trHeight w:val="21"/>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$ 4,088</w:t>
            </w:r>
          </w:p>
        </w:tc>
      </w:tr>
      <w:tr>
        <w:trPr>
          <w:trHeight w:val="27"/>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w w:val="86"/>
              </w:rPr>
              <w:t>For The Year Ended December 31, 2007</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20" w:type="dxa"/>
            <w:vAlign w:val="bottom"/>
          </w:tcPr>
          <w:p>
            <w:pPr>
              <w:spacing w:after="0"/>
              <w:rPr>
                <w:sz w:val="11"/>
                <w:szCs w:val="11"/>
                <w:color w:val="auto"/>
              </w:rPr>
            </w:pPr>
          </w:p>
        </w:tc>
        <w:tc>
          <w:tcPr>
            <w:tcW w:w="920" w:type="dxa"/>
            <w:vAlign w:val="bottom"/>
            <w:gridSpan w:val="3"/>
          </w:tcPr>
          <w:p>
            <w:pPr>
              <w:jc w:val="center"/>
              <w:ind w:right="132"/>
              <w:spacing w:after="0" w:line="129" w:lineRule="exact"/>
              <w:rPr>
                <w:sz w:val="20"/>
                <w:szCs w:val="20"/>
                <w:color w:val="auto"/>
              </w:rPr>
            </w:pPr>
            <w:r>
              <w:rPr>
                <w:rFonts w:ascii="Arial" w:cs="Arial" w:eastAsia="Arial" w:hAnsi="Arial"/>
                <w:sz w:val="14"/>
                <w:szCs w:val="14"/>
                <w:b w:val="1"/>
                <w:bCs w:val="1"/>
                <w:color w:val="auto"/>
                <w:w w:val="84"/>
              </w:rPr>
              <w:t>Employee</w:t>
            </w:r>
          </w:p>
        </w:tc>
        <w:tc>
          <w:tcPr>
            <w:tcW w:w="8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220" w:type="dxa"/>
            <w:vAlign w:val="bottom"/>
          </w:tcPr>
          <w:p>
            <w:pPr>
              <w:spacing w:after="0"/>
              <w:rPr>
                <w:sz w:val="12"/>
                <w:szCs w:val="12"/>
                <w:color w:val="auto"/>
              </w:rPr>
            </w:pPr>
          </w:p>
        </w:tc>
        <w:tc>
          <w:tcPr>
            <w:tcW w:w="92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Lease</w:t>
            </w:r>
          </w:p>
        </w:tc>
        <w:tc>
          <w:tcPr>
            <w:tcW w:w="12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Write-offs</w:t>
            </w:r>
          </w:p>
        </w:tc>
        <w:tc>
          <w:tcPr>
            <w:tcW w:w="200" w:type="dxa"/>
            <w:vAlign w:val="bottom"/>
          </w:tcPr>
          <w:p>
            <w:pPr>
              <w:spacing w:after="0"/>
              <w:rPr>
                <w:sz w:val="14"/>
                <w:szCs w:val="1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22,867</w:t>
            </w:r>
          </w:p>
        </w:tc>
      </w:tr>
      <w:tr>
        <w:trPr>
          <w:trHeight w:val="216"/>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(7,242)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(1,633)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(8,875)</w:t>
            </w:r>
          </w:p>
        </w:tc>
      </w:tr>
      <w:tr>
        <w:trPr>
          <w:trHeight w:val="222"/>
        </w:trPr>
        <w:tc>
          <w:tcPr>
            <w:tcW w:w="3220" w:type="dxa"/>
            <w:vAlign w:val="bottom"/>
          </w:tcPr>
          <w:p>
            <w:pPr>
              <w:ind w:left="14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(8,003)</w:t>
            </w:r>
          </w:p>
        </w:tc>
        <w:tc>
          <w:tcPr>
            <w:tcW w:w="1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(7,489)</w:t>
            </w:r>
          </w:p>
        </w:tc>
      </w:tr>
      <w:tr>
        <w:trPr>
          <w:trHeight w:val="21"/>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w:t>
            </w:r>
          </w:p>
        </w:tc>
      </w:tr>
      <w:tr>
        <w:trPr>
          <w:trHeight w:val="27"/>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2008, restructuring liabilities of $3.3 million are included in "Accrued expenses and other current liabilities" and $0.8 million are included in "Other long-term liabilities" in the accompanying consolidated balance sheet. At December 31, 2007, restructuring liabilities of $5.6 million are included in "Accrued expenses and other current liabilities" and $0.9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RESULTS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gridSpan w:val="3"/>
          </w:tcPr>
          <w:p>
            <w:pPr>
              <w:jc w:val="center"/>
              <w:ind w:right="152"/>
              <w:spacing w:after="0"/>
              <w:rPr>
                <w:sz w:val="20"/>
                <w:szCs w:val="20"/>
                <w:color w:val="auto"/>
              </w:rPr>
            </w:pPr>
            <w:r>
              <w:rPr>
                <w:rFonts w:ascii="Arial" w:cs="Arial" w:eastAsia="Arial" w:hAnsi="Arial"/>
                <w:sz w:val="14"/>
                <w:szCs w:val="14"/>
                <w:b w:val="1"/>
                <w:bCs w:val="1"/>
                <w:color w:val="auto"/>
                <w:w w:val="94"/>
              </w:rPr>
              <w:t>Quarter</w:t>
            </w: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Quarter</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Quarter Ended</w:t>
            </w:r>
          </w:p>
        </w:tc>
      </w:tr>
      <w:tr>
        <w:trPr>
          <w:trHeight w:val="149"/>
        </w:trPr>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30,(a)</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(b)</w:t>
            </w:r>
          </w:p>
        </w:tc>
        <w:tc>
          <w:tcPr>
            <w:tcW w:w="140" w:type="dxa"/>
            <w:vAlign w:val="bottom"/>
          </w:tcPr>
          <w:p>
            <w:pPr>
              <w:spacing w:after="0"/>
              <w:rPr>
                <w:sz w:val="14"/>
                <w:szCs w:val="14"/>
                <w:color w:val="auto"/>
              </w:rPr>
            </w:pPr>
          </w:p>
        </w:tc>
      </w:tr>
      <w:tr>
        <w:trPr>
          <w:trHeight w:val="142"/>
        </w:trPr>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42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w w:val="92"/>
              </w:rPr>
              <w:t>thousands, except per share amounts)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70,193</w:t>
            </w:r>
          </w:p>
        </w:tc>
        <w:tc>
          <w:tcPr>
            <w:tcW w:w="20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59,983</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50,258</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48,138</w:t>
            </w:r>
          </w:p>
        </w:tc>
        <w:tc>
          <w:tcPr>
            <w:tcW w:w="1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w:t>
            </w:r>
          </w:p>
        </w:tc>
        <w:tc>
          <w:tcPr>
            <w:tcW w:w="14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(9,488)</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(176,754)</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(22,455)</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(6,333)</w:t>
            </w: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(9,799)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(162,920)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(7,006)</w:t>
            </w:r>
          </w:p>
        </w:tc>
      </w:tr>
      <w:tr>
        <w:trPr>
          <w:trHeight w:val="216"/>
        </w:trPr>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109,999</w:t>
            </w:r>
          </w:p>
        </w:tc>
        <w:tc>
          <w:tcPr>
            <w:tcW w:w="20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110,639</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74,953</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50,787</w:t>
            </w:r>
          </w:p>
        </w:tc>
        <w:tc>
          <w:tcPr>
            <w:tcW w:w="1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14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(8,404)</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(11,756)</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(11,916)</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(508,364)</w:t>
            </w:r>
          </w:p>
        </w:tc>
      </w:tr>
      <w:tr>
        <w:trPr>
          <w:trHeight w:val="216"/>
        </w:trPr>
        <w:tc>
          <w:tcPr>
            <w:tcW w:w="21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(5,123)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(531,494)</w:t>
            </w:r>
          </w:p>
        </w:tc>
      </w:tr>
      <w:tr>
        <w:trPr>
          <w:trHeight w:val="222"/>
        </w:trPr>
        <w:tc>
          <w:tcPr>
            <w:tcW w:w="218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19"/>
                <w:szCs w:val="19"/>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(56.98)</w:t>
            </w:r>
          </w:p>
        </w:tc>
      </w:tr>
      <w:tr>
        <w:trPr>
          <w:trHeight w:val="102"/>
        </w:trPr>
        <w:tc>
          <w:tcPr>
            <w:tcW w:w="2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second quarter of 2008 includes an impairment charge of $164.3 million related to the write-down of goodwill and intangible assets.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fourth quarter of 2007 includes an impairment charge of $475.7 million related to the write-down of Lending's goodwill and intangible assets.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860" w:firstLine="348"/>
        <w:spacing w:after="0" w:line="332" w:lineRule="auto"/>
        <w:rPr>
          <w:sz w:val="20"/>
          <w:szCs w:val="20"/>
          <w:color w:val="auto"/>
        </w:rPr>
      </w:pPr>
      <w:r>
        <w:rPr>
          <w:rFonts w:ascii="Arial" w:cs="Arial" w:eastAsia="Arial" w:hAnsi="Arial"/>
          <w:sz w:val="16"/>
          <w:szCs w:val="16"/>
          <w:color w:val="auto"/>
        </w:rPr>
        <w:t>We monitor and evaluate on an ongoing basis our disclosure controls and internal control over financial reporting in order to improve our overall effectiveness. In the course of this evaluation, we modify and refine our internal processes as conditions warrant.</w:t>
      </w:r>
    </w:p>
    <w:p>
      <w:pPr>
        <w:spacing w:after="0" w:line="139"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Chief Executive Officer and Chief Financial Officer, evaluated the effectiveness of our disclosure controls and procedures (as defined by Rule 13a-15(e) and 15d-15(e) under the Exchange Act). Based upon that evaluation, our Chief Executive Officer and Chief Financial Officer concluded that as of the end of the period covered by this report, our disclosure controls and procedures were effective in providing reasonable assurance that information we are required to disclose in our filings with the Securities and Exchange Commission under the Exchange Act is recorded, processed, summarized and reported within the time periods specified in the Commission's rules and Forms, and include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required by Rule 13a-15(d) of the Exchange Act, we, under the supervision and with the participation of our management, including the Chief Executive Officer and Chief Financial Officer, also evaluated whether any changes occurred to our internal control over financial reporting during the period covered by this report that have materially affected, or are reasonably likely to materially affect, such control. Based on that evaluation, there has been no such change during the period covered by this report.</w:t>
      </w:r>
    </w:p>
    <w:p>
      <w:pPr>
        <w:spacing w:after="0" w:line="197"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the rules of the Securities and Exchange Commission for newly public companies.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Part III (Items 10, 11, 12, 13 and 14) has been incorporated herein by reference to Tree.com's definitive Proxy Statement to be used in connection with its 2009 Annual Meeting of Stockholders, (the "2009 Proxy Statement"), as set forth below, in accordance with General Instruction G(3) of Form 10-K.</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2009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Directors—Information Concerning Director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Directors—The Board and Board Committees;"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Directors—Stockholder Recommendations of Director Candidates;"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Concerning Executive Officers Who Are Not Directors;" "Code of Business Conduct and Ethics;" and "Section 16(a) Beneficial Ownership Reporting Compliance."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2009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Discussion and Analysis;"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Committee Interlocks and Insider Participation."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Further, the information included under the caption "Compensation Committee Report" is furnished but shall not be deemed incorporated by reference into any filing under the Securities Act or the Exchange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2009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"Ownership of Certain Beneficial Owners and Management;" and "Securities Authorized for Issuance Under Equity Compensation Plans."</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2009 Proxy Statement is incorporated by reference herein:</w:t>
      </w:r>
    </w:p>
    <w:p>
      <w:pPr>
        <w:spacing w:after="0" w:line="25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Relationships and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"Election of Directors—Corporate Governance."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included under the following captions in the 2009 Proxy Statement is incorporated by reference herein:</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Committee Matters—Fees Paid to Our Independent Registered Public Accounting Firm;"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Committee Matters—Audit and Non-Audit Services Pre-Approval Policy."</w:t>
      </w:r>
    </w:p>
    <w:p>
      <w:pPr>
        <w:sectPr>
          <w:pgSz w:w="11900" w:h="16838" w:orient="portrait"/>
          <w:cols w:equalWidth="0" w:num="1">
            <w:col w:w="11300"/>
          </w:cols>
          <w:pgMar w:left="240" w:top="131" w:right="359" w:bottom="1440"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List of documents filed as part of this Report:</w:t>
      </w:r>
    </w:p>
    <w:p>
      <w:pPr>
        <w:spacing w:after="0" w:line="246"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 of Tree.com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2008, 2007 and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2008, 2007 and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33"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 Schedule of Tree.com</w:t>
      </w:r>
    </w:p>
    <w:p>
      <w:pPr>
        <w:spacing w:after="0" w:line="227"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Schedule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b w:val="1"/>
          <w:bCs w:val="1"/>
          <w:u w:val="single" w:color="auto"/>
          <w:color w:val="auto"/>
        </w:rPr>
        <w:t>Number</w:t>
      </w:r>
    </w:p>
    <w:p>
      <w:pPr>
        <w:ind w:left="3040"/>
        <w:spacing w:after="0"/>
        <w:tabs>
          <w:tab w:leader="none" w:pos="33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pacing w:after="0" w:line="21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ectPr>
          <w:pgSz w:w="11900" w:h="16838" w:orient="portrait"/>
          <w:cols w:equalWidth="0" w:num="1">
            <w:col w:w="11360"/>
          </w:cols>
          <w:pgMar w:left="240" w:top="131" w:right="29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66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660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Tree.com, Inc.</w:t>
            </w:r>
          </w:p>
        </w:tc>
      </w:tr>
      <w:tr>
        <w:trPr>
          <w:trHeight w:val="424"/>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Amended and Restated By-laws of Tree.com, Inc.</w:t>
            </w:r>
          </w:p>
        </w:tc>
      </w:tr>
      <w:tr>
        <w:trPr>
          <w:trHeight w:val="426"/>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w w:val="98"/>
              </w:rPr>
              <w:t>Separation and Distribution Agreement, dated as of August 20, 2008, by and among</w:t>
            </w:r>
          </w:p>
        </w:tc>
      </w:tr>
      <w:tr>
        <w:trPr>
          <w:trHeight w:val="216"/>
        </w:trPr>
        <w:tc>
          <w:tcPr>
            <w:tcW w:w="50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IAC/InterActiveCorp, HSN, Inc., Interval Leisure Group, Inc., Ticketmaster and</w:t>
            </w:r>
          </w:p>
        </w:tc>
      </w:tr>
      <w:tr>
        <w:trPr>
          <w:trHeight w:val="216"/>
        </w:trPr>
        <w:tc>
          <w:tcPr>
            <w:tcW w:w="50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Tree.com, Inc.</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w w:val="91"/>
              </w:rPr>
              <w:t>Tax Sharing Agreement, dated as of August 20, 2008, by and among IAC/InterActiveCorp,</w:t>
            </w:r>
          </w:p>
        </w:tc>
      </w:tr>
      <w:tr>
        <w:trPr>
          <w:trHeight w:val="216"/>
        </w:trPr>
        <w:tc>
          <w:tcPr>
            <w:tcW w:w="50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HSN, Inc., Interval Leisure Group, Inc., Ticketmaster and Tree.com, Inc.</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Employee Matters Agreement, dated as of August 20, 2008, by and among</w:t>
            </w:r>
          </w:p>
        </w:tc>
      </w:tr>
      <w:tr>
        <w:trPr>
          <w:trHeight w:val="216"/>
        </w:trPr>
        <w:tc>
          <w:tcPr>
            <w:tcW w:w="50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IAC/InterActiveCorp, HSN, Inc., Interval Leisure Group, Inc., Ticketmaster and</w:t>
            </w:r>
          </w:p>
        </w:tc>
      </w:tr>
      <w:tr>
        <w:trPr>
          <w:trHeight w:val="222"/>
        </w:trPr>
        <w:tc>
          <w:tcPr>
            <w:tcW w:w="500" w:type="dxa"/>
            <w:vAlign w:val="bottom"/>
          </w:tcPr>
          <w:p>
            <w:pPr>
              <w:spacing w:after="0"/>
              <w:rPr>
                <w:sz w:val="19"/>
                <w:szCs w:val="19"/>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Tree.com, Inc.</w:t>
            </w:r>
          </w:p>
        </w:tc>
      </w:tr>
      <w:tr>
        <w:trPr>
          <w:trHeight w:val="432"/>
        </w:trPr>
        <w:tc>
          <w:tcPr>
            <w:tcW w:w="500" w:type="dxa"/>
            <w:vAlign w:val="bottom"/>
          </w:tcPr>
          <w:p>
            <w:pPr>
              <w:spacing w:after="0"/>
              <w:rPr>
                <w:sz w:val="24"/>
                <w:szCs w:val="24"/>
                <w:color w:val="auto"/>
              </w:rPr>
            </w:pPr>
          </w:p>
        </w:tc>
        <w:tc>
          <w:tcPr>
            <w:tcW w:w="6760" w:type="dxa"/>
            <w:vAlign w:val="bottom"/>
            <w:gridSpan w:val="2"/>
          </w:tcPr>
          <w:p>
            <w:pPr>
              <w:ind w:left="5120"/>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25387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right="540"/>
        <w:spacing w:after="0" w:line="249" w:lineRule="auto"/>
        <w:rPr>
          <w:sz w:val="20"/>
          <w:szCs w:val="20"/>
          <w:color w:val="auto"/>
        </w:rPr>
      </w:pPr>
      <w:r>
        <w:rPr>
          <w:rFonts w:ascii="Arial" w:cs="Arial" w:eastAsia="Arial" w:hAnsi="Arial"/>
          <w:sz w:val="18"/>
          <w:szCs w:val="18"/>
          <w:color w:val="auto"/>
        </w:rPr>
        <w:t>Exhibit 3.1 to the Registrant's Current Report on Form 8-K filed August 25, 2008.</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Exhibit 3.2 to the Registrant's Current Report on Form 8-K filed August 25, 2008.</w:t>
      </w:r>
    </w:p>
    <w:p>
      <w:pPr>
        <w:spacing w:after="0" w:line="1" w:lineRule="exact"/>
        <w:rPr>
          <w:sz w:val="20"/>
          <w:szCs w:val="20"/>
          <w:color w:val="auto"/>
        </w:rPr>
      </w:pPr>
    </w:p>
    <w:p>
      <w:pPr>
        <w:jc w:val="both"/>
        <w:ind w:right="120"/>
        <w:spacing w:after="0" w:line="361" w:lineRule="auto"/>
        <w:rPr>
          <w:sz w:val="20"/>
          <w:szCs w:val="20"/>
          <w:color w:val="auto"/>
        </w:rPr>
      </w:pPr>
      <w:r>
        <w:rPr>
          <w:rFonts w:ascii="Arial" w:cs="Arial" w:eastAsia="Arial" w:hAnsi="Arial"/>
          <w:sz w:val="15"/>
          <w:szCs w:val="15"/>
          <w:color w:val="auto"/>
        </w:rPr>
        <w:t>Exhibit 10.1 to the Registrant's Registration Statement on Form S-1 (No. 333-152700), filed August 1, 2008.</w:t>
      </w:r>
    </w:p>
    <w:p>
      <w:pPr>
        <w:spacing w:after="0" w:line="123"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Exhibit 10.2 to the Registrant's Current Report on Form 8-K filed August 25, 2008.</w:t>
      </w:r>
    </w:p>
    <w:p>
      <w:pPr>
        <w:ind w:right="440"/>
        <w:spacing w:after="0" w:line="261" w:lineRule="auto"/>
        <w:rPr>
          <w:sz w:val="20"/>
          <w:szCs w:val="20"/>
          <w:color w:val="auto"/>
        </w:rPr>
      </w:pPr>
      <w:r>
        <w:rPr>
          <w:rFonts w:ascii="Arial" w:cs="Arial" w:eastAsia="Arial" w:hAnsi="Arial"/>
          <w:sz w:val="18"/>
          <w:szCs w:val="18"/>
          <w:color w:val="auto"/>
        </w:rPr>
        <w:t>Exhibit 10.3 to the Registrant's Current Report on Form 8-K filed August 25, 2008.</w:t>
      </w:r>
    </w:p>
    <w:p>
      <w:pPr>
        <w:sectPr>
          <w:pgSz w:w="11900" w:h="16838" w:orient="portrait"/>
          <w:cols w:equalWidth="0" w:num="2">
            <w:col w:w="7260" w:space="160"/>
            <w:col w:w="3940"/>
          </w:cols>
          <w:pgMar w:left="240" w:top="131" w:right="29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83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836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Arial" w:cs="Arial" w:eastAsia="Arial" w:hAnsi="Arial"/>
                <w:sz w:val="18"/>
                <w:szCs w:val="18"/>
                <w:color w:val="auto"/>
                <w:w w:val="90"/>
              </w:rPr>
              <w:t>Transition Services Agreement, dated as of August 20, 2008, by and among IAC/InterActiveCorp, HSN, Inc., Interval</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Leisure Group, Inc., Ticketmaster and Tree.com, Inc.</w:t>
            </w:r>
          </w:p>
        </w:tc>
      </w:tr>
      <w:tr>
        <w:trPr>
          <w:trHeight w:val="426"/>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0"/>
              </w:rPr>
              <w:t>Registration Rights Agreement, dated as of August 20, 2008, among Tree.com, Inc., Liberty Media Corporation and</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Liberty USA Holdings, LLC</w:t>
            </w:r>
          </w:p>
        </w:tc>
      </w:tr>
      <w:tr>
        <w:trPr>
          <w:trHeight w:val="426"/>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8"/>
              </w:rPr>
              <w:t>Spinco Assignment and Assumption Agreement, dated as of August 20, 2008, among IAC/InterActiveCorp,</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Tree.com, Inc., Liberty Media Corporation and Liberty USA Holdings, LLC</w:t>
            </w:r>
          </w:p>
        </w:tc>
      </w:tr>
      <w:tr>
        <w:trPr>
          <w:trHeight w:val="432"/>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Employment Agreement between Robert L. Harris and LendingTree, LLC, dated as of June 30, 2008*</w:t>
            </w:r>
          </w:p>
        </w:tc>
      </w:tr>
      <w:tr>
        <w:trPr>
          <w:trHeight w:val="864"/>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Employment Agreement between Bret A. Violette and IAC/InterActiveCorp, dated as of April 11, 2007*</w:t>
            </w:r>
          </w:p>
        </w:tc>
      </w:tr>
      <w:tr>
        <w:trPr>
          <w:trHeight w:val="899"/>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87"/>
              </w:rPr>
              <w:t>Amended Employment and Release Agreement entered into as of the 2</w:t>
            </w:r>
            <w:r>
              <w:rPr>
                <w:rFonts w:ascii="Arial" w:cs="Arial" w:eastAsia="Arial" w:hAnsi="Arial"/>
                <w:sz w:val="29"/>
                <w:szCs w:val="29"/>
                <w:color w:val="auto"/>
                <w:w w:val="87"/>
                <w:vertAlign w:val="superscript"/>
              </w:rPr>
              <w:t>nd</w:t>
            </w:r>
            <w:r>
              <w:rPr>
                <w:rFonts w:ascii="Arial" w:cs="Arial" w:eastAsia="Arial" w:hAnsi="Arial"/>
                <w:sz w:val="18"/>
                <w:szCs w:val="18"/>
                <w:color w:val="auto"/>
                <w:w w:val="87"/>
              </w:rPr>
              <w:t xml:space="preserve"> day of February, 2009, by and between Bret</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Violette and Tree.com, Inc.*</w:t>
            </w:r>
          </w:p>
        </w:tc>
      </w:tr>
      <w:tr>
        <w:trPr>
          <w:trHeight w:val="385"/>
        </w:trPr>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88"/>
              </w:rPr>
              <w:t>Amended and Restated Restricted Share Grant and Shareholders' Agreement, dated as of July 7, 2003, by and among</w:t>
            </w:r>
          </w:p>
        </w:tc>
      </w:tr>
      <w:tr>
        <w:trPr>
          <w:trHeight w:val="216"/>
        </w:trPr>
        <w:tc>
          <w:tcPr>
            <w:tcW w:w="5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3"/>
              </w:rPr>
              <w:t>Forest Merger Corp., LendingTree, Inc., InterActiveCorp and the Grantees named therein, as amended (filed as</w:t>
            </w:r>
          </w:p>
        </w:tc>
      </w:tr>
      <w:tr>
        <w:trPr>
          <w:trHeight w:val="216"/>
        </w:trPr>
        <w:tc>
          <w:tcPr>
            <w:tcW w:w="5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1"/>
              </w:rPr>
              <w:t>Exhibit 99.4 to Amendment No. 1 to IAC/InterActiveCorp's Registration Statement on Form S-4 (SEC File No. 333-</w:t>
            </w:r>
          </w:p>
        </w:tc>
      </w:tr>
      <w:tr>
        <w:trPr>
          <w:trHeight w:val="216"/>
        </w:trPr>
        <w:tc>
          <w:tcPr>
            <w:tcW w:w="50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105876) filed on July 10, 2003 and incorporated herein by reference)*</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10.11</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1"/>
              </w:rPr>
              <w:t>Correspondent Loan Purchase Agreement, dated as of April 26, 2004, between CitiMortgage, Inc. and Home Loan</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Center, Inc.</w:t>
            </w:r>
          </w:p>
        </w:tc>
      </w:tr>
      <w:tr>
        <w:trPr>
          <w:trHeight w:val="642"/>
        </w:trPr>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w w:val="93"/>
              </w:rPr>
              <w:t>Loan Purchase Agreement, dated as of April 16, 2002, between Countrywide Home Loans, Inc. and Home Loan</w:t>
            </w:r>
          </w:p>
        </w:tc>
      </w:tr>
      <w:tr>
        <w:trPr>
          <w:trHeight w:val="222"/>
        </w:trPr>
        <w:tc>
          <w:tcPr>
            <w:tcW w:w="50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Center, Inc.</w:t>
            </w:r>
          </w:p>
        </w:tc>
      </w:tr>
      <w:tr>
        <w:trPr>
          <w:trHeight w:val="864"/>
        </w:trPr>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Tree.com, Inc. 2008 Stock and Annual Incentive Plan*</w:t>
            </w:r>
          </w:p>
        </w:tc>
      </w:tr>
      <w:tr>
        <w:trPr>
          <w:trHeight w:val="432"/>
        </w:trPr>
        <w:tc>
          <w:tcPr>
            <w:tcW w:w="500" w:type="dxa"/>
            <w:vAlign w:val="bottom"/>
          </w:tcPr>
          <w:p>
            <w:pPr>
              <w:spacing w:after="0"/>
              <w:rPr>
                <w:sz w:val="24"/>
                <w:szCs w:val="24"/>
                <w:color w:val="auto"/>
              </w:rPr>
            </w:pPr>
          </w:p>
        </w:tc>
        <w:tc>
          <w:tcPr>
            <w:tcW w:w="8520" w:type="dxa"/>
            <w:vAlign w:val="bottom"/>
            <w:gridSpan w:val="2"/>
          </w:tcPr>
          <w:p>
            <w:pPr>
              <w:ind w:left="512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4147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9" w:lineRule="auto"/>
        <w:rPr>
          <w:sz w:val="20"/>
          <w:szCs w:val="20"/>
          <w:color w:val="auto"/>
        </w:rPr>
      </w:pPr>
      <w:r>
        <w:rPr>
          <w:rFonts w:ascii="Arial" w:cs="Arial" w:eastAsia="Arial" w:hAnsi="Arial"/>
          <w:sz w:val="15"/>
          <w:szCs w:val="15"/>
          <w:color w:val="auto"/>
        </w:rPr>
        <w:t>Exhibit 10.4 to the Registrant's Current Report on Form 8-K filed August 25, 2008. Exhibit 10.5 to the Registrant's Current Report on Form 8-K filed August 25, 2008. Exhibit 10.6 to the Registrant's Current Report on Form 8-K file August 25, 2008.</w:t>
      </w:r>
    </w:p>
    <w:p>
      <w:pPr>
        <w:spacing w:after="0" w:line="16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Exhibit 10.5 to the Registrant's Registration Statement on Form S-1 (No. 333-152700), filed August 1, 2008.</w:t>
      </w:r>
    </w:p>
    <w:p>
      <w:pPr>
        <w:spacing w:after="0" w:line="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Exhibit 10.7 to the Registrant's Registration Statement on Form S-1 (No. 333-152700), filed August 1, 2008.</w:t>
      </w:r>
    </w:p>
    <w:p>
      <w:pPr>
        <w:spacing w:after="0" w:line="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Exhibit 10.1 to the Registrant's Current Report on Form 8-K filed February 5, 2009. Exhibit 10.8 to the Registrant's Registration Statement on Form S-1 (No. 333-152700), filed August 1, 2008.</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Exhibit 10.9 to the Registrant's Registration Statement on Form S-1 (No. 333-152700), filed August 1, 2008.</w:t>
      </w:r>
    </w:p>
    <w:p>
      <w:pPr>
        <w:spacing w:after="0" w:line="2" w:lineRule="exact"/>
        <w:rPr>
          <w:sz w:val="20"/>
          <w:szCs w:val="20"/>
          <w:color w:val="auto"/>
        </w:rPr>
      </w:pPr>
    </w:p>
    <w:p>
      <w:pPr>
        <w:ind w:right="440"/>
        <w:spacing w:after="0" w:line="290" w:lineRule="auto"/>
        <w:rPr>
          <w:sz w:val="20"/>
          <w:szCs w:val="20"/>
          <w:color w:val="auto"/>
        </w:rPr>
      </w:pPr>
      <w:r>
        <w:rPr>
          <w:rFonts w:ascii="Arial" w:cs="Arial" w:eastAsia="Arial" w:hAnsi="Arial"/>
          <w:sz w:val="16"/>
          <w:szCs w:val="16"/>
          <w:color w:val="auto"/>
        </w:rPr>
        <w:t>Exhibit 10.10 to the Registrant's Registration Statement on Form S-1 (No. 333-152700), filed August 1, 2008. †</w:t>
      </w:r>
    </w:p>
    <w:p>
      <w:pPr>
        <w:sectPr>
          <w:pgSz w:w="11900" w:h="16838" w:orient="portrait"/>
          <w:cols w:equalWidth="0" w:num="2">
            <w:col w:w="9020" w:space="180"/>
            <w:col w:w="21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80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802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10.14</w:t>
            </w:r>
          </w:p>
        </w:tc>
        <w:tc>
          <w:tcPr>
            <w:tcW w:w="1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Warehousing Credit Agreement, dated as of November 26, 2007, by and among Home Loan Center, Inc. d/b/a</w:t>
            </w:r>
          </w:p>
        </w:tc>
      </w:tr>
      <w:tr>
        <w:trPr>
          <w:trHeight w:val="216"/>
        </w:trPr>
        <w:tc>
          <w:tcPr>
            <w:tcW w:w="50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6"/>
              </w:rPr>
              <w:t>LendingTree Loans, National City Bank and National City Bank in its capacity as Agent for the Banks (as</w:t>
            </w:r>
          </w:p>
        </w:tc>
      </w:tr>
      <w:tr>
        <w:trPr>
          <w:trHeight w:val="222"/>
        </w:trPr>
        <w:tc>
          <w:tcPr>
            <w:tcW w:w="50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defined therein)</w:t>
            </w:r>
          </w:p>
        </w:tc>
      </w:tr>
      <w:tr>
        <w:trPr>
          <w:trHeight w:val="467"/>
        </w:trPr>
        <w:tc>
          <w:tcPr>
            <w:tcW w:w="500" w:type="dxa"/>
            <w:vAlign w:val="bottom"/>
          </w:tcPr>
          <w:p>
            <w:pPr>
              <w:jc w:val="right"/>
              <w:spacing w:after="0"/>
              <w:rPr>
                <w:sz w:val="20"/>
                <w:szCs w:val="20"/>
                <w:color w:val="auto"/>
              </w:rPr>
            </w:pPr>
            <w:r>
              <w:rPr>
                <w:rFonts w:ascii="Arial" w:cs="Arial" w:eastAsia="Arial" w:hAnsi="Arial"/>
                <w:sz w:val="18"/>
                <w:szCs w:val="18"/>
                <w:color w:val="auto"/>
              </w:rPr>
              <w:t>10.15</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89"/>
              </w:rPr>
              <w:t>Second Amendment to Warehousing Credit Agreement, made and entered into as of the 12</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day of December,</w:t>
            </w:r>
          </w:p>
        </w:tc>
      </w:tr>
      <w:tr>
        <w:trPr>
          <w:trHeight w:val="255"/>
        </w:trPr>
        <w:tc>
          <w:tcPr>
            <w:tcW w:w="500" w:type="dxa"/>
            <w:vAlign w:val="bottom"/>
          </w:tcPr>
          <w:p>
            <w:pPr>
              <w:spacing w:after="0"/>
              <w:rPr>
                <w:sz w:val="22"/>
                <w:szCs w:val="22"/>
                <w:color w:val="auto"/>
              </w:rPr>
            </w:pPr>
          </w:p>
        </w:tc>
        <w:tc>
          <w:tcPr>
            <w:tcW w:w="8180" w:type="dxa"/>
            <w:vAlign w:val="bottom"/>
            <w:gridSpan w:val="2"/>
          </w:tcPr>
          <w:p>
            <w:pPr>
              <w:ind w:left="160"/>
              <w:spacing w:after="0" w:line="255" w:lineRule="exact"/>
              <w:rPr>
                <w:sz w:val="20"/>
                <w:szCs w:val="20"/>
                <w:color w:val="auto"/>
              </w:rPr>
            </w:pPr>
            <w:r>
              <w:rPr>
                <w:rFonts w:ascii="Arial" w:cs="Arial" w:eastAsia="Arial" w:hAnsi="Arial"/>
                <w:sz w:val="18"/>
                <w:szCs w:val="18"/>
                <w:color w:val="auto"/>
                <w:w w:val="91"/>
              </w:rPr>
              <w:t>2008, and to be effective as of the 30</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day of December, 2008, by and among Home Loan Center, Inc. d/b/a</w:t>
            </w:r>
          </w:p>
        </w:tc>
      </w:tr>
      <w:tr>
        <w:trPr>
          <w:trHeight w:val="216"/>
        </w:trPr>
        <w:tc>
          <w:tcPr>
            <w:tcW w:w="50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6"/>
              </w:rPr>
              <w:t>LendingTree Loans, National City Bank and National City Bank in its capacity as Agent for the Banks (as</w:t>
            </w:r>
          </w:p>
        </w:tc>
      </w:tr>
      <w:tr>
        <w:trPr>
          <w:trHeight w:val="216"/>
        </w:trPr>
        <w:tc>
          <w:tcPr>
            <w:tcW w:w="50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defined therein).</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10.16</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88"/>
              </w:rPr>
              <w:t>Master Repurchase Agreement, dated as of January 25, 2008, by and among Countrywide Bank, FSB and Home</w:t>
            </w:r>
          </w:p>
        </w:tc>
      </w:tr>
      <w:tr>
        <w:trPr>
          <w:trHeight w:val="222"/>
        </w:trPr>
        <w:tc>
          <w:tcPr>
            <w:tcW w:w="50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Loan Center, Inc. (the "Master Repurchase Agreement")</w:t>
            </w:r>
          </w:p>
        </w:tc>
      </w:tr>
      <w:tr>
        <w:trPr>
          <w:trHeight w:val="642"/>
        </w:trPr>
        <w:tc>
          <w:tcPr>
            <w:tcW w:w="500" w:type="dxa"/>
            <w:vAlign w:val="bottom"/>
          </w:tcPr>
          <w:p>
            <w:pPr>
              <w:jc w:val="right"/>
              <w:spacing w:after="0"/>
              <w:rPr>
                <w:sz w:val="20"/>
                <w:szCs w:val="20"/>
                <w:color w:val="auto"/>
              </w:rPr>
            </w:pPr>
            <w:r>
              <w:rPr>
                <w:rFonts w:ascii="Arial" w:cs="Arial" w:eastAsia="Arial" w:hAnsi="Arial"/>
                <w:sz w:val="18"/>
                <w:szCs w:val="18"/>
                <w:color w:val="auto"/>
              </w:rPr>
              <w:t>10.17</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0"/>
              </w:rPr>
              <w:t>Notice, dated June 25, 2008, issued by Countrywide Warehouse Lending, regarding certain amendments to the</w:t>
            </w:r>
          </w:p>
        </w:tc>
      </w:tr>
      <w:tr>
        <w:trPr>
          <w:trHeight w:val="222"/>
        </w:trPr>
        <w:tc>
          <w:tcPr>
            <w:tcW w:w="50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Master Repurchase Agreement</w:t>
            </w:r>
          </w:p>
        </w:tc>
      </w:tr>
      <w:tr>
        <w:trPr>
          <w:trHeight w:val="642"/>
        </w:trPr>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2"/>
              </w:rPr>
              <w:t>Amendment to Master Repurchase Agreement No. 1 made and entered into as of February 23, 2009 by and</w:t>
            </w:r>
          </w:p>
        </w:tc>
      </w:tr>
      <w:tr>
        <w:trPr>
          <w:trHeight w:val="222"/>
        </w:trPr>
        <w:tc>
          <w:tcPr>
            <w:tcW w:w="50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between the Warehouse Lending Division of Countrywide Bank, FSB and Home Loan Center, Inc.</w:t>
            </w:r>
          </w:p>
        </w:tc>
      </w:tr>
      <w:tr>
        <w:trPr>
          <w:trHeight w:val="432"/>
        </w:trPr>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Deferred Compensation Plan for Non-Employee Directors*</w:t>
            </w:r>
          </w:p>
        </w:tc>
      </w:tr>
      <w:tr>
        <w:trPr>
          <w:trHeight w:val="864"/>
        </w:trPr>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Employment Agreement between Matt Packey and LendingTree, LLC, dated as of August 3, 2008*</w:t>
            </w:r>
          </w:p>
        </w:tc>
      </w:tr>
      <w:tr>
        <w:trPr>
          <w:trHeight w:val="864"/>
        </w:trPr>
        <w:tc>
          <w:tcPr>
            <w:tcW w:w="500" w:type="dxa"/>
            <w:vAlign w:val="bottom"/>
          </w:tcPr>
          <w:p>
            <w:pPr>
              <w:jc w:val="right"/>
              <w:spacing w:after="0"/>
              <w:rPr>
                <w:sz w:val="20"/>
                <w:szCs w:val="20"/>
                <w:color w:val="auto"/>
              </w:rPr>
            </w:pPr>
            <w:r>
              <w:rPr>
                <w:rFonts w:ascii="Arial" w:cs="Arial" w:eastAsia="Arial" w:hAnsi="Arial"/>
                <w:sz w:val="18"/>
                <w:szCs w:val="18"/>
                <w:color w:val="auto"/>
              </w:rPr>
              <w:t>10.21</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3"/>
              </w:rPr>
              <w:t>Employment Agreement between Douglas R. Lebda and IAC/InterActiveCorp, dated as of January 7, 2008*</w:t>
            </w:r>
          </w:p>
        </w:tc>
      </w:tr>
      <w:tr>
        <w:trPr>
          <w:trHeight w:val="858"/>
        </w:trPr>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0"/>
              </w:rPr>
              <w:t>Amendment No. 1 to Employment Agreement between Douglas R. Lebda and IAC/InterActiveCorp, dated as of</w:t>
            </w:r>
          </w:p>
        </w:tc>
      </w:tr>
      <w:tr>
        <w:trPr>
          <w:trHeight w:val="222"/>
        </w:trPr>
        <w:tc>
          <w:tcPr>
            <w:tcW w:w="50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August 15, 2008*</w:t>
            </w:r>
          </w:p>
        </w:tc>
      </w:tr>
      <w:tr>
        <w:trPr>
          <w:trHeight w:val="648"/>
        </w:trPr>
        <w:tc>
          <w:tcPr>
            <w:tcW w:w="500" w:type="dxa"/>
            <w:vAlign w:val="bottom"/>
          </w:tcPr>
          <w:p>
            <w:pPr>
              <w:spacing w:after="0"/>
              <w:rPr>
                <w:sz w:val="24"/>
                <w:szCs w:val="24"/>
                <w:color w:val="auto"/>
              </w:rPr>
            </w:pPr>
          </w:p>
        </w:tc>
        <w:tc>
          <w:tcPr>
            <w:tcW w:w="8180" w:type="dxa"/>
            <w:vAlign w:val="bottom"/>
            <w:gridSpan w:val="2"/>
          </w:tcPr>
          <w:p>
            <w:pPr>
              <w:ind w:left="5120"/>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6376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Exhibit 10.12 to the Registrant's Registration Statement on Form S-1 (No. 333-152700), filed August 1, 2008.</w:t>
      </w:r>
    </w:p>
    <w:p>
      <w:pPr>
        <w:ind w:right="160"/>
        <w:spacing w:after="0" w:line="302" w:lineRule="auto"/>
        <w:rPr>
          <w:sz w:val="20"/>
          <w:szCs w:val="20"/>
          <w:color w:val="auto"/>
        </w:rPr>
      </w:pPr>
      <w:r>
        <w:rPr>
          <w:rFonts w:ascii="Arial" w:cs="Arial" w:eastAsia="Arial" w:hAnsi="Arial"/>
          <w:sz w:val="16"/>
          <w:szCs w:val="16"/>
          <w:color w:val="auto"/>
        </w:rPr>
        <w:t>Exhibit 10.1 to the Registrant's Current Report on Form 8-K filed December 17, 2008.</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10.13 to the Registrant's Registration Statement on Form S-1 (No. 333-152700), filed August 1, 2008.</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10.14 to the Registrant's Registration Statement on Form S-1 (No. 333-152700), filed August 1, 2008.</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Exhibit 10.1 to the Registrant's Current Report on Form 8-K filed February 27, 2009.</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10.15 to the Registrant's Registration Statement on Form S-1 (No. 333-152700), filed August 1, 2008.</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10.16 to the Registrant's Registration Statement on Form S-1 (No. 333-152700), filed August 1, 2008.</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10.6 to the Registrant's Registration Statement on Form S-1 (No. 333-152700), filed August 1, 2008.</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Exhibit 99.1 to the Registrant's Current Report on Form 8-K filed August 20, 2008.</w:t>
      </w:r>
    </w:p>
    <w:p>
      <w:pPr>
        <w:sectPr>
          <w:pgSz w:w="11900" w:h="16838" w:orient="portrait"/>
          <w:cols w:equalWidth="0" w:num="2">
            <w:col w:w="8680" w:space="160"/>
            <w:col w:w="254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7"/>
                <w:szCs w:val="17"/>
                <w:color w:val="auto"/>
              </w:rPr>
            </w:pPr>
          </w:p>
        </w:tc>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rPr>
              <w:t>Restricted Share Grant and Stockholder's Agreement, dated as of August 15, 2008, by and among</w:t>
            </w:r>
          </w:p>
        </w:tc>
      </w:tr>
      <w:tr>
        <w:trPr>
          <w:trHeight w:val="216"/>
        </w:trPr>
        <w:tc>
          <w:tcPr>
            <w:tcW w:w="50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5"/>
              </w:rPr>
              <w:t>IAC/InterActiveCorp, LendingTree Holdings Corp. and Douglas R. Lebda, together with Exhibit A thereto,</w:t>
            </w:r>
          </w:p>
        </w:tc>
      </w:tr>
      <w:tr>
        <w:trPr>
          <w:trHeight w:val="216"/>
        </w:trPr>
        <w:tc>
          <w:tcPr>
            <w:tcW w:w="50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 of LendingTree Holdings Corp.*</w:t>
            </w:r>
          </w:p>
        </w:tc>
      </w:tr>
      <w:tr>
        <w:trPr>
          <w:trHeight w:val="222"/>
        </w:trPr>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9"/>
              </w:rPr>
              <w:t>Stock Purchase Agreement, dated February 8, 2009, between Tree.com, Inc. and Douglas R. Lebda*</w:t>
            </w:r>
          </w:p>
        </w:tc>
      </w:tr>
      <w:tr>
        <w:trPr>
          <w:trHeight w:val="642"/>
        </w:trPr>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Subsidiaries of Tree.com, Inc.</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5"/>
              </w:rPr>
              <w:t>Certification of the Chief Executive Officer pursuant to Rule 13a-14(a) or Rule 15d-14(a) of the Securities</w:t>
            </w:r>
          </w:p>
        </w:tc>
      </w:tr>
      <w:tr>
        <w:trPr>
          <w:trHeight w:val="216"/>
        </w:trPr>
        <w:tc>
          <w:tcPr>
            <w:tcW w:w="50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6"/>
              </w:rPr>
              <w:t>Certification of the Chief Financial Officer pursuant to Rule 13a-14(a) or Rule 15d-14(a) of the Securities</w:t>
            </w:r>
          </w:p>
        </w:tc>
      </w:tr>
      <w:tr>
        <w:trPr>
          <w:trHeight w:val="216"/>
        </w:trPr>
        <w:tc>
          <w:tcPr>
            <w:tcW w:w="50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8"/>
              </w:rPr>
              <w:t>Certification of the Chief Executive Officer pursuant to 18 U.S.C. Section 1350 as adopted pursuant to</w:t>
            </w:r>
          </w:p>
        </w:tc>
      </w:tr>
      <w:tr>
        <w:trPr>
          <w:trHeight w:val="216"/>
        </w:trPr>
        <w:tc>
          <w:tcPr>
            <w:tcW w:w="50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w:t>
            </w:r>
          </w:p>
        </w:tc>
      </w:tr>
      <w:tr>
        <w:trPr>
          <w:trHeight w:val="222"/>
        </w:trPr>
        <w:tc>
          <w:tcPr>
            <w:tcW w:w="500" w:type="dxa"/>
            <w:vAlign w:val="bottom"/>
          </w:tcPr>
          <w:p>
            <w:pPr>
              <w:spacing w:after="0"/>
              <w:rPr>
                <w:sz w:val="19"/>
                <w:szCs w:val="19"/>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r>
      <w:tr>
        <w:trPr>
          <w:trHeight w:val="110"/>
        </w:trPr>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5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management contracts and management and director compensatory plans.</w:t>
      </w:r>
    </w:p>
    <w:p>
      <w:pPr>
        <w:spacing w:after="0" w:line="25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6465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Exhibits 99.2 and 99.3 to the Registrant's Current Report on Form 8-K filed August 20, 2008. Exhibit 10.1 to the Registrant's Current Report on Form 8-K filed February 11, 2009.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660" w:space="160"/>
            <w:col w:w="2400"/>
          </w:cols>
          <w:pgMar w:left="240" w:top="131" w:right="4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71120</wp:posOffset>
            </wp:positionV>
            <wp:extent cx="18180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8" w:lineRule="exact"/>
        <w:rPr>
          <w:sz w:val="20"/>
          <w:szCs w:val="20"/>
          <w:color w:val="auto"/>
        </w:rPr>
      </w:pPr>
    </w:p>
    <w:p>
      <w:pPr>
        <w:jc w:val="center"/>
        <w:ind w:left="352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352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35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in each case on February 26, 2009:</w:t>
      </w:r>
    </w:p>
    <w:p>
      <w:pPr>
        <w:spacing w:after="0" w:line="182" w:lineRule="exact"/>
        <w:rPr>
          <w:sz w:val="20"/>
          <w:szCs w:val="20"/>
          <w:color w:val="auto"/>
        </w:rPr>
      </w:pPr>
    </w:p>
    <w:p>
      <w:pPr>
        <w:ind w:left="3500"/>
        <w:spacing w:after="0"/>
        <w:tabs>
          <w:tab w:leader="none" w:pos="7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/s/ DOUGLAS R. LEBDA</w:t>
            </w:r>
          </w:p>
        </w:tc>
        <w:tc>
          <w:tcPr>
            <w:tcW w:w="6100" w:type="dxa"/>
            <w:vAlign w:val="bottom"/>
          </w:tcPr>
          <w:p>
            <w:pPr>
              <w:ind w:left="12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103"/>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vMerge w:val="restart"/>
          </w:tcPr>
          <w:p>
            <w:pPr>
              <w:ind w:left="120"/>
              <w:spacing w:after="0"/>
              <w:rPr>
                <w:sz w:val="20"/>
                <w:szCs w:val="20"/>
                <w:color w:val="auto"/>
              </w:rPr>
            </w:pPr>
            <w:r>
              <w:rPr>
                <w:rFonts w:ascii="Arial" w:cs="Arial" w:eastAsia="Arial" w:hAnsi="Arial"/>
                <w:sz w:val="18"/>
                <w:szCs w:val="18"/>
                <w:color w:val="auto"/>
              </w:rPr>
              <w:t>and Director (Principal Executive Officer)</w:t>
            </w:r>
          </w:p>
        </w:tc>
        <w:tc>
          <w:tcPr>
            <w:tcW w:w="0" w:type="dxa"/>
            <w:vAlign w:val="bottom"/>
          </w:tcPr>
          <w:p>
            <w:pPr>
              <w:spacing w:after="0"/>
              <w:rPr>
                <w:sz w:val="1"/>
                <w:szCs w:val="1"/>
                <w:color w:val="auto"/>
              </w:rPr>
            </w:pPr>
          </w:p>
        </w:tc>
      </w:tr>
      <w:tr>
        <w:trPr>
          <w:trHeight w:val="100"/>
        </w:trPr>
        <w:tc>
          <w:tcPr>
            <w:tcW w:w="2280" w:type="dxa"/>
            <w:vAlign w:val="bottom"/>
          </w:tcPr>
          <w:p>
            <w:pPr>
              <w:spacing w:after="0"/>
              <w:rPr>
                <w:sz w:val="8"/>
                <w:szCs w:val="8"/>
                <w:color w:val="auto"/>
              </w:rPr>
            </w:pP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88"/>
              </w:rPr>
              <w:t>Douglas R. Lebda</w:t>
            </w: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3040" w:type="dxa"/>
            <w:vAlign w:val="bottom"/>
            <w:vMerge w:val="continue"/>
          </w:tcPr>
          <w:p>
            <w:pPr>
              <w:spacing w:after="0"/>
              <w:rPr>
                <w:sz w:val="16"/>
                <w:szCs w:val="16"/>
                <w:color w:val="auto"/>
              </w:rPr>
            </w:pPr>
          </w:p>
        </w:tc>
        <w:tc>
          <w:tcPr>
            <w:tcW w:w="6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/s/ MATTHEW A. PACKEY</w:t>
            </w:r>
          </w:p>
        </w:tc>
        <w:tc>
          <w:tcPr>
            <w:tcW w:w="610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w:t>
            </w:r>
          </w:p>
        </w:tc>
        <w:tc>
          <w:tcPr>
            <w:tcW w:w="0" w:type="dxa"/>
            <w:vAlign w:val="bottom"/>
          </w:tcPr>
          <w:p>
            <w:pPr>
              <w:spacing w:after="0"/>
              <w:rPr>
                <w:sz w:val="1"/>
                <w:szCs w:val="1"/>
                <w:color w:val="auto"/>
              </w:rPr>
            </w:pPr>
          </w:p>
        </w:tc>
      </w:tr>
      <w:tr>
        <w:trPr>
          <w:trHeight w:val="103"/>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vMerge w:val="restart"/>
          </w:tcPr>
          <w:p>
            <w:pPr>
              <w:ind w:left="120"/>
              <w:spacing w:after="0"/>
              <w:rPr>
                <w:sz w:val="20"/>
                <w:szCs w:val="20"/>
                <w:color w:val="auto"/>
              </w:rPr>
            </w:pPr>
            <w:r>
              <w:rPr>
                <w:rFonts w:ascii="Arial" w:cs="Arial" w:eastAsia="Arial" w:hAnsi="Arial"/>
                <w:sz w:val="18"/>
                <w:szCs w:val="18"/>
                <w:color w:val="auto"/>
              </w:rPr>
              <w:t>Officer (Principal Financial and Accounting Officer)</w:t>
            </w:r>
          </w:p>
        </w:tc>
        <w:tc>
          <w:tcPr>
            <w:tcW w:w="0" w:type="dxa"/>
            <w:vAlign w:val="bottom"/>
          </w:tcPr>
          <w:p>
            <w:pPr>
              <w:spacing w:after="0"/>
              <w:rPr>
                <w:sz w:val="1"/>
                <w:szCs w:val="1"/>
                <w:color w:val="auto"/>
              </w:rPr>
            </w:pPr>
          </w:p>
        </w:tc>
      </w:tr>
      <w:tr>
        <w:trPr>
          <w:trHeight w:val="100"/>
        </w:trPr>
        <w:tc>
          <w:tcPr>
            <w:tcW w:w="2280" w:type="dxa"/>
            <w:vAlign w:val="bottom"/>
          </w:tcPr>
          <w:p>
            <w:pPr>
              <w:spacing w:after="0"/>
              <w:rPr>
                <w:sz w:val="8"/>
                <w:szCs w:val="8"/>
                <w:color w:val="auto"/>
              </w:rPr>
            </w:pP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0"/>
              </w:rPr>
              <w:t>Matthew A. Packey</w:t>
            </w: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3040" w:type="dxa"/>
            <w:vAlign w:val="bottom"/>
            <w:vMerge w:val="continue"/>
          </w:tcPr>
          <w:p>
            <w:pPr>
              <w:spacing w:after="0"/>
              <w:rPr>
                <w:sz w:val="16"/>
                <w:szCs w:val="16"/>
                <w:color w:val="auto"/>
              </w:rPr>
            </w:pPr>
          </w:p>
        </w:tc>
        <w:tc>
          <w:tcPr>
            <w:tcW w:w="6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/s/ PETER HORAN</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6"/>
              </w:rPr>
              <w:t>Peter Horan</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/s/ W. MAC LACKEY</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W. Mac Lackey</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/s/ JOSEPH LEVIN</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6"/>
              </w:rPr>
              <w:t>Joseph Levin</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/s/ PATRICK MCCRORY</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Patrick McCrory</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/s/ LANCE MELBER</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Lance Melber</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/s/ STEVE OZONIAN</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28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Steve Ozonian</w:t>
            </w:r>
          </w:p>
        </w:tc>
        <w:tc>
          <w:tcPr>
            <w:tcW w:w="6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8"/>
        </w:trPr>
        <w:tc>
          <w:tcPr>
            <w:tcW w:w="228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TREE.COM, INC. AND SUBSIDIARIES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Charges to</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Charges to</w:t>
            </w:r>
          </w:p>
        </w:tc>
        <w:tc>
          <w:tcPr>
            <w:tcW w:w="8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3"/>
              </w:rPr>
              <w:t>Description</w:t>
            </w:r>
          </w:p>
        </w:tc>
        <w:tc>
          <w:tcPr>
            <w:tcW w:w="2500" w:type="dxa"/>
            <w:vAlign w:val="bottom"/>
            <w:gridSpan w:val="2"/>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1"/>
              </w:rPr>
              <w:t>Deductions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597</w:t>
            </w:r>
          </w:p>
        </w:tc>
        <w:tc>
          <w:tcPr>
            <w:tcW w:w="3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(552(b)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68,830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(6,768)(a)</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3"/>
              </w:rPr>
              <w:t>Reserve for losses on previously sold loans</w:t>
            </w:r>
          </w:p>
        </w:tc>
        <w:tc>
          <w:tcPr>
            <w:tcW w:w="2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13,886</w:t>
            </w:r>
          </w:p>
        </w:tc>
        <w:tc>
          <w:tcPr>
            <w:tcW w:w="120" w:type="dxa"/>
            <w:vAlign w:val="bottom"/>
          </w:tcPr>
          <w:p>
            <w:pPr>
              <w:spacing w:after="0"/>
              <w:rPr>
                <w:sz w:val="18"/>
                <w:szCs w:val="18"/>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1,344</w:t>
            </w:r>
          </w:p>
        </w:tc>
        <w:tc>
          <w:tcPr>
            <w:tcW w:w="3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(4,779)</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1,925</w:t>
            </w:r>
          </w:p>
        </w:tc>
        <w:tc>
          <w:tcPr>
            <w:tcW w:w="3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(2,732(b)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62,995(a)</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3"/>
              </w:rPr>
              <w:t>Reserve for losses on previously sold loans</w:t>
            </w:r>
          </w:p>
        </w:tc>
        <w:tc>
          <w:tcPr>
            <w:tcW w:w="2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18"/>
                <w:szCs w:val="18"/>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15,539</w:t>
            </w:r>
          </w:p>
        </w:tc>
        <w:tc>
          <w:tcPr>
            <w:tcW w:w="3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(5,473)</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1,768</w:t>
            </w:r>
          </w:p>
        </w:tc>
        <w:tc>
          <w:tcPr>
            <w:tcW w:w="3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(1,366(b)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2,183(a)</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3"/>
              </w:rPr>
              <w:t>Reserve for losses on previously sold loans</w:t>
            </w:r>
          </w:p>
        </w:tc>
        <w:tc>
          <w:tcPr>
            <w:tcW w:w="2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6,193</w:t>
            </w:r>
          </w:p>
        </w:tc>
        <w:tc>
          <w:tcPr>
            <w:tcW w:w="3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(5,437)</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is primarily related to Tree.com net operating losses and other deferred tax assets including accrued expenses and goodwill which impacted the income tax provision.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rFonts w:ascii="Arial" w:cs="Arial" w:eastAsia="Arial" w:hAnsi="Arial"/>
          <w:sz w:val="22"/>
          <w:szCs w:val="22"/>
          <w:color w:val="0000EE"/>
        </w:rPr>
      </w:pPr>
      <w:hyperlink w:anchor="page11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2008 STOCK AND ANNUAL INCENTIVE PLAN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 Purpose; Definition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purpose of this Plan is (a) to give the Company a competitive advantage in attracting, retaining and motivating officers, employees, directors and/or consultants and to provide the Company and its Subsidiaries and Affiliates with a stock and incentive plan providing incentives directly linked to stockholder value and (b) to assume and govern other awards pursuant to the adjustment of awards granted under any IAC Long Term Incentive Plan (as defined in the Employee Matters Agreement) in accordance with the terms of the Employee Matters Agreement ("</w:t>
      </w:r>
      <w:r>
        <w:rPr>
          <w:rFonts w:ascii="Arial" w:cs="Arial" w:eastAsia="Arial" w:hAnsi="Arial"/>
          <w:sz w:val="16"/>
          <w:szCs w:val="16"/>
          <w:i w:val="1"/>
          <w:iCs w:val="1"/>
          <w:color w:val="auto"/>
        </w:rPr>
        <w:t>Adjusted Awards</w:t>
      </w:r>
      <w:r>
        <w:rPr>
          <w:rFonts w:ascii="Arial" w:cs="Arial" w:eastAsia="Arial" w:hAnsi="Arial"/>
          <w:sz w:val="16"/>
          <w:szCs w:val="16"/>
          <w:color w:val="auto"/>
        </w:rPr>
        <w:t>"). Certain terms used herein have definitions given to them in the first place in which they are used. In addition, for purposes of this Plan, the following terms are defined as set forth below:</w:t>
      </w:r>
    </w:p>
    <w:p>
      <w:pPr>
        <w:spacing w:after="0" w:line="170"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or other entity controlled by, controlling or under common control with, the Company.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Exchange</w:t>
      </w:r>
      <w:r>
        <w:rPr>
          <w:rFonts w:ascii="Arial" w:cs="Arial" w:eastAsia="Arial" w:hAnsi="Arial"/>
          <w:sz w:val="16"/>
          <w:szCs w:val="16"/>
          <w:color w:val="auto"/>
        </w:rPr>
        <w:t>" means Nasdaq or such other securities exchange as may at the applicable time be the principal market for the Common Stock.</w:t>
      </w:r>
    </w:p>
    <w:p>
      <w:pPr>
        <w:spacing w:after="0" w:line="248" w:lineRule="exact"/>
        <w:rPr>
          <w:rFonts w:ascii="Arial" w:cs="Arial" w:eastAsia="Arial" w:hAnsi="Arial"/>
          <w:sz w:val="16"/>
          <w:szCs w:val="16"/>
          <w:color w:val="auto"/>
        </w:rPr>
      </w:pPr>
    </w:p>
    <w:p>
      <w:pPr>
        <w:ind w:right="120" w:firstLine="359"/>
        <w:spacing w:after="0" w:line="268" w:lineRule="auto"/>
        <w:tabs>
          <w:tab w:leader="none" w:pos="6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Option, Stock Appreciation Right, Restricted Stock, Restricted Stock Unit, or other stock-based award granted or assumed pursuant to the terms of this Plan, including Adjusted Awards.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or electronic document or agreement setting forth the terms and conditions of a specific Award.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shall have the meaning given in Rule 13d-3 promulgated under the Exchange Act.</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 bonus award made pursuant to Section 9.</w:t>
      </w:r>
    </w:p>
    <w:p>
      <w:pPr>
        <w:spacing w:after="0" w:line="225" w:lineRule="exact"/>
        <w:rPr>
          <w:rFonts w:ascii="Arial" w:cs="Arial" w:eastAsia="Arial" w:hAnsi="Arial"/>
          <w:sz w:val="18"/>
          <w:szCs w:val="18"/>
          <w:color w:val="auto"/>
        </w:rPr>
      </w:pPr>
    </w:p>
    <w:p>
      <w:pPr>
        <w:ind w:right="60" w:firstLine="359"/>
        <w:spacing w:after="0" w:line="290" w:lineRule="auto"/>
        <w:tabs>
          <w:tab w:leader="none" w:pos="6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xml:space="preserve">"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owed to the Company or any of its Affiliates; or (E) before a 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10(c).</w:t>
      </w:r>
    </w:p>
    <w:p>
      <w:pPr>
        <w:spacing w:after="0" w:line="225" w:lineRule="exact"/>
        <w:rPr>
          <w:rFonts w:ascii="Arial" w:cs="Arial" w:eastAsia="Arial" w:hAnsi="Arial"/>
          <w:sz w:val="18"/>
          <w:szCs w:val="18"/>
          <w:color w:val="auto"/>
        </w:rPr>
      </w:pPr>
    </w:p>
    <w:p>
      <w:pPr>
        <w:ind w:right="180" w:firstLine="359"/>
        <w:spacing w:after="0" w:line="306" w:lineRule="auto"/>
        <w:tabs>
          <w:tab w:leader="none" w:pos="6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set forth in Section 2(a).</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par value $0.01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0" w:name="page101"/>
    <w:bookmarkEnd w:id="100"/>
    <w:p>
      <w:pPr>
        <w:ind w:left="692" w:hanging="341"/>
        <w:spacing w:after="0"/>
        <w:tabs>
          <w:tab w:leader="none" w:pos="6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Tree.com, Inc., a Delaware corporation, or its successor.</w:t>
      </w:r>
    </w:p>
    <w:p>
      <w:pPr>
        <w:spacing w:after="0" w:line="225" w:lineRule="exact"/>
        <w:rPr>
          <w:rFonts w:ascii="Arial" w:cs="Arial" w:eastAsia="Arial" w:hAnsi="Arial"/>
          <w:sz w:val="18"/>
          <w:szCs w:val="18"/>
          <w:color w:val="auto"/>
        </w:rPr>
      </w:pPr>
    </w:p>
    <w:p>
      <w:pPr>
        <w:ind w:left="-8" w:right="60" w:firstLine="359"/>
        <w:spacing w:after="0" w:line="289" w:lineRule="auto"/>
        <w:tabs>
          <w:tab w:leader="none" w:pos="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(i) "Disability" as defined in any Individual Agreement to which the Participant is a party, or (ii) if there is no such Individual Agreement or it does not define "Disability," (A) permanent and total disability as determined under the Company's long-term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or (ii) the Participant's "separation from service" within the meaning of Section 409A of the Code and (iii) the date such Award would otherwise be settled pursuant to the terms of the Award Agreement.</w:t>
      </w:r>
    </w:p>
    <w:p>
      <w:pPr>
        <w:spacing w:after="0" w:line="172" w:lineRule="exact"/>
        <w:rPr>
          <w:rFonts w:ascii="Arial" w:cs="Arial" w:eastAsia="Arial" w:hAnsi="Arial"/>
          <w:sz w:val="16"/>
          <w:szCs w:val="16"/>
          <w:color w:val="auto"/>
        </w:rPr>
      </w:pPr>
    </w:p>
    <w:p>
      <w:pPr>
        <w:ind w:left="-8" w:right="220" w:firstLine="359"/>
        <w:spacing w:after="0" w:line="332" w:lineRule="auto"/>
        <w:tabs>
          <w:tab w:leader="none" w:pos="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Disaffiliation</w:t>
      </w:r>
      <w:r>
        <w:rPr>
          <w:rFonts w:ascii="Arial" w:cs="Arial" w:eastAsia="Arial" w:hAnsi="Arial"/>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39" w:lineRule="exact"/>
        <w:rPr>
          <w:rFonts w:ascii="Arial" w:cs="Arial" w:eastAsia="Arial" w:hAnsi="Arial"/>
          <w:sz w:val="16"/>
          <w:szCs w:val="16"/>
          <w:color w:val="auto"/>
        </w:rPr>
      </w:pPr>
    </w:p>
    <w:p>
      <w:pPr>
        <w:jc w:val="both"/>
        <w:ind w:left="-8" w:right="220" w:firstLine="359"/>
        <w:spacing w:after="0" w:line="306" w:lineRule="auto"/>
        <w:tabs>
          <w:tab w:leader="none" w:pos="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EBITA</w:t>
      </w:r>
      <w:r>
        <w:rPr>
          <w:rFonts w:ascii="Arial" w:cs="Arial" w:eastAsia="Arial" w:hAnsi="Arial"/>
          <w:sz w:val="16"/>
          <w:szCs w:val="16"/>
          <w:color w:val="auto"/>
        </w:rPr>
        <w:t>" means for any period, operating profit (loss) plus (i) amortization, including goodwill impairment, (ii) amortization of non-cash distribution and marketing expense and non-cash compensation expense, (iii) restructuring charges, (iv) non-cash write-downs of assets or goodwill, (v) charges relating to disposal of lines of business, (vi) litigation settlement amounts and (vii) costs incurred for proposed and completed acquisitions.</w:t>
      </w:r>
    </w:p>
    <w:p>
      <w:pPr>
        <w:spacing w:after="0" w:line="160" w:lineRule="exact"/>
        <w:rPr>
          <w:rFonts w:ascii="Arial" w:cs="Arial" w:eastAsia="Arial" w:hAnsi="Arial"/>
          <w:sz w:val="16"/>
          <w:szCs w:val="16"/>
          <w:color w:val="auto"/>
        </w:rPr>
      </w:pPr>
    </w:p>
    <w:p>
      <w:pPr>
        <w:ind w:left="-8" w:right="80" w:firstLine="359"/>
        <w:spacing w:after="0" w:line="286" w:lineRule="auto"/>
        <w:tabs>
          <w:tab w:leader="none" w:pos="6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means for any period, operating profit (loss) plus (i) depreciation and amortization, including goodwill impairment, (ii) amortization of non-cash distribution and marketing expense and non-cash compensation expense, (iii) restructuring charges, (iv) non-cash write-downs of assets or goodwill,</w:t>
      </w:r>
    </w:p>
    <w:p>
      <w:pPr>
        <w:ind w:left="252" w:hanging="252"/>
        <w:spacing w:after="0"/>
        <w:tabs>
          <w:tab w:leader="none" w:pos="2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charges relating to disposal of lines of business, (vi) litigation settlement amounts and (vii) costs incurred for proposed and completed acquisitions.</w:t>
      </w:r>
    </w:p>
    <w:p>
      <w:pPr>
        <w:spacing w:after="0" w:line="241" w:lineRule="exact"/>
        <w:rPr>
          <w:rFonts w:ascii="Arial" w:cs="Arial" w:eastAsia="Arial" w:hAnsi="Arial"/>
          <w:sz w:val="16"/>
          <w:szCs w:val="16"/>
          <w:color w:val="auto"/>
        </w:rPr>
      </w:pPr>
    </w:p>
    <w:p>
      <w:pPr>
        <w:ind w:left="-8" w:right="400" w:firstLine="359"/>
        <w:spacing w:after="0" w:line="332"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Individuals</w:t>
      </w:r>
      <w:r>
        <w:rPr>
          <w:rFonts w:ascii="Arial" w:cs="Arial" w:eastAsia="Arial" w:hAnsi="Arial"/>
          <w:sz w:val="16"/>
          <w:szCs w:val="16"/>
          <w:color w:val="auto"/>
        </w:rPr>
        <w:t>" means directors, officers, employees and consultants of the Company or any of its Subsidiaries or Affiliates, and prospective employees and consultants who have accepted offers of employment or consultancy from the Company or its Subsidiaries or Affiliates.</w:t>
      </w:r>
    </w:p>
    <w:p>
      <w:pPr>
        <w:spacing w:after="0" w:line="139" w:lineRule="exact"/>
        <w:rPr>
          <w:rFonts w:ascii="Arial" w:cs="Arial" w:eastAsia="Arial" w:hAnsi="Arial"/>
          <w:sz w:val="16"/>
          <w:szCs w:val="16"/>
          <w:color w:val="auto"/>
        </w:rPr>
      </w:pPr>
    </w:p>
    <w:p>
      <w:pPr>
        <w:ind w:left="-8" w:right="40" w:firstLine="359"/>
        <w:spacing w:after="0" w:line="268" w:lineRule="auto"/>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Matters Agreement</w:t>
      </w:r>
      <w:r>
        <w:rPr>
          <w:rFonts w:ascii="Arial" w:cs="Arial" w:eastAsia="Arial" w:hAnsi="Arial"/>
          <w:sz w:val="18"/>
          <w:szCs w:val="18"/>
          <w:color w:val="auto"/>
        </w:rPr>
        <w:t>" means the Employee Matters Agreement by and among IAC, Ticketmaster, Interval Leisure Group, Inc., HSN, Inc. and Tree.com, Inc.</w:t>
      </w:r>
    </w:p>
    <w:p>
      <w:pPr>
        <w:spacing w:after="0" w:line="185" w:lineRule="exact"/>
        <w:rPr>
          <w:rFonts w:ascii="Arial" w:cs="Arial" w:eastAsia="Arial" w:hAnsi="Arial"/>
          <w:sz w:val="18"/>
          <w:szCs w:val="18"/>
          <w:color w:val="auto"/>
        </w:rPr>
      </w:pPr>
    </w:p>
    <w:p>
      <w:pPr>
        <w:ind w:left="692" w:hanging="341"/>
        <w:spacing w:after="0"/>
        <w:tabs>
          <w:tab w:leader="none" w:pos="6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 successor thereto.</w:t>
      </w:r>
    </w:p>
    <w:p>
      <w:pPr>
        <w:spacing w:after="0" w:line="225" w:lineRule="exact"/>
        <w:rPr>
          <w:rFonts w:ascii="Arial" w:cs="Arial" w:eastAsia="Arial" w:hAnsi="Arial"/>
          <w:sz w:val="18"/>
          <w:szCs w:val="18"/>
          <w:color w:val="auto"/>
        </w:rPr>
      </w:pPr>
    </w:p>
    <w:p>
      <w:pPr>
        <w:jc w:val="both"/>
        <w:ind w:left="-8" w:firstLine="359"/>
        <w:spacing w:after="0" w:line="323" w:lineRule="auto"/>
        <w:tabs>
          <w:tab w:leader="none" w:pos="6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taking into account, to the extent appropriate, the requirements of Section 409A of the Code.</w:t>
      </w:r>
    </w:p>
    <w:p>
      <w:pPr>
        <w:spacing w:after="0" w:line="151" w:lineRule="exact"/>
        <w:rPr>
          <w:rFonts w:ascii="Arial" w:cs="Arial" w:eastAsia="Arial" w:hAnsi="Arial"/>
          <w:sz w:val="15"/>
          <w:szCs w:val="15"/>
          <w:color w:val="auto"/>
        </w:rPr>
      </w:pPr>
    </w:p>
    <w:p>
      <w:pPr>
        <w:ind w:left="692" w:hanging="341"/>
        <w:spacing w:after="0"/>
        <w:tabs>
          <w:tab w:leader="none" w:pos="6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25" w:lineRule="exact"/>
        <w:rPr>
          <w:rFonts w:ascii="Arial" w:cs="Arial" w:eastAsia="Arial" w:hAnsi="Arial"/>
          <w:sz w:val="18"/>
          <w:szCs w:val="18"/>
          <w:color w:val="auto"/>
        </w:rPr>
      </w:pPr>
    </w:p>
    <w:p>
      <w:pPr>
        <w:ind w:left="-8" w:right="100" w:firstLine="359"/>
        <w:spacing w:after="0" w:line="332" w:lineRule="auto"/>
        <w:tabs>
          <w:tab w:leader="none" w:pos="6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Date</w:t>
      </w:r>
      <w:r>
        <w:rPr>
          <w:rFonts w:ascii="Arial" w:cs="Arial" w:eastAsia="Arial" w:hAnsi="Arial"/>
          <w:sz w:val="16"/>
          <w:szCs w:val="16"/>
          <w:color w:val="auto"/>
        </w:rPr>
        <w:t>" means (i) the date on which the Committee by resolution selects an Eligible Individual to receive a grant of an Award and determines the number of Shares to be subject to such Award or the formula for earning a number of shares or cash amount, (ii) such later date as the</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Committee shall provide in such resolution or (iii) the initial date on which an Adjusted Award was granted under the IAC Long Term Incentive Plan.</w:t>
      </w:r>
    </w:p>
    <w:p>
      <w:pPr>
        <w:spacing w:after="0" w:line="248" w:lineRule="exact"/>
        <w:rPr>
          <w:sz w:val="20"/>
          <w:szCs w:val="20"/>
          <w:color w:val="auto"/>
        </w:rPr>
      </w:pPr>
    </w:p>
    <w:p>
      <w:pPr>
        <w:ind w:left="700" w:hanging="34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shall have the meaning given in Section 13(d)(3) and 14(d)(2) of the Exchange Act.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IAC</w:t>
      </w:r>
      <w:r>
        <w:rPr>
          <w:rFonts w:ascii="Arial" w:cs="Arial" w:eastAsia="Arial" w:hAnsi="Arial"/>
          <w:sz w:val="18"/>
          <w:szCs w:val="18"/>
          <w:color w:val="auto"/>
        </w:rPr>
        <w:t>" means IAC/InterActiveCorp, a Delaware corporation.</w:t>
      </w:r>
    </w:p>
    <w:p>
      <w:pPr>
        <w:spacing w:after="0" w:line="225" w:lineRule="exact"/>
        <w:rPr>
          <w:sz w:val="20"/>
          <w:szCs w:val="20"/>
          <w:color w:val="auto"/>
        </w:rPr>
      </w:pPr>
    </w:p>
    <w:p>
      <w:pPr>
        <w:ind w:right="140" w:firstLine="359"/>
        <w:spacing w:after="0" w:line="332" w:lineRule="auto"/>
        <w:tabs>
          <w:tab w:leader="none" w:pos="668"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Option that is designated in the applicable Award Agreement as an "incentive stock option" within the meaning of Section 422 of the Code, and that in fact so qualifies.</w:t>
      </w:r>
    </w:p>
    <w:p>
      <w:pPr>
        <w:spacing w:after="0" w:line="139" w:lineRule="exact"/>
        <w:rPr>
          <w:rFonts w:ascii="Arial" w:cs="Arial" w:eastAsia="Arial" w:hAnsi="Arial"/>
          <w:sz w:val="16"/>
          <w:szCs w:val="16"/>
          <w:color w:val="auto"/>
        </w:rPr>
      </w:pPr>
    </w:p>
    <w:p>
      <w:pPr>
        <w:ind w:right="280" w:firstLine="359"/>
        <w:spacing w:after="0" w:line="268"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Individual Agreement</w:t>
      </w:r>
      <w:r>
        <w:rPr>
          <w:rFonts w:ascii="Arial" w:cs="Arial" w:eastAsia="Arial" w:hAnsi="Arial"/>
          <w:sz w:val="18"/>
          <w:szCs w:val="18"/>
          <w:color w:val="auto"/>
        </w:rPr>
        <w:t>" means an employment, consulting or similar agreement between a Participant and the Company or one of its Subsidiaries or Affiliates.</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National Association of Securities Dealers Inc. Automated Quotation System.</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any Option that is not an Incentive Stock Option.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an Award granted under Section 5.</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25" w:lineRule="exact"/>
        <w:rPr>
          <w:rFonts w:ascii="Arial" w:cs="Arial" w:eastAsia="Arial" w:hAnsi="Arial"/>
          <w:sz w:val="18"/>
          <w:szCs w:val="18"/>
          <w:color w:val="auto"/>
        </w:rPr>
      </w:pPr>
    </w:p>
    <w:p>
      <w:pPr>
        <w:ind w:firstLine="359"/>
        <w:spacing w:after="0" w:line="288" w:lineRule="auto"/>
        <w:tabs>
          <w:tab w:leader="none" w:pos="6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means the performance goals established by the Committee in connection with the grant of Restricted Stock, Restricted Stock Units or Bonus Awards or other stock-based awards. In the case of Qualified-Performance Based Awards, (i) such goals shall be based on the attainment of one or any combination of the following: specified levels of earnings per share from continuing operations, net profit after tax, EBITDA, EBITA, gross profit, cash generation, unit volume, market share, sales, asset quality, earnings per share, operating income, revenues, return on assets, return on operating assets, return on equity, profits, total stockholder return (measured in terms of stock price appreciation and/or dividend growth), cost saving levels, marketing-spending efficiency, core non-interest income, change in working capital, return on capital, and/or stock price, with respect to the Company or any Subsidiary, Affiliate, division or department of the Company and (ii) such Performance Goals shall be set by the Committee within the time period prescribed by Section 162(m) of the Code and related regulations. Such Performance Goals also may be based upon the attaining of specified levels of Company, Subsidiary, Affiliate or divisional performance under one or more of the measures described above relative to the performance of other entities, divisions or subsidiaries.</w:t>
      </w:r>
    </w:p>
    <w:p>
      <w:pPr>
        <w:spacing w:after="0" w:line="173" w:lineRule="exact"/>
        <w:rPr>
          <w:rFonts w:ascii="Arial" w:cs="Arial" w:eastAsia="Arial" w:hAnsi="Arial"/>
          <w:sz w:val="16"/>
          <w:szCs w:val="16"/>
          <w:color w:val="auto"/>
        </w:rPr>
      </w:pPr>
    </w:p>
    <w:p>
      <w:pPr>
        <w:ind w:left="700" w:hanging="341"/>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Tree.com, Inc. 2008 Stock and Annual Incentive Plan, as set forth herein and as hereafter amended from time to time.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Year</w:t>
      </w:r>
      <w:r>
        <w:rPr>
          <w:rFonts w:ascii="Arial" w:cs="Arial" w:eastAsia="Arial" w:hAnsi="Arial"/>
          <w:sz w:val="18"/>
          <w:szCs w:val="18"/>
          <w:color w:val="auto"/>
        </w:rPr>
        <w:t>" means the calendar year or, with respect to Bonus Awards, the Company's fiscal year if different.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 Award intended to qualify for the Section 162(m) Exemption, as provided in Section 11.</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granted under Section 6.</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Units</w:t>
      </w:r>
      <w:r>
        <w:rPr>
          <w:rFonts w:ascii="Arial" w:cs="Arial" w:eastAsia="Arial" w:hAnsi="Arial"/>
          <w:sz w:val="18"/>
          <w:szCs w:val="18"/>
          <w:color w:val="auto"/>
        </w:rPr>
        <w:t>" means an Award granted under Section 7.</w:t>
      </w:r>
    </w:p>
    <w:p>
      <w:pPr>
        <w:spacing w:after="0" w:line="225" w:lineRule="exact"/>
        <w:rPr>
          <w:rFonts w:ascii="Arial" w:cs="Arial" w:eastAsia="Arial" w:hAnsi="Arial"/>
          <w:sz w:val="18"/>
          <w:szCs w:val="18"/>
          <w:color w:val="auto"/>
        </w:rPr>
      </w:pPr>
    </w:p>
    <w:p>
      <w:pPr>
        <w:ind w:right="40" w:firstLine="359"/>
        <w:spacing w:after="0" w:line="306" w:lineRule="auto"/>
        <w:tabs>
          <w:tab w:leader="none" w:pos="8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Resulting Voting Power</w:t>
      </w:r>
      <w:r>
        <w:rPr>
          <w:rFonts w:ascii="Arial" w:cs="Arial" w:eastAsia="Arial" w:hAnsi="Arial"/>
          <w:sz w:val="16"/>
          <w:szCs w:val="16"/>
          <w:color w:val="auto"/>
        </w:rPr>
        <w:t>" shall mean the outstanding combined voting power of the then outstanding voting securities entitled to vote generally in the election of directors (or equivalent governing body, if applicable) of the entity resulting from a Business Combination (including, without limitation, an entity which as a result of such transaction owns the Company or all or substantially all of the Company's assets either directly or through one or more subsidiaries).</w:t>
      </w:r>
    </w:p>
    <w:p>
      <w:pPr>
        <w:spacing w:after="0" w:line="160" w:lineRule="exact"/>
        <w:rPr>
          <w:rFonts w:ascii="Arial" w:cs="Arial" w:eastAsia="Arial" w:hAnsi="Arial"/>
          <w:sz w:val="16"/>
          <w:szCs w:val="16"/>
          <w:color w:val="auto"/>
        </w:rPr>
      </w:pPr>
    </w:p>
    <w:p>
      <w:pPr>
        <w:ind w:left="700" w:hanging="341"/>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Retirement</w:t>
      </w:r>
      <w:r>
        <w:rPr>
          <w:rFonts w:ascii="Arial" w:cs="Arial" w:eastAsia="Arial" w:hAnsi="Arial"/>
          <w:sz w:val="16"/>
          <w:szCs w:val="16"/>
          <w:color w:val="auto"/>
        </w:rPr>
        <w:t>" means retirement from active employment with the Company, a Subsidiary or Affiliate at or after the Participant's attainment of age 65.</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2" w:name="page103"/>
    <w:bookmarkEnd w:id="102"/>
    <w:p>
      <w:pPr>
        <w:ind w:right="540" w:firstLine="359"/>
        <w:spacing w:after="0" w:line="268" w:lineRule="auto"/>
        <w:tabs>
          <w:tab w:leader="none" w:pos="6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Employee Matters Agreement.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w:t>
      </w:r>
    </w:p>
    <w:p>
      <w:pPr>
        <w:spacing w:after="0" w:line="225" w:lineRule="exact"/>
        <w:rPr>
          <w:rFonts w:ascii="Arial" w:cs="Arial" w:eastAsia="Arial" w:hAnsi="Arial"/>
          <w:sz w:val="18"/>
          <w:szCs w:val="18"/>
          <w:color w:val="auto"/>
        </w:rPr>
      </w:pPr>
    </w:p>
    <w:p>
      <w:pPr>
        <w:ind w:right="260" w:firstLine="359"/>
        <w:spacing w:after="0" w:line="291" w:lineRule="auto"/>
        <w:tabs>
          <w:tab w:leader="none" w:pos="67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Employee</w:t>
      </w:r>
      <w:r>
        <w:rPr>
          <w:rFonts w:ascii="Arial" w:cs="Arial" w:eastAsia="Arial" w:hAnsi="Arial"/>
          <w:sz w:val="16"/>
          <w:szCs w:val="16"/>
          <w:color w:val="auto"/>
        </w:rPr>
        <w:t>" shall mean any individual who is a "key employee" (as defined in Section 416(i) of the Code without regard to paragraph (5) thereof) with respect to the Company and its Affiliates, as determined by the Company (or the Affiliate, in the event that the Affiliate and the Company are not considered a single employer under Sections 414(b) or 414(c) of the Code) in accordance with its uniform policy with respect to all arrangements subject to Section 409A of the Code, based upon the twelve (12) month period ending on each December 31st. All individuals who are determined to be key employees under Section 416(i)(1)(A)(i), (ii) or (iii) of the Code (without regard to paragraph (5) thereof) on December 31st shall be treated as Specified Employees for purposes of the Plan during the twelve (12) month period that begins on the following April 1st.</w:t>
      </w:r>
    </w:p>
    <w:p>
      <w:pPr>
        <w:spacing w:after="0" w:line="174" w:lineRule="exact"/>
        <w:rPr>
          <w:rFonts w:ascii="Arial" w:cs="Arial" w:eastAsia="Arial" w:hAnsi="Arial"/>
          <w:sz w:val="16"/>
          <w:szCs w:val="16"/>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has the meaning set forth in Section 5(b).</w:t>
      </w:r>
    </w:p>
    <w:p>
      <w:pPr>
        <w:spacing w:after="0" w:line="225" w:lineRule="exact"/>
        <w:rPr>
          <w:rFonts w:ascii="Arial" w:cs="Arial" w:eastAsia="Arial" w:hAnsi="Arial"/>
          <w:sz w:val="18"/>
          <w:szCs w:val="18"/>
          <w:color w:val="auto"/>
        </w:rPr>
      </w:pPr>
    </w:p>
    <w:p>
      <w:pPr>
        <w:ind w:firstLine="359"/>
        <w:spacing w:after="0" w:line="268"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Tandem SAR</w:t>
      </w:r>
      <w:r>
        <w:rPr>
          <w:rFonts w:ascii="Arial" w:cs="Arial" w:eastAsia="Arial" w:hAnsi="Arial"/>
          <w:sz w:val="18"/>
          <w:szCs w:val="18"/>
          <w:color w:val="auto"/>
        </w:rPr>
        <w:t>" has the meaning set forth in Section 5(b).</w:t>
      </w:r>
    </w:p>
    <w:p>
      <w:pPr>
        <w:spacing w:after="0" w:line="225" w:lineRule="exact"/>
        <w:rPr>
          <w:rFonts w:ascii="Arial" w:cs="Arial" w:eastAsia="Arial" w:hAnsi="Arial"/>
          <w:sz w:val="18"/>
          <w:szCs w:val="18"/>
          <w:color w:val="auto"/>
        </w:rPr>
      </w:pPr>
    </w:p>
    <w:p>
      <w:pPr>
        <w:ind w:right="240" w:firstLine="359"/>
        <w:spacing w:after="0" w:line="268" w:lineRule="auto"/>
        <w:tabs>
          <w:tab w:leader="none" w:pos="6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the maximum period during which an Option or Stock Appreciation Right may remain outstanding, subject to earlier termination upon Termination of Employment or otherwise, as specified in the applicable Award Agreement.</w:t>
      </w:r>
    </w:p>
    <w:p>
      <w:pPr>
        <w:spacing w:after="0" w:line="185" w:lineRule="exact"/>
        <w:rPr>
          <w:rFonts w:ascii="Arial" w:cs="Arial" w:eastAsia="Arial" w:hAnsi="Arial"/>
          <w:sz w:val="18"/>
          <w:szCs w:val="18"/>
          <w:color w:val="auto"/>
        </w:rPr>
      </w:pPr>
    </w:p>
    <w:p>
      <w:pPr>
        <w:ind w:right="20" w:firstLine="359"/>
        <w:spacing w:after="0" w:line="286" w:lineRule="auto"/>
        <w:tabs>
          <w:tab w:leader="none" w:pos="8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the termination of the applicable Participant's employment with, or performance of services for, 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director capacity or as an employee,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with respect to any Award that constitutes a "nonqualified deferred compensation plan" within the meaning of Section 409A of the Code, "Termination of Employment" shall mean a "separation from service" as defined under Section 409A of the Code. For the avoidance of doubt, the Separation shall not constitute a Termination of Employment for purposes of any Adjusted Award.</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2. Administration</w:t>
      </w:r>
    </w:p>
    <w:p>
      <w:pPr>
        <w:spacing w:after="0" w:line="231" w:lineRule="exact"/>
        <w:rPr>
          <w:sz w:val="20"/>
          <w:szCs w:val="20"/>
          <w:color w:val="auto"/>
        </w:rPr>
      </w:pPr>
    </w:p>
    <w:p>
      <w:pPr>
        <w:ind w:right="80" w:firstLine="359"/>
        <w:spacing w:after="0" w:line="256"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Compensation Committee of the Board or such other committee of the Board as the Board may</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designate (the "</w:t>
      </w:r>
      <w:r>
        <w:rPr>
          <w:rFonts w:ascii="Arial" w:cs="Arial" w:eastAsia="Arial" w:hAnsi="Arial"/>
          <w:sz w:val="18"/>
          <w:szCs w:val="18"/>
          <w:i w:val="1"/>
          <w:iCs w:val="1"/>
          <w:color w:val="auto"/>
        </w:rPr>
        <w:t>Committee</w:t>
      </w:r>
      <w:r>
        <w:rPr>
          <w:rFonts w:ascii="Arial" w:cs="Arial" w:eastAsia="Arial" w:hAnsi="Arial"/>
          <w:sz w:val="18"/>
          <w:szCs w:val="18"/>
          <w:color w:val="auto"/>
        </w:rPr>
        <w:t>"), which shall be composed of not less than two directors, and shall be appointed by and serve at the pleasure of the Board. The Committee shall, subject to Section 11, have plenary authority to grant Awards pursuant to the terms of the Plan to Eligible Individuals. Among other things, the Committee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shall have the authority, subject to the terms and conditions of the Plan and the Employee Matters Agreement (including the original terms of the grant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Adjusted Award):</w:t>
      </w:r>
    </w:p>
    <w:p>
      <w:pPr>
        <w:spacing w:after="0" w:line="232" w:lineRule="exact"/>
        <w:rPr>
          <w:sz w:val="20"/>
          <w:szCs w:val="20"/>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52" w:lineRule="exact"/>
        <w:rPr>
          <w:rFonts w:ascii="Arial" w:cs="Arial" w:eastAsia="Arial" w:hAnsi="Arial"/>
          <w:sz w:val="18"/>
          <w:szCs w:val="18"/>
          <w:color w:val="auto"/>
        </w:rPr>
      </w:pPr>
    </w:p>
    <w:p>
      <w:pPr>
        <w:ind w:left="1620" w:right="300" w:hanging="532"/>
        <w:spacing w:after="0" w:line="33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determine whether and to what extent Incentive Stock Options, Nonqualified Options, Stock Appreciation Rights, Restricted Stock, Restricted Stock Units, other stock-based awards, or any combination thereof, are to be granted hereunder;</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determine the terms and conditions of each Award granted hereunder, based on such factors as the Committee shall determine;</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Section 12, to modify, amend or adjust the terms and conditions of any Award;</w:t>
      </w:r>
    </w:p>
    <w:p>
      <w:pPr>
        <w:spacing w:after="0" w:line="238" w:lineRule="exact"/>
        <w:rPr>
          <w:rFonts w:ascii="Arial" w:cs="Arial" w:eastAsia="Arial" w:hAnsi="Arial"/>
          <w:sz w:val="18"/>
          <w:szCs w:val="18"/>
          <w:color w:val="auto"/>
        </w:rPr>
      </w:pPr>
    </w:p>
    <w:p>
      <w:pPr>
        <w:ind w:left="1620" w:right="64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guidelines and practices governing the Plan as it shall from time to time deem advisable;</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Section 11, to accelerate the vesting or lapse of restrictions of any outstanding Award, based in each case on such considerations as the Committee in its sole discretion determines;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any Award issued under the Plan (and any agreement relating thereto);</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w:t>
      </w:r>
    </w:p>
    <w:p>
      <w:pPr>
        <w:spacing w:after="0" w:line="238" w:lineRule="exact"/>
        <w:rPr>
          <w:rFonts w:ascii="Arial" w:cs="Arial" w:eastAsia="Arial" w:hAnsi="Arial"/>
          <w:sz w:val="18"/>
          <w:szCs w:val="18"/>
          <w:color w:val="auto"/>
        </w:rPr>
      </w:pPr>
    </w:p>
    <w:p>
      <w:pPr>
        <w:ind w:left="1620" w:right="380" w:hanging="532"/>
        <w:spacing w:after="0" w:line="33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otherwise administer the Plan.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Procedures.</w:t>
      </w:r>
    </w:p>
    <w:p>
      <w:pPr>
        <w:spacing w:after="0" w:line="238" w:lineRule="exact"/>
        <w:rPr>
          <w:rFonts w:ascii="Arial" w:cs="Arial" w:eastAsia="Arial" w:hAnsi="Arial"/>
          <w:sz w:val="18"/>
          <w:szCs w:val="18"/>
          <w:color w:val="auto"/>
        </w:rPr>
      </w:pPr>
    </w:p>
    <w:p>
      <w:pPr>
        <w:ind w:left="1620" w:right="140" w:hanging="532"/>
        <w:spacing w:after="0" w:line="256"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w:t>
      </w:r>
    </w:p>
    <w:p>
      <w:pPr>
        <w:spacing w:after="0" w:line="224"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Section 11(c), any authority granted to the Committee may also be exercised by the full Board. To the extent that any permitted action taken by the Board conflicts with action taken by the Committee, the Board action shall control.</w:t>
      </w:r>
    </w:p>
    <w:p>
      <w:pPr>
        <w:spacing w:after="0" w:line="185" w:lineRule="exact"/>
        <w:rPr>
          <w:rFonts w:ascii="Arial" w:cs="Arial" w:eastAsia="Arial" w:hAnsi="Arial"/>
          <w:sz w:val="18"/>
          <w:szCs w:val="18"/>
          <w:color w:val="auto"/>
        </w:rPr>
      </w:pPr>
    </w:p>
    <w:p>
      <w:pPr>
        <w:ind w:right="80" w:firstLine="359"/>
        <w:spacing w:after="0" w:line="255"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Discretion of Committee</w:t>
      </w:r>
      <w:r>
        <w:rPr>
          <w:rFonts w:ascii="Arial" w:cs="Arial" w:eastAsia="Arial" w:hAnsi="Arial"/>
          <w:sz w:val="18"/>
          <w:szCs w:val="18"/>
          <w:color w:val="auto"/>
        </w:rPr>
        <w:t>. Subject to Section 1(h), any determination made by the Committee or by an appropriately delegated officer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delegated authority under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Participants, and Eligible Individuals.</w:t>
      </w:r>
    </w:p>
    <w:p>
      <w:pPr>
        <w:spacing w:after="0" w:line="196" w:lineRule="exact"/>
        <w:rPr>
          <w:rFonts w:ascii="Arial" w:cs="Arial" w:eastAsia="Arial" w:hAnsi="Arial"/>
          <w:sz w:val="18"/>
          <w:szCs w:val="18"/>
          <w:color w:val="auto"/>
        </w:rPr>
      </w:pPr>
    </w:p>
    <w:p>
      <w:pPr>
        <w:ind w:right="60" w:firstLine="359"/>
        <w:spacing w:after="0" w:line="268" w:lineRule="auto"/>
        <w:tabs>
          <w:tab w:leader="none" w:pos="68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Award Agreements</w:t>
      </w:r>
      <w:r>
        <w:rPr>
          <w:rFonts w:ascii="Arial" w:cs="Arial" w:eastAsia="Arial" w:hAnsi="Arial"/>
          <w:sz w:val="18"/>
          <w:szCs w:val="18"/>
          <w:color w:val="auto"/>
        </w:rPr>
        <w:t>. The terms and conditions of each Award, as determined by the Committee, shall be set forth in an Award Agreement,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delivered to the Participant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ind w:right="80"/>
        <w:spacing w:after="0" w:line="255" w:lineRule="auto"/>
        <w:rPr>
          <w:sz w:val="20"/>
          <w:szCs w:val="20"/>
          <w:color w:val="auto"/>
        </w:rPr>
      </w:pPr>
      <w:r>
        <w:rPr>
          <w:rFonts w:ascii="Arial" w:cs="Arial" w:eastAsia="Arial" w:hAnsi="Arial"/>
          <w:sz w:val="18"/>
          <w:szCs w:val="18"/>
          <w:color w:val="auto"/>
        </w:rPr>
        <w:t>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12 hereof. Notwithstanding any provision of the Plan or an Award Agreement to the contrary, in the event that any term of an Award Agreement conflicts with any provision of the Plan that specifically pertains to Section 409A of the Code, the provision of the Plan shall govern.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3. Common Stock Subject to Plan</w:t>
      </w:r>
    </w:p>
    <w:p>
      <w:pPr>
        <w:spacing w:after="0" w:line="231" w:lineRule="exact"/>
        <w:rPr>
          <w:sz w:val="20"/>
          <w:szCs w:val="20"/>
          <w:color w:val="auto"/>
        </w:rPr>
      </w:pPr>
    </w:p>
    <w:p>
      <w:pPr>
        <w:ind w:right="60" w:firstLine="359"/>
        <w:spacing w:after="0" w:line="256" w:lineRule="auto"/>
        <w:tabs>
          <w:tab w:leader="none" w:pos="67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Plan Maximums</w:t>
      </w:r>
      <w:r>
        <w:rPr>
          <w:rFonts w:ascii="Arial" w:cs="Arial" w:eastAsia="Arial" w:hAnsi="Arial"/>
          <w:sz w:val="18"/>
          <w:szCs w:val="18"/>
          <w:color w:val="auto"/>
        </w:rPr>
        <w:t>. The maximum number of Shares that may be delivered pursuant to Awards under the Plan shall be the sum of (a)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that may be issuable upon exercise or vesting of the Adjusted Awards and (b) 2,200,000. The maximum number of Shares that may be granted pursuant to Options intended to be Incentive Stock Options shall be 1,466,666 Shares. Shares subject to an Award under the Plan may be authorized and unissued Shares or may be treasury Shares.</w:t>
      </w:r>
    </w:p>
    <w:p>
      <w:pPr>
        <w:spacing w:after="0" w:line="197" w:lineRule="exact"/>
        <w:rPr>
          <w:rFonts w:ascii="Arial" w:cs="Arial" w:eastAsia="Arial" w:hAnsi="Arial"/>
          <w:sz w:val="18"/>
          <w:szCs w:val="18"/>
          <w:color w:val="auto"/>
        </w:rPr>
      </w:pPr>
    </w:p>
    <w:p>
      <w:pPr>
        <w:ind w:right="160" w:firstLine="359"/>
        <w:spacing w:after="0" w:line="268" w:lineRule="auto"/>
        <w:tabs>
          <w:tab w:leader="none" w:pos="68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 No Participant may be granted Awards covering in excess of 1,466,666 Shares during the term of the Plan;</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shall not be subject to this limitation.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Rules for Calculating Shares Delivered.</w:t>
      </w:r>
    </w:p>
    <w:p>
      <w:pPr>
        <w:spacing w:after="0" w:line="238" w:lineRule="exact"/>
        <w:rPr>
          <w:rFonts w:ascii="Arial" w:cs="Arial" w:eastAsia="Arial" w:hAnsi="Arial"/>
          <w:sz w:val="18"/>
          <w:szCs w:val="18"/>
          <w:color w:val="auto"/>
        </w:rPr>
      </w:pPr>
    </w:p>
    <w:p>
      <w:pPr>
        <w:ind w:left="1620" w:right="60" w:hanging="532"/>
        <w:spacing w:after="0" w:line="306" w:lineRule="auto"/>
        <w:tabs>
          <w:tab w:leader="none" w:pos="1620" w:val="left"/>
        </w:tabs>
        <w:numPr>
          <w:ilvl w:val="2"/>
          <w:numId w:val="41"/>
        </w:numPr>
        <w:rPr>
          <w:rFonts w:ascii="Arial" w:cs="Arial" w:eastAsia="Arial" w:hAnsi="Arial"/>
          <w:sz w:val="16"/>
          <w:szCs w:val="16"/>
          <w:color w:val="auto"/>
        </w:rPr>
      </w:pPr>
      <w:r>
        <w:rPr>
          <w:rFonts w:ascii="Arial" w:cs="Arial" w:eastAsia="Arial" w:hAnsi="Arial"/>
          <w:sz w:val="16"/>
          <w:szCs w:val="16"/>
          <w:color w:val="auto"/>
        </w:rPr>
        <w:t>With respect to Awards other than Adjusted Awards, to the extent that any Award is forfeited, or any Option and the related Tandem SAR (if any) or Free-Standing SAR terminates, expires or lapses without being exercised, or any Award is settled for cash, the Shares subject to such Awards not delivered as a result thereof shall again be available for Awards under the Plan.</w:t>
      </w:r>
    </w:p>
    <w:p>
      <w:pPr>
        <w:spacing w:after="0" w:line="187" w:lineRule="exact"/>
        <w:rPr>
          <w:rFonts w:ascii="Arial" w:cs="Arial" w:eastAsia="Arial" w:hAnsi="Arial"/>
          <w:sz w:val="16"/>
          <w:szCs w:val="16"/>
          <w:color w:val="auto"/>
        </w:rPr>
      </w:pPr>
    </w:p>
    <w:p>
      <w:pPr>
        <w:ind w:left="1620" w:right="40" w:hanging="532"/>
        <w:spacing w:after="0" w:line="318" w:lineRule="auto"/>
        <w:tabs>
          <w:tab w:leader="none" w:pos="1620" w:val="left"/>
        </w:tabs>
        <w:numPr>
          <w:ilvl w:val="2"/>
          <w:numId w:val="41"/>
        </w:numPr>
        <w:rPr>
          <w:rFonts w:ascii="Arial" w:cs="Arial" w:eastAsia="Arial" w:hAnsi="Arial"/>
          <w:sz w:val="15"/>
          <w:szCs w:val="15"/>
          <w:color w:val="auto"/>
        </w:rPr>
      </w:pPr>
      <w:r>
        <w:rPr>
          <w:rFonts w:ascii="Arial" w:cs="Arial" w:eastAsia="Arial" w:hAnsi="Arial"/>
          <w:sz w:val="15"/>
          <w:szCs w:val="15"/>
          <w:color w:val="auto"/>
        </w:rPr>
        <w:t>With respect to Awards other than Adjusted Awards, if the exercise price of any Option and/or the tax withholding obligations relating to any Award are satisfied by delivering Shares to the Company (by either actual delivery or by attestation), only the number of Shares issued net of the Shares delivered or attested to shall be deemed delivered for purposes of the limits set forth in Section 3(a). To the extent any Shares subject to an Award are withheld to satisfy the exercise price (in the case of an Option) and/or the tax withholding obligations relating to such Award, such Shares shall not be deemed to have been delivered for purposes of the limits set forth in Section 3(a).</w:t>
      </w:r>
    </w:p>
    <w:p>
      <w:pPr>
        <w:spacing w:after="0" w:line="153" w:lineRule="exact"/>
        <w:rPr>
          <w:rFonts w:ascii="Arial" w:cs="Arial" w:eastAsia="Arial" w:hAnsi="Arial"/>
          <w:sz w:val="15"/>
          <w:szCs w:val="15"/>
          <w:color w:val="auto"/>
        </w:rPr>
      </w:pPr>
    </w:p>
    <w:p>
      <w:pPr>
        <w:ind w:firstLine="359"/>
        <w:spacing w:after="0" w:line="282" w:lineRule="auto"/>
        <w:tabs>
          <w:tab w:leader="none" w:pos="688"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Adjustment Provision</w:t>
      </w:r>
      <w:r>
        <w:rPr>
          <w:rFonts w:ascii="Arial" w:cs="Arial" w:eastAsia="Arial" w:hAnsi="Arial"/>
          <w:sz w:val="16"/>
          <w:szCs w:val="16"/>
          <w:color w:val="auto"/>
        </w:rPr>
        <w:t>. In the event of a merger, consolidation, acquisition of property or shares, stock rights offering, liquidation, Disaffiliation,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event affecting the Company or any of its Subsidiaries (each, a "</w:t>
      </w:r>
      <w:r>
        <w:rPr>
          <w:rFonts w:ascii="Arial" w:cs="Arial" w:eastAsia="Arial" w:hAnsi="Arial"/>
          <w:sz w:val="16"/>
          <w:szCs w:val="16"/>
          <w:i w:val="1"/>
          <w:iCs w:val="1"/>
          <w:color w:val="auto"/>
        </w:rPr>
        <w:t>Corporate Transaction</w:t>
      </w:r>
      <w:r>
        <w:rPr>
          <w:rFonts w:ascii="Arial" w:cs="Arial" w:eastAsia="Arial" w:hAnsi="Arial"/>
          <w:sz w:val="16"/>
          <w:szCs w:val="16"/>
          <w:color w:val="auto"/>
        </w:rPr>
        <w:t>"), the Committee or the Board may in its discretion make such substitutions or adjustments as it deems appropriate and equitable to (i) the aggregate number and kind of Shares or other securities reserved for issuance and delivery under the Plan, (ii) the various maximum limitations set forth in Sections 3(a) and 3(b) upon certain types of Awards and upon the grants to individuals of certain types of Awards, (iii) the number and kind of Shares or other securities subject to outstanding Awards; and (iv) the exercise price of outstanding Options and Stock Appreciation Rights. 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6"/>
          <w:szCs w:val="16"/>
          <w:i w:val="1"/>
          <w:iCs w:val="1"/>
          <w:color w:val="auto"/>
        </w:rPr>
        <w:t>Share Change</w:t>
      </w:r>
      <w:r>
        <w:rPr>
          <w:rFonts w:ascii="Arial" w:cs="Arial" w:eastAsia="Arial" w:hAnsi="Arial"/>
          <w:sz w:val="16"/>
          <w:szCs w:val="16"/>
          <w:color w:val="auto"/>
        </w:rPr>
        <w:t>"), the Committee or the Board shall make such substitutions or adjustments as it deems appropriate and equitable to (i) the aggregate number and kind of Shares or other securities reserved for issuance and delivery under the Plan, (ii) the various maximum limitations set forth in Sections 3(a) and 3(b) upon certain types of Awards and upon the grants to individuals of certain types of Awards, (iii) the number and kind of Shares or other securities subject to outstanding Awards; and</w:t>
      </w:r>
    </w:p>
    <w:p>
      <w:pPr>
        <w:spacing w:after="0" w:line="5" w:lineRule="exact"/>
        <w:rPr>
          <w:rFonts w:ascii="Arial" w:cs="Arial" w:eastAsia="Arial" w:hAnsi="Arial"/>
          <w:sz w:val="16"/>
          <w:szCs w:val="16"/>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 of outstanding Options and Stock Appreciation Rights. In the case of Corporate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5" w:name="page106"/>
    <w:bookmarkEnd w:id="105"/>
    <w:p>
      <w:pPr>
        <w:ind w:right="60"/>
        <w:spacing w:after="0" w:line="285" w:lineRule="auto"/>
        <w:rPr>
          <w:sz w:val="20"/>
          <w:szCs w:val="20"/>
          <w:color w:val="auto"/>
        </w:rPr>
      </w:pPr>
      <w:r>
        <w:rPr>
          <w:rFonts w:ascii="Arial" w:cs="Arial" w:eastAsia="Arial" w:hAnsi="Arial"/>
          <w:sz w:val="16"/>
          <w:szCs w:val="16"/>
          <w:color w:val="auto"/>
        </w:rPr>
        <w:t xml:space="preserve">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stockholders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in its sole discretion the Performance Goals applicable to any Awards to reflect any Share Change and any Corporate Transaction and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the Company's other SEC filings,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Performance Goals applicable to any Qualified Performance-Based Awards, such adjustment does not violate Section 162(m) of the Code. Any adjustment under this Section 3(d) need not be the same for all Participants.</w:t>
      </w:r>
    </w:p>
    <w:p>
      <w:pPr>
        <w:spacing w:after="0" w:line="178" w:lineRule="exact"/>
        <w:rPr>
          <w:sz w:val="20"/>
          <w:szCs w:val="20"/>
          <w:color w:val="auto"/>
        </w:rPr>
      </w:pPr>
    </w:p>
    <w:p>
      <w:pPr>
        <w:ind w:firstLine="359"/>
        <w:spacing w:after="0" w:line="253" w:lineRule="auto"/>
        <w:tabs>
          <w:tab w:leader="none" w:pos="67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Notwithstanding the foregoing: (i) any adjustments made pursuant to Section 3(d) to Awards that are considered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within the meaning of Section 409A of the Code shall be made in compliance with the requirements of Section 409A of the Code; (ii) any adjustments made pursuant to Section 3(d)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and (iii) in any event, neither the Committee nor the Board shall have the authority to make any adjustments pursuant to Section 3(d) to the extent the existence of such authority would cause an Award that is not intended to be subject to Section 409A of the Code at the Grant Date to be subject thereto as of the Grant Date.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4. Eligibility</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 xml:space="preserve">Awards may be granted under the Plan to Eligible Individuals and, with respect to Adjusted Awards, in accordance with the terms of the Employee Matters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Incentive Stock Options may be granted only to employees of the Company and its subsidiaries or parent corporation (within the meaning of Section 424(f) of the Code) and, with respect to Adjusted Awards that are intended to qualify as incentive stock options within the meaning of Section 421 of the Code, in accordance with the terms of the Employee Matters Agreement.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ind w:left="540"/>
        <w:spacing w:after="0"/>
        <w:rPr>
          <w:sz w:val="20"/>
          <w:szCs w:val="20"/>
          <w:color w:val="auto"/>
        </w:rPr>
      </w:pPr>
      <w:r>
        <w:rPr>
          <w:rFonts w:ascii="Arial" w:cs="Arial" w:eastAsia="Arial" w:hAnsi="Arial"/>
          <w:sz w:val="18"/>
          <w:szCs w:val="18"/>
          <w:b w:val="1"/>
          <w:bCs w:val="1"/>
          <w:color w:val="auto"/>
        </w:rPr>
        <w:t>Section 5. Options and Stock Appreciation Rights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86" w:lineRule="exact"/>
        <w:rPr>
          <w:sz w:val="20"/>
          <w:szCs w:val="20"/>
          <w:color w:val="auto"/>
        </w:rPr>
      </w:pPr>
    </w:p>
    <w:p>
      <w:pPr>
        <w:ind w:right="500" w:firstLine="359"/>
        <w:spacing w:after="0" w:line="268"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Types of Options</w:t>
      </w:r>
      <w:r>
        <w:rPr>
          <w:rFonts w:ascii="Arial" w:cs="Arial" w:eastAsia="Arial" w:hAnsi="Arial"/>
          <w:sz w:val="18"/>
          <w:szCs w:val="18"/>
          <w:color w:val="auto"/>
        </w:rPr>
        <w:t>. Options may be of two types: Incentive Stock Options and Non-qualified Options. The Award Agreement for an Option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whether the Option is intended to be an Incentive Stock Option or a Nonqualified Option.</w:t>
      </w:r>
    </w:p>
    <w:p>
      <w:pPr>
        <w:spacing w:after="0" w:line="185" w:lineRule="exact"/>
        <w:rPr>
          <w:rFonts w:ascii="Arial" w:cs="Arial" w:eastAsia="Arial" w:hAnsi="Arial"/>
          <w:sz w:val="18"/>
          <w:szCs w:val="18"/>
          <w:color w:val="auto"/>
        </w:rPr>
      </w:pPr>
    </w:p>
    <w:p>
      <w:pPr>
        <w:ind w:right="20" w:firstLine="359"/>
        <w:spacing w:after="0" w:line="291" w:lineRule="auto"/>
        <w:tabs>
          <w:tab w:leader="none" w:pos="68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Types and Nature of Stock Appreciation Rights</w:t>
      </w:r>
      <w:r>
        <w:rPr>
          <w:rFonts w:ascii="Arial" w:cs="Arial" w:eastAsia="Arial" w:hAnsi="Arial"/>
          <w:sz w:val="16"/>
          <w:szCs w:val="16"/>
          <w:color w:val="auto"/>
        </w:rPr>
        <w:t>. Stock Appreciation Rights may be "Tandem SARs," which are granted in conjunction with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or "Free-Standing SARs," which are not granted in conjunction with an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pacing w:after="0" w:line="174" w:lineRule="exact"/>
        <w:rPr>
          <w:rFonts w:ascii="Arial" w:cs="Arial" w:eastAsia="Arial" w:hAnsi="Arial"/>
          <w:sz w:val="16"/>
          <w:szCs w:val="16"/>
          <w:color w:val="auto"/>
        </w:rPr>
      </w:pPr>
    </w:p>
    <w:p>
      <w:pPr>
        <w:ind w:right="40" w:firstLine="359"/>
        <w:spacing w:after="0" w:line="256"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Tandem SARs</w:t>
      </w:r>
      <w:r>
        <w:rPr>
          <w:rFonts w:ascii="Arial" w:cs="Arial" w:eastAsia="Arial" w:hAnsi="Arial"/>
          <w:sz w:val="18"/>
          <w:szCs w:val="18"/>
          <w:color w:val="auto"/>
        </w:rPr>
        <w:t>. A Tandem SAR may be granted at the Grant Date of the related Option. A Tandem SAR shall be exercisable only at such time or times</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the extent that the related Option is exercisable in accordance with the provisions of this Section 5,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97" w:lineRule="exact"/>
        <w:rPr>
          <w:rFonts w:ascii="Arial" w:cs="Arial" w:eastAsia="Arial" w:hAnsi="Arial"/>
          <w:sz w:val="18"/>
          <w:szCs w:val="18"/>
          <w:color w:val="auto"/>
        </w:rPr>
      </w:pPr>
    </w:p>
    <w:p>
      <w:pPr>
        <w:ind w:firstLine="359"/>
        <w:spacing w:after="0" w:line="254"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subject to an Option or Free-Standing SAR shall be determined by the Committee and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 and shall not be less than the Fair Market Value of a share of the Common Stock on the applicable Grant Date. In no event may any Option or Free-Standing SAR granted under this Plan be amended, other than pursuant to Section 3(d), to decrease the exercise price thereof, be cancelled in conjunction with the grant of any new Option or Free-Standing SAR with a lower exercise price or otherwise be subject to any action that would be treated, for accounting purposes, as a "repricing" of such Option or Free-Standing SAR, unless such amendment, cancellation, or action is approved by the Company's stockholders.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Term of each Option and each Free-Standing SAR shall be fixed by the Committee, but shall not exceed ten years from the Grant Date.</w:t>
      </w:r>
    </w:p>
    <w:p>
      <w:pPr>
        <w:spacing w:after="0" w:line="248" w:lineRule="exact"/>
        <w:rPr>
          <w:rFonts w:ascii="Arial" w:cs="Arial" w:eastAsia="Arial" w:hAnsi="Arial"/>
          <w:sz w:val="16"/>
          <w:szCs w:val="16"/>
          <w:color w:val="auto"/>
        </w:rPr>
      </w:pPr>
    </w:p>
    <w:p>
      <w:pPr>
        <w:ind w:right="320" w:firstLine="359"/>
        <w:spacing w:after="0" w:line="298" w:lineRule="auto"/>
        <w:tabs>
          <w:tab w:leader="none" w:pos="702"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Vesting and Exercisability</w:t>
      </w:r>
      <w:r>
        <w:rPr>
          <w:rFonts w:ascii="Arial" w:cs="Arial" w:eastAsia="Arial" w:hAnsi="Arial"/>
          <w:sz w:val="16"/>
          <w:szCs w:val="16"/>
          <w:color w:val="auto"/>
        </w:rPr>
        <w:t>. Except as otherwise provided herein, Options and Free-Standing SARs shall be exercisable at such time or times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w:t>
      </w:r>
    </w:p>
    <w:p>
      <w:pPr>
        <w:spacing w:after="0" w:line="166" w:lineRule="exact"/>
        <w:rPr>
          <w:rFonts w:ascii="Arial" w:cs="Arial" w:eastAsia="Arial" w:hAnsi="Arial"/>
          <w:sz w:val="16"/>
          <w:szCs w:val="16"/>
          <w:color w:val="auto"/>
        </w:rPr>
      </w:pPr>
    </w:p>
    <w:p>
      <w:pPr>
        <w:ind w:right="20" w:firstLine="359"/>
        <w:spacing w:after="0" w:line="318" w:lineRule="auto"/>
        <w:tabs>
          <w:tab w:leader="none" w:pos="688"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Method of Exercise</w:t>
      </w:r>
      <w:r>
        <w:rPr>
          <w:rFonts w:ascii="Arial" w:cs="Arial" w:eastAsia="Arial" w:hAnsi="Arial"/>
          <w:sz w:val="15"/>
          <w:szCs w:val="15"/>
          <w:color w:val="auto"/>
        </w:rPr>
        <w:t>. Subject to the provisions of this Section 5, Options and Free-Standing SARs may be exercised, in whole or in part,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during the applicable Term by giving written notice of exercise to the Company or through the procedures established with the Company's appointed third-party Option administrator specifying the number of Shares as to which the Option or Free-Standing SAR is being exercised;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unless otherwise permitted by the Committee, any such exercise must be with respect to a portion of the applicable Option or Free-Standing SAR relating to no less than the lesser of the number of Shares then subject to such Option or Free-Standing SAR or 100 Shares. In the case of the exercise of an Option, such notice shall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7" w:name="page108"/>
    <w:bookmarkEnd w:id="107"/>
    <w:p>
      <w:pPr>
        <w:ind w:right="100"/>
        <w:spacing w:after="0" w:line="259" w:lineRule="auto"/>
        <w:rPr>
          <w:sz w:val="20"/>
          <w:szCs w:val="20"/>
          <w:color w:val="auto"/>
        </w:rPr>
      </w:pPr>
      <w:r>
        <w:rPr>
          <w:rFonts w:ascii="Arial" w:cs="Arial" w:eastAsia="Arial" w:hAnsi="Arial"/>
          <w:sz w:val="18"/>
          <w:szCs w:val="18"/>
          <w:color w:val="auto"/>
        </w:rPr>
        <w:t>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208" w:lineRule="exact"/>
        <w:rPr>
          <w:sz w:val="20"/>
          <w:szCs w:val="20"/>
          <w:color w:val="auto"/>
        </w:rPr>
      </w:pPr>
    </w:p>
    <w:p>
      <w:pPr>
        <w:ind w:left="1620" w:hanging="532"/>
        <w:spacing w:after="0" w:line="323" w:lineRule="auto"/>
        <w:tabs>
          <w:tab w:leader="none" w:pos="16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 xml:space="preserve">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case of an Incentive Stock Option, the right to make a payment in the form of already owned Shares of the same class as the Common Stock subject to the Option may be authorized only at the time the Option is granted.</w:t>
      </w:r>
    </w:p>
    <w:p>
      <w:pPr>
        <w:spacing w:after="0" w:line="178" w:lineRule="exact"/>
        <w:rPr>
          <w:rFonts w:ascii="Arial" w:cs="Arial" w:eastAsia="Arial" w:hAnsi="Arial"/>
          <w:sz w:val="15"/>
          <w:szCs w:val="15"/>
          <w:color w:val="auto"/>
        </w:rPr>
      </w:pPr>
    </w:p>
    <w:p>
      <w:pPr>
        <w:ind w:left="1620" w:hanging="532"/>
        <w:spacing w:after="0" w:line="254"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211" w:lineRule="exact"/>
        <w:rPr>
          <w:rFonts w:ascii="Arial" w:cs="Arial" w:eastAsia="Arial" w:hAnsi="Arial"/>
          <w:sz w:val="18"/>
          <w:szCs w:val="18"/>
          <w:color w:val="auto"/>
        </w:rPr>
      </w:pPr>
    </w:p>
    <w:p>
      <w:pPr>
        <w:ind w:left="1620" w:right="100" w:hanging="532"/>
        <w:spacing w:after="0" w:line="305" w:lineRule="auto"/>
        <w:tabs>
          <w:tab w:leader="none" w:pos="16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Payment may be made by instructing the Company to withhold a number of Shares having a Fair Market Value (based on the Fair Market Value of the Common Stock on the date the applicable Option is exercised) equal to the product of (A) the exercise price multiplied by</w:t>
      </w:r>
    </w:p>
    <w:p>
      <w:pPr>
        <w:ind w:left="1900" w:hanging="271"/>
        <w:spacing w:after="0"/>
        <w:tabs>
          <w:tab w:leader="none" w:pos="19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number of Shares in respect of which the Option shall have been exercised.</w:t>
      </w:r>
    </w:p>
    <w:p>
      <w:pPr>
        <w:spacing w:after="0" w:line="218" w:lineRule="exact"/>
        <w:rPr>
          <w:rFonts w:ascii="Arial" w:cs="Arial" w:eastAsia="Arial" w:hAnsi="Arial"/>
          <w:sz w:val="18"/>
          <w:szCs w:val="18"/>
          <w:color w:val="auto"/>
        </w:rPr>
      </w:pPr>
    </w:p>
    <w:p>
      <w:pPr>
        <w:ind w:right="20" w:firstLine="359"/>
        <w:spacing w:after="0" w:line="255" w:lineRule="auto"/>
        <w:tabs>
          <w:tab w:leader="none" w:pos="68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Delivery; Rights of Stockholders</w:t>
      </w:r>
      <w:r>
        <w:rPr>
          <w:rFonts w:ascii="Arial" w:cs="Arial" w:eastAsia="Arial" w:hAnsi="Arial"/>
          <w:sz w:val="18"/>
          <w:szCs w:val="18"/>
          <w:color w:val="auto"/>
        </w:rPr>
        <w:t>. No Shares shall be delivered pursuant to the exercise of an Option until the exercise price therefor has been fully</w:t>
      </w:r>
      <w:r>
        <w:rPr>
          <w:rFonts w:ascii="Arial" w:cs="Arial" w:eastAsia="Arial" w:hAnsi="Arial"/>
          <w:sz w:val="18"/>
          <w:szCs w:val="18"/>
          <w:i w:val="1"/>
          <w:iCs w:val="1"/>
          <w:color w:val="auto"/>
        </w:rPr>
        <w:t xml:space="preserve"> </w:t>
      </w:r>
      <w:r>
        <w:rPr>
          <w:rFonts w:ascii="Arial" w:cs="Arial" w:eastAsia="Arial" w:hAnsi="Arial"/>
          <w:sz w:val="18"/>
          <w:szCs w:val="18"/>
          <w:color w:val="auto"/>
        </w:rPr>
        <w:t>paid and applicable taxes have been withheld. The applicable Participant shall have all of the rights of a stockholder of the Company holding the class or series of Common Stock that is subject to the Option or Stock Appreciation Right (including, if applicable, the right to vote the applicable Shares and the right to receive dividends), when the Participant (i) has given written notice of exercise, (ii) if requested, has given the representation described in Section 14(a), and (iii) in the case of an Option, has paid in full for such Shares.</w:t>
      </w:r>
    </w:p>
    <w:p>
      <w:pPr>
        <w:spacing w:after="0" w:line="196" w:lineRule="exact"/>
        <w:rPr>
          <w:rFonts w:ascii="Arial" w:cs="Arial" w:eastAsia="Arial" w:hAnsi="Arial"/>
          <w:sz w:val="18"/>
          <w:szCs w:val="18"/>
          <w:color w:val="auto"/>
        </w:rPr>
      </w:pPr>
    </w:p>
    <w:p>
      <w:pPr>
        <w:ind w:right="180" w:firstLine="359"/>
        <w:spacing w:after="0" w:line="268" w:lineRule="auto"/>
        <w:tabs>
          <w:tab w:leader="none" w:pos="69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Terminations of Employment</w:t>
      </w:r>
      <w:r>
        <w:rPr>
          <w:rFonts w:ascii="Arial" w:cs="Arial" w:eastAsia="Arial" w:hAnsi="Arial"/>
          <w:sz w:val="18"/>
          <w:szCs w:val="18"/>
          <w:color w:val="auto"/>
        </w:rPr>
        <w:t>. Subject to Section 10, a Participant's Options and Stock Appreciation Rights shall be forfeited upon such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except as set forth below:</w:t>
      </w:r>
    </w:p>
    <w:p>
      <w:pPr>
        <w:spacing w:after="0" w:line="199"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a Participant's Termination of Employment by reason of death, any Option or Stock Appreciation Right held by the Participant that was exercisable immediately before the Termination of Employment may be exercised at any time until the earlier of (A) the first anniversary of the date of such death and (B) the expiration of the Term thereof;</w:t>
      </w:r>
    </w:p>
    <w:p>
      <w:pPr>
        <w:spacing w:after="0" w:line="221" w:lineRule="exact"/>
        <w:rPr>
          <w:rFonts w:ascii="Arial" w:cs="Arial" w:eastAsia="Arial" w:hAnsi="Arial"/>
          <w:sz w:val="18"/>
          <w:szCs w:val="18"/>
          <w:color w:val="auto"/>
        </w:rPr>
      </w:pPr>
    </w:p>
    <w:p>
      <w:pPr>
        <w:jc w:val="both"/>
        <w:ind w:left="1620" w:right="180" w:hanging="532"/>
        <w:spacing w:after="0" w:line="286"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Upon a Participant's Termination of Employment by reason of Disability or Retirement, any Option or Stock Appreciation Right held by the Participant that was exercisable immediately before the Termination of Employment may be exercised at any time until the earlier of</w:t>
      </w:r>
    </w:p>
    <w:p>
      <w:pPr>
        <w:ind w:left="1920" w:hanging="291"/>
        <w:spacing w:after="0"/>
        <w:tabs>
          <w:tab w:leader="none" w:pos="1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first anniversary of such Termination of Employment and (B) the expiration of the Term thereof;</w:t>
      </w:r>
    </w:p>
    <w:p>
      <w:pPr>
        <w:spacing w:after="0" w:line="232"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a Participant's Termination of Employment for Cause, any Option or Stock Appreciation Right held by the Participant shall be forfeited, effective as of such Termination of Employment;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8" w:name="page109"/>
    <w:bookmarkEnd w:id="108"/>
    <w:p>
      <w:pPr>
        <w:ind w:left="1620" w:right="40" w:hanging="532"/>
        <w:spacing w:after="0" w:line="306"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a Participant's Termination of Employment for any reason other than death, Disability, Retirement or for Cause, any Option or Stock Appreciation Right held by the Participant that was exercisable immediately before the Termination of Employment may be exercised at any time until the earlier of (A) the 90th day following such Termination of Employment and (B) expiration of the Term thereof; and</w:t>
      </w:r>
    </w:p>
    <w:p>
      <w:pPr>
        <w:spacing w:after="0" w:line="187" w:lineRule="exact"/>
        <w:rPr>
          <w:rFonts w:ascii="Arial" w:cs="Arial" w:eastAsia="Arial" w:hAnsi="Arial"/>
          <w:sz w:val="16"/>
          <w:szCs w:val="16"/>
          <w:color w:val="auto"/>
        </w:rPr>
      </w:pPr>
    </w:p>
    <w:p>
      <w:pPr>
        <w:ind w:left="1620" w:right="180" w:hanging="532"/>
        <w:spacing w:after="0" w:line="298"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Notwithstanding the above provisions of this Section 5(i), if a Participant dies after such Participant's Termination of Employment but while any Option or Stock Appreciation Right remains exercisable as set forth above, such Option or Stock Appreciation Right may be exercised at any time until the later of (A) the earlier of (1) the first anniversary of the date of such death and (2) expiration of the Term thereof and (B) the last date on which such Option or Stock Appreciation Right would have been exercisable, absent this Section 5(i)(v).</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Notwithstanding the foregoing, the Committee shall have the power, in its discretion, to apply different rules concerning the consequences of a Termination of Employment;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Option.</w:t>
      </w:r>
    </w:p>
    <w:p>
      <w:pPr>
        <w:spacing w:after="0" w:line="197" w:lineRule="exact"/>
        <w:rPr>
          <w:sz w:val="20"/>
          <w:szCs w:val="20"/>
          <w:color w:val="auto"/>
        </w:rPr>
      </w:pPr>
    </w:p>
    <w:p>
      <w:pPr>
        <w:ind w:firstLine="359"/>
        <w:spacing w:after="0" w:line="287" w:lineRule="auto"/>
        <w:tabs>
          <w:tab w:leader="none" w:pos="69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Nontransferability of Options and Stock Appreciation Rights</w:t>
      </w:r>
      <w:r>
        <w:rPr>
          <w:rFonts w:ascii="Arial" w:cs="Arial" w:eastAsia="Arial" w:hAnsi="Arial"/>
          <w:sz w:val="16"/>
          <w:szCs w:val="16"/>
          <w:color w:val="auto"/>
        </w:rPr>
        <w:t>. No Option or Free-Standing SAR shall be transferable by a Participant other than (i)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or by the laws of descent and distribution, or (ii) in the case of a Nonqualified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 "Participant" includes such guardian, legal representative and other transferee;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"Termination of Employment" shall continue to refer to the Termination of Employment of the original Participant.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6. Restricted Stock</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86" w:lineRule="exact"/>
        <w:rPr>
          <w:sz w:val="20"/>
          <w:szCs w:val="20"/>
          <w:color w:val="auto"/>
        </w:rPr>
      </w:pPr>
    </w:p>
    <w:p>
      <w:pPr>
        <w:jc w:val="both"/>
        <w:ind w:right="80" w:firstLine="359"/>
        <w:spacing w:after="0" w:line="298" w:lineRule="auto"/>
        <w:tabs>
          <w:tab w:leader="none" w:pos="678"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Nature of Awards and Certificates</w:t>
      </w:r>
      <w:r>
        <w:rPr>
          <w:rFonts w:ascii="Arial" w:cs="Arial" w:eastAsia="Arial" w:hAnsi="Arial"/>
          <w:sz w:val="16"/>
          <w:szCs w:val="16"/>
          <w:color w:val="auto"/>
        </w:rPr>
        <w:t>. Shares of Restricted Stock are actual Shares issued to a Participant, and shall be evidenced in such manner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deem appropriate, including book-entry registration or issuance of one or more stock certificates. Any certificate issued in respect of Shares of Restricted Stock shall be registered in the name of the applicable Participant and, in the case of Restricted Stock, shall bear an appropriate legend referring to the terms, conditions, and restrictions applicable to such Award, substantially in the following form:</w:t>
      </w:r>
    </w:p>
    <w:p>
      <w:pPr>
        <w:spacing w:after="0" w:line="167" w:lineRule="exact"/>
        <w:rPr>
          <w:sz w:val="20"/>
          <w:szCs w:val="20"/>
          <w:color w:val="auto"/>
        </w:rPr>
      </w:pPr>
    </w:p>
    <w:p>
      <w:pPr>
        <w:jc w:val="both"/>
        <w:ind w:left="1080" w:right="14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Tree.com, Inc. 2008 Stock and Annual Incentive Plan and an Award Agreement. Copies of such Plan and Agreement are on file at the offices of Tree.com, Inc., 11115 Rushmore Drive, Charlotte, NC 28277."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09" w:name="page110"/>
    <w:bookmarkEnd w:id="109"/>
    <w:p>
      <w:pPr>
        <w:jc w:val="both"/>
        <w:ind w:right="260"/>
        <w:spacing w:after="0" w:line="259"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94" w:lineRule="exact"/>
        <w:rPr>
          <w:sz w:val="20"/>
          <w:szCs w:val="20"/>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238" w:lineRule="exact"/>
        <w:rPr>
          <w:rFonts w:ascii="Arial" w:cs="Arial" w:eastAsia="Arial" w:hAnsi="Arial"/>
          <w:sz w:val="18"/>
          <w:szCs w:val="18"/>
          <w:color w:val="auto"/>
        </w:rPr>
      </w:pPr>
    </w:p>
    <w:p>
      <w:pPr>
        <w:ind w:left="1620" w:right="180" w:hanging="532"/>
        <w:spacing w:after="0" w:line="290" w:lineRule="auto"/>
        <w:tabs>
          <w:tab w:leader="none" w:pos="1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Qualified Performance-Based Award. The conditions for grant, vesting, or transferability and the other provisions of Restricted Stock Awards (including without limitation any Performance Goals) need not be the same with respect to each Participant.</w:t>
      </w:r>
    </w:p>
    <w:p>
      <w:pPr>
        <w:spacing w:after="0" w:line="199" w:lineRule="exact"/>
        <w:rPr>
          <w:rFonts w:ascii="Arial" w:cs="Arial" w:eastAsia="Arial" w:hAnsi="Arial"/>
          <w:sz w:val="16"/>
          <w:szCs w:val="16"/>
          <w:color w:val="auto"/>
        </w:rPr>
      </w:pPr>
    </w:p>
    <w:p>
      <w:pPr>
        <w:ind w:left="1620" w:hanging="532"/>
        <w:spacing w:after="0" w:line="256"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Subject to the provisions of the Plan and the applicable Award Agreement, during the period, if any, set by the Committee, commencing with the date of such Restricted Stock Award for which such vesting restrictions apply and until the expiration of such vesting restrictions (the "</w:t>
      </w:r>
      <w:r>
        <w:rPr>
          <w:rFonts w:ascii="Arial" w:cs="Arial" w:eastAsia="Arial" w:hAnsi="Arial"/>
          <w:sz w:val="18"/>
          <w:szCs w:val="18"/>
          <w:i w:val="1"/>
          <w:iCs w:val="1"/>
          <w:color w:val="auto"/>
        </w:rPr>
        <w:t>Restriction Period</w:t>
      </w:r>
      <w:r>
        <w:rPr>
          <w:rFonts w:ascii="Arial" w:cs="Arial" w:eastAsia="Arial" w:hAnsi="Arial"/>
          <w:sz w:val="18"/>
          <w:szCs w:val="18"/>
          <w:color w:val="auto"/>
        </w:rPr>
        <w:t>"), the Participant shall not be permitted to sell, assign, transfer, pledge or otherwise encumber Shares of Restricted Stock.</w:t>
      </w:r>
    </w:p>
    <w:p>
      <w:pPr>
        <w:spacing w:after="0" w:line="210" w:lineRule="exact"/>
        <w:rPr>
          <w:rFonts w:ascii="Arial" w:cs="Arial" w:eastAsia="Arial" w:hAnsi="Arial"/>
          <w:sz w:val="18"/>
          <w:szCs w:val="18"/>
          <w:color w:val="auto"/>
        </w:rPr>
      </w:pPr>
    </w:p>
    <w:p>
      <w:pPr>
        <w:ind w:left="1620" w:right="40" w:hanging="532"/>
        <w:spacing w:after="0" w:line="289" w:lineRule="auto"/>
        <w:tabs>
          <w:tab w:leader="none" w:pos="1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Except as provided in this Section 6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14(e), (A) cash dividends on the class or series of Common Stock that is the subject of the Restricted Stock Award shall be automatically deferred and reinvested in additional Restricted Stock, held subject to the vesting of the underlying Restricted Stock, and (B) subject to any adjustment pursuant to Section 3(d), dividends payable in Common Stock shall be paid in the form of Restricted Stock of the same class as the Common Stock with which such dividend was paid, held subject to the vesting of the underlying Restricted Stock.</w:t>
      </w:r>
    </w:p>
    <w:p>
      <w:pPr>
        <w:spacing w:after="0" w:line="185" w:lineRule="exact"/>
        <w:rPr>
          <w:rFonts w:ascii="Arial" w:cs="Arial" w:eastAsia="Arial" w:hAnsi="Arial"/>
          <w:sz w:val="16"/>
          <w:szCs w:val="16"/>
          <w:color w:val="auto"/>
        </w:rPr>
      </w:pPr>
    </w:p>
    <w:p>
      <w:pPr>
        <w:ind w:left="1620" w:right="160" w:hanging="532"/>
        <w:spacing w:after="0" w:line="298" w:lineRule="auto"/>
        <w:tabs>
          <w:tab w:leader="none" w:pos="1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the applicable Award Agreement, upon a Participant's Termination of Employment for any reason during the Restriction Period, all Shares of Restricted Stock still subject to restriction shall be forfeited by such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subject to Section 11(b), the Committee shall have the discretion to waive, in whole or in part, any or all remaining restrictions with respect to any or all of such Participant's Shares of Restricted Stock.</w:t>
      </w:r>
    </w:p>
    <w:p>
      <w:pPr>
        <w:spacing w:after="0" w:line="193" w:lineRule="exact"/>
        <w:rPr>
          <w:rFonts w:ascii="Arial" w:cs="Arial" w:eastAsia="Arial" w:hAnsi="Arial"/>
          <w:sz w:val="16"/>
          <w:szCs w:val="16"/>
          <w:color w:val="auto"/>
        </w:rPr>
      </w:pPr>
    </w:p>
    <w:p>
      <w:pPr>
        <w:ind w:left="1620" w:right="220" w:hanging="532"/>
        <w:spacing w:after="0" w:line="259"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and when any applicable Performance Goals are satisfied and the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ind w:left="540"/>
        <w:spacing w:after="0"/>
        <w:rPr>
          <w:sz w:val="20"/>
          <w:szCs w:val="20"/>
          <w:color w:val="auto"/>
        </w:rPr>
      </w:pPr>
      <w:r>
        <w:rPr>
          <w:rFonts w:ascii="Arial" w:cs="Arial" w:eastAsia="Arial" w:hAnsi="Arial"/>
          <w:sz w:val="18"/>
          <w:szCs w:val="18"/>
          <w:b w:val="1"/>
          <w:bCs w:val="1"/>
          <w:color w:val="auto"/>
        </w:rPr>
        <w:t>Section 7. Restricted Stock Units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86" w:lineRule="exact"/>
        <w:rPr>
          <w:sz w:val="20"/>
          <w:szCs w:val="20"/>
          <w:color w:val="auto"/>
        </w:rPr>
      </w:pPr>
    </w:p>
    <w:p>
      <w:pPr>
        <w:ind w:right="60" w:firstLine="359"/>
        <w:spacing w:after="0" w:line="268" w:lineRule="auto"/>
        <w:tabs>
          <w:tab w:leader="none" w:pos="67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Restricted Stock Units are Awards denominated in Shares that will be settled, subject to the terms and conditions of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in an amount in cash, Shares or both, based upon the Fair Market Value of a specified number of Shares.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Restricted Stock Units shall be subject to the following terms and conditions:</w:t>
      </w:r>
    </w:p>
    <w:p>
      <w:pPr>
        <w:spacing w:after="0" w:line="238" w:lineRule="exact"/>
        <w:rPr>
          <w:rFonts w:ascii="Arial" w:cs="Arial" w:eastAsia="Arial" w:hAnsi="Arial"/>
          <w:sz w:val="18"/>
          <w:szCs w:val="18"/>
          <w:color w:val="auto"/>
        </w:rPr>
      </w:pPr>
    </w:p>
    <w:p>
      <w:pPr>
        <w:ind w:left="1620" w:hanging="532"/>
        <w:spacing w:after="0" w:line="288" w:lineRule="auto"/>
        <w:tabs>
          <w:tab w:leader="none" w:pos="16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In the event that the Committee conditions the grant or vesting of Restricted Stock Units upon the attainment of Performance Goals or the attainment of Performance Goals and the continued service of the applicable Participant, the Committee may, prior to or at the time of grant, designate such Awards as Qualified Performance-Based Awards. The conditions for grant, vesting or transferability and the other provisions of Restricted Stock Units (including without limitation any Performance Goals) need not be the same with respect to each Participant. Except as otherwise provided in Section 7(b)(iv) or in the applicable Award Agreement, an Award of Restricted Stock Units shall be settled if and when the Restricted Stock Units vest(but in no event later than two and a half months after the end of the fiscal year in which the Restricted Stock Unit vest).</w:t>
      </w:r>
    </w:p>
    <w:p>
      <w:pPr>
        <w:spacing w:after="0" w:line="200" w:lineRule="exact"/>
        <w:rPr>
          <w:rFonts w:ascii="Arial" w:cs="Arial" w:eastAsia="Arial" w:hAnsi="Arial"/>
          <w:sz w:val="16"/>
          <w:szCs w:val="16"/>
          <w:color w:val="auto"/>
        </w:rPr>
      </w:pPr>
    </w:p>
    <w:p>
      <w:pPr>
        <w:ind w:left="1620" w:right="100" w:hanging="532"/>
        <w:spacing w:after="0" w:line="256"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the provisions of the Plan and the applicable Award Agreement, during the period, if any, set by the Committee, commencing with the date of such Restricted Stock Units for which such vesting restrictions apply and until the expiration of such vesting restrictions (the "</w:t>
      </w:r>
      <w:r>
        <w:rPr>
          <w:rFonts w:ascii="Arial" w:cs="Arial" w:eastAsia="Arial" w:hAnsi="Arial"/>
          <w:sz w:val="18"/>
          <w:szCs w:val="18"/>
          <w:i w:val="1"/>
          <w:iCs w:val="1"/>
          <w:color w:val="auto"/>
        </w:rPr>
        <w:t>Restriction Period</w:t>
      </w:r>
      <w:r>
        <w:rPr>
          <w:rFonts w:ascii="Arial" w:cs="Arial" w:eastAsia="Arial" w:hAnsi="Arial"/>
          <w:sz w:val="18"/>
          <w:szCs w:val="18"/>
          <w:color w:val="auto"/>
        </w:rPr>
        <w:t>"), the Participant shall not be permitted to sell, assign, transfer, pledge or otherwise encumber Restricted Stock Units.</w:t>
      </w:r>
    </w:p>
    <w:p>
      <w:pPr>
        <w:spacing w:after="0" w:line="210"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current or deferred payments of cash, Common Stock or other property corresponding to the dividends payable on the Common Stock (subject to Section 14(e) below).</w:t>
      </w:r>
    </w:p>
    <w:p>
      <w:pPr>
        <w:spacing w:after="0" w:line="207" w:lineRule="exact"/>
        <w:rPr>
          <w:rFonts w:ascii="Arial" w:cs="Arial" w:eastAsia="Arial" w:hAnsi="Arial"/>
          <w:sz w:val="18"/>
          <w:szCs w:val="18"/>
          <w:color w:val="auto"/>
        </w:rPr>
      </w:pPr>
    </w:p>
    <w:p>
      <w:pPr>
        <w:ind w:left="1620" w:right="60" w:hanging="532"/>
        <w:spacing w:after="0" w:line="290" w:lineRule="auto"/>
        <w:tabs>
          <w:tab w:leader="none" w:pos="16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the applicable Award Agreement, upon a Participant's Termination of Employment for any reason during the Restriction Period, all Restricted Stock Units still subject to restriction shall be forfeited by such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subject to Section 11 (b), the Committee shall have the discretion to waive, in whole or in part, any or all remaining restrictions with respect to any or all of such Participant's Restricted Stock Units, provided, however, if any of such Participant's Restricted Stock Units constitute a "nonqualified deferred compensation plan" within the meaning of Section 409A of the Code, settled of such Restricted Stock Units shall not occur until the earliest of (1) the date such Restricted Stock Units would otherwise be settled pursuant to the terms of the Award Agreement or (2) the Participant's "separation of service" within the meaning of Section 409A of the Code.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8. Other Stock-Based Awards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Other Awards of Common Stock and other Awards that are valued in whole or in part by reference to, or are otherwise based upon or settled in, Common Stock, including (without limitation),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unrestricted stock, performance units, dividend equivalents, and convertible debentures, may be granted under the Plan.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9. Bonus Awards</w:t>
      </w:r>
    </w:p>
    <w:p>
      <w:pPr>
        <w:spacing w:after="0" w:line="231" w:lineRule="exact"/>
        <w:rPr>
          <w:sz w:val="20"/>
          <w:szCs w:val="20"/>
          <w:color w:val="auto"/>
        </w:rPr>
      </w:pPr>
    </w:p>
    <w:p>
      <w:pPr>
        <w:ind w:firstLine="359"/>
        <w:spacing w:after="0" w:line="290" w:lineRule="auto"/>
        <w:tabs>
          <w:tab w:leader="none" w:pos="67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Determination of Awards</w:t>
      </w:r>
      <w:r>
        <w:rPr>
          <w:rFonts w:ascii="Arial" w:cs="Arial" w:eastAsia="Arial" w:hAnsi="Arial"/>
          <w:sz w:val="16"/>
          <w:szCs w:val="16"/>
          <w:color w:val="auto"/>
        </w:rPr>
        <w:t>. The Committee shall determine the total amount of Bonus Awards for each Plan Year or such shorter performance period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Committee may establish in its sole discretion. Prior to the beginning of the Plan Year or such shorter performance period as the Committee may establish in its sole discretion (or such later date as may be prescribed by the Internal Revenue Service under Section 162(m) of the Code), the Committee shall establish Performance Goals for Bonus Awards for the Plan Year or such shorter period; </w:t>
      </w:r>
      <w:r>
        <w:rPr>
          <w:rFonts w:ascii="Arial" w:cs="Arial" w:eastAsia="Arial" w:hAnsi="Arial"/>
          <w:sz w:val="16"/>
          <w:szCs w:val="16"/>
          <w:i w:val="1"/>
          <w:iCs w:val="1"/>
          <w:color w:val="auto"/>
        </w:rPr>
        <w:t>provided</w:t>
      </w:r>
      <w:r>
        <w:rPr>
          <w:rFonts w:ascii="Arial" w:cs="Arial" w:eastAsia="Arial" w:hAnsi="Arial"/>
          <w:sz w:val="16"/>
          <w:szCs w:val="16"/>
          <w:color w:val="auto"/>
        </w:rPr>
        <w:t>, that such Performance Goals may be established at a later date for Participants who are not "covered employees" (within the meaning of Section 162(m)(3) of the Code). Bonus amounts payable to any individual Participant with respect to a Plan Year will be limited to a maximum of $10 million. For performance periods that are shorter than a Plan Year, such $10 million maximum may be prorated if so determined by the Committee.</w:t>
      </w:r>
    </w:p>
    <w:p>
      <w:pPr>
        <w:spacing w:after="0" w:line="172" w:lineRule="exact"/>
        <w:rPr>
          <w:rFonts w:ascii="Arial" w:cs="Arial" w:eastAsia="Arial" w:hAnsi="Arial"/>
          <w:sz w:val="16"/>
          <w:szCs w:val="16"/>
          <w:color w:val="auto"/>
        </w:rPr>
      </w:pPr>
    </w:p>
    <w:p>
      <w:pPr>
        <w:ind w:firstLine="359"/>
        <w:spacing w:after="0" w:line="290" w:lineRule="auto"/>
        <w:tabs>
          <w:tab w:leader="none" w:pos="68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Payment of Awards</w:t>
      </w:r>
      <w:r>
        <w:rPr>
          <w:rFonts w:ascii="Arial" w:cs="Arial" w:eastAsia="Arial" w:hAnsi="Arial"/>
          <w:sz w:val="16"/>
          <w:szCs w:val="16"/>
          <w:color w:val="auto"/>
        </w:rPr>
        <w:t>. Bonus Awards under the Plan shall be paid in cash or in shares of Common Stock (valued at Fair Market Value as of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as determined by the Committee, as soon as practicable following the close of the Plan Year or such shorter performance period as the Committee may establish.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The Committee may at its option establish procedures pursuant to which Participants are permitted to defer the receipt of Bonus Awards payable hereunder. The Bonus Award for any Plan Year or such shorter performance period to any Participant may be reduced or eliminated by the Committee in its discretion.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10. Change in Control Provisions</w:t>
      </w:r>
    </w:p>
    <w:p>
      <w:pPr>
        <w:spacing w:after="0" w:line="231" w:lineRule="exact"/>
        <w:rPr>
          <w:sz w:val="20"/>
          <w:szCs w:val="20"/>
          <w:color w:val="auto"/>
        </w:rPr>
      </w:pPr>
    </w:p>
    <w:p>
      <w:pPr>
        <w:ind w:right="60" w:firstLine="359"/>
        <w:spacing w:after="0" w:line="306" w:lineRule="auto"/>
        <w:tabs>
          <w:tab w:leader="none" w:pos="678"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Adjusted Awards</w:t>
      </w:r>
      <w:r>
        <w:rPr>
          <w:rFonts w:ascii="Arial" w:cs="Arial" w:eastAsia="Arial" w:hAnsi="Arial"/>
          <w:sz w:val="16"/>
          <w:szCs w:val="16"/>
          <w:color w:val="auto"/>
        </w:rPr>
        <w:t>. With respect to all Adjusted Awards, subject Sections 3(d), 3(e), 10(e) and 14(k) unless otherwise provided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notwithstanding any other provision of this Plan to the contrary, upon a Participant's Termination of Employment, during the two-year period following a Change in Control, by the Company other than for Cause or Disability or by the Participant for Good Reason (as defined below):</w:t>
      </w:r>
    </w:p>
    <w:p>
      <w:pPr>
        <w:spacing w:after="0" w:line="174" w:lineRule="exact"/>
        <w:rPr>
          <w:rFonts w:ascii="Arial" w:cs="Arial" w:eastAsia="Arial" w:hAnsi="Arial"/>
          <w:sz w:val="16"/>
          <w:szCs w:val="16"/>
          <w:color w:val="auto"/>
        </w:rPr>
      </w:pPr>
    </w:p>
    <w:p>
      <w:pPr>
        <w:ind w:left="1620" w:right="60" w:hanging="532"/>
        <w:spacing w:after="0" w:line="25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Options outstanding as of such Termination of Employment which were outstanding as of the date of such Change in Control shall be fully exercisable and vested and shall remain exercisable until the later of (i) the last date on which such Option would be exercisable in the absence of this Section 10(a) and (ii) the earlier of (A) the first anniversary of such Change in Control and (B) expiration of the Term of such Option;</w:t>
      </w:r>
    </w:p>
    <w:p>
      <w:pPr>
        <w:spacing w:after="0" w:line="224" w:lineRule="exact"/>
        <w:rPr>
          <w:rFonts w:ascii="Arial" w:cs="Arial" w:eastAsia="Arial" w:hAnsi="Arial"/>
          <w:sz w:val="18"/>
          <w:szCs w:val="18"/>
          <w:color w:val="auto"/>
        </w:rPr>
      </w:pPr>
    </w:p>
    <w:p>
      <w:pPr>
        <w:jc w:val="both"/>
        <w:ind w:left="1620" w:right="300" w:hanging="532"/>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restrictions and deferral limitations applicable to any Restricted Stock shall lapse, and such Restricted Stock outstanding as of such Termination of Employment which were outstanding as of the date of such Change in Control shall become free of all restrictions and become fully vested and transferable; and</w:t>
      </w:r>
    </w:p>
    <w:p>
      <w:pPr>
        <w:spacing w:after="0" w:line="207" w:lineRule="exact"/>
        <w:rPr>
          <w:rFonts w:ascii="Arial" w:cs="Arial" w:eastAsia="Arial" w:hAnsi="Arial"/>
          <w:sz w:val="18"/>
          <w:szCs w:val="18"/>
          <w:color w:val="auto"/>
        </w:rPr>
      </w:pPr>
    </w:p>
    <w:p>
      <w:pPr>
        <w:ind w:left="1620" w:right="160" w:hanging="532"/>
        <w:spacing w:after="0" w:line="294" w:lineRule="auto"/>
        <w:tabs>
          <w:tab w:leader="none" w:pos="16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Restricted Stock Units outstanding as of such Termination of Employment which were outstanding as of the date of such Change in Control shall be considered to be earned and payable in full, and any restrictions shall lapse and such Restricted Stock Units shall be settled as promptly as is practicable in the form set forth in the applicable Award Agreement; provided, however, that with respect to any Restricted Stock Unit that constitutes a "nonqualified deferred compensation plan" within the meaning of Section 409A of the Code, the settlement of each such Restricted Stock Unit pursuant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ind w:left="1580"/>
        <w:spacing w:after="0" w:line="255" w:lineRule="auto"/>
        <w:rPr>
          <w:sz w:val="20"/>
          <w:szCs w:val="20"/>
          <w:color w:val="auto"/>
        </w:rPr>
      </w:pPr>
      <w:r>
        <w:rPr>
          <w:rFonts w:ascii="Arial" w:cs="Arial" w:eastAsia="Arial" w:hAnsi="Arial"/>
          <w:sz w:val="18"/>
          <w:szCs w:val="18"/>
          <w:color w:val="auto"/>
        </w:rPr>
        <w:t>this Section 10(a)(iii) shall not occur until the earliest of (1)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(2) the date such Restricted Stock Units would otherwise be settled pursuant to the terms of the Award Agreement and (3) the Participant's "separation of service" within the meaning of Section 409A of the Code.</w:t>
      </w:r>
    </w:p>
    <w:p>
      <w:pPr>
        <w:spacing w:after="0" w:line="197" w:lineRule="exact"/>
        <w:rPr>
          <w:sz w:val="20"/>
          <w:szCs w:val="20"/>
          <w:color w:val="auto"/>
        </w:rPr>
      </w:pPr>
    </w:p>
    <w:p>
      <w:pPr>
        <w:ind w:left="-40" w:right="40" w:firstLine="359"/>
        <w:spacing w:after="0" w:line="294" w:lineRule="auto"/>
        <w:tabs>
          <w:tab w:leader="none" w:pos="648"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Impact of Event on Awards other than Adjusted Awards</w:t>
      </w:r>
      <w:r>
        <w:rPr>
          <w:rFonts w:ascii="Arial" w:cs="Arial" w:eastAsia="Arial" w:hAnsi="Arial"/>
          <w:sz w:val="16"/>
          <w:szCs w:val="16"/>
          <w:color w:val="auto"/>
        </w:rPr>
        <w:t>. Subject to paragraph (e) of this Section 10, and paragraph (d) of Section 12,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any applicable Award Agreement and except as otherwise provided in paragraph (a) of this Section 10, in connection with a Change of Control, the Committee may make such adjustments and/or settlements of outstanding Awards as it deems appropriate and consistent with the Plan's purposes, including, without limitation, the acceleration of vesting of Awards either upon a Change of Control or upon various terminations of employment following a Change of Control. The Committee may provide for such adjustments as a term of the Award or may make such adjustments following the granting of the Award.</w:t>
      </w:r>
    </w:p>
    <w:p>
      <w:pPr>
        <w:spacing w:after="0" w:line="169" w:lineRule="exact"/>
        <w:rPr>
          <w:rFonts w:ascii="Arial" w:cs="Arial" w:eastAsia="Arial" w:hAnsi="Arial"/>
          <w:sz w:val="16"/>
          <w:szCs w:val="16"/>
          <w:color w:val="auto"/>
        </w:rPr>
      </w:pPr>
    </w:p>
    <w:p>
      <w:pPr>
        <w:ind w:left="-40" w:right="40" w:firstLine="359"/>
        <w:spacing w:after="0" w:line="268" w:lineRule="auto"/>
        <w:tabs>
          <w:tab w:leader="none" w:pos="63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For purposes of the Plan, unless otherwise provided in an option agreement or other agreement relating to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a "Change in Control" shall mean the happening of any of the following events:</w:t>
      </w:r>
    </w:p>
    <w:p>
      <w:pPr>
        <w:spacing w:after="0" w:line="199" w:lineRule="exact"/>
        <w:rPr>
          <w:rFonts w:ascii="Arial" w:cs="Arial" w:eastAsia="Arial" w:hAnsi="Arial"/>
          <w:sz w:val="18"/>
          <w:szCs w:val="18"/>
          <w:color w:val="auto"/>
        </w:rPr>
      </w:pPr>
    </w:p>
    <w:p>
      <w:pPr>
        <w:ind w:left="1580" w:right="140" w:hanging="532"/>
        <w:spacing w:after="0" w:line="255" w:lineRule="auto"/>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(a "</w:t>
      </w:r>
      <w:r>
        <w:rPr>
          <w:rFonts w:ascii="Arial" w:cs="Arial" w:eastAsia="Arial" w:hAnsi="Arial"/>
          <w:sz w:val="18"/>
          <w:szCs w:val="18"/>
          <w:i w:val="1"/>
          <w:iCs w:val="1"/>
          <w:color w:val="auto"/>
        </w:rPr>
        <w:t>Person</w:t>
      </w:r>
      <w:r>
        <w:rPr>
          <w:rFonts w:ascii="Arial" w:cs="Arial" w:eastAsia="Arial" w:hAnsi="Arial"/>
          <w:sz w:val="18"/>
          <w:szCs w:val="18"/>
          <w:color w:val="auto"/>
        </w:rPr>
        <w:t>"), other than the Company, of Beneficial Ownership of equity securities of the Company representing more than 50% of the voting power of the then outstanding equity securities of the Company entitled to vote generally in the election of directors (the "</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acquisition that would constitute a Change in Control under this subsection (i) that is also a Business Combination shall be determined exclusively under subsection (iii) below; or</w:t>
      </w:r>
    </w:p>
    <w:p>
      <w:pPr>
        <w:spacing w:after="0" w:line="223" w:lineRule="exact"/>
        <w:rPr>
          <w:rFonts w:ascii="Arial" w:cs="Arial" w:eastAsia="Arial" w:hAnsi="Arial"/>
          <w:sz w:val="18"/>
          <w:szCs w:val="18"/>
          <w:color w:val="auto"/>
        </w:rPr>
      </w:pPr>
    </w:p>
    <w:p>
      <w:pPr>
        <w:ind w:left="1580" w:right="20" w:hanging="532"/>
        <w:spacing w:after="0" w:line="291"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(the "</w:t>
      </w:r>
      <w:r>
        <w:rPr>
          <w:rFonts w:ascii="Arial" w:cs="Arial" w:eastAsia="Arial" w:hAnsi="Arial"/>
          <w:sz w:val="16"/>
          <w:szCs w:val="16"/>
          <w:i w:val="1"/>
          <w:iCs w:val="1"/>
          <w:color w:val="auto"/>
        </w:rPr>
        <w:t>Incumbent Directors</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stockholders, was approved by a vote of at least a majority of the Incumbent Directors at such time shall become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7" w:lineRule="exact"/>
        <w:rPr>
          <w:rFonts w:ascii="Arial" w:cs="Arial" w:eastAsia="Arial" w:hAnsi="Arial"/>
          <w:sz w:val="16"/>
          <w:szCs w:val="16"/>
          <w:color w:val="auto"/>
        </w:rPr>
      </w:pPr>
    </w:p>
    <w:p>
      <w:pPr>
        <w:ind w:left="1580" w:hanging="532"/>
        <w:spacing w:after="0" w:line="290" w:lineRule="auto"/>
        <w:tabs>
          <w:tab w:leader="none" w:pos="1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Consummation of a reorganization, merger, consolidation, sale or other disposition of all or substantially all of the assets of the Company, the purchase of assets or stock of another entity, or other similar corporate transaction (a "</w:t>
      </w:r>
      <w:r>
        <w:rPr>
          <w:rFonts w:ascii="Arial" w:cs="Arial" w:eastAsia="Arial" w:hAnsi="Arial"/>
          <w:sz w:val="16"/>
          <w:szCs w:val="16"/>
          <w:i w:val="1"/>
          <w:iCs w:val="1"/>
          <w:color w:val="auto"/>
        </w:rPr>
        <w:t>Business Combination</w:t>
      </w:r>
      <w:r>
        <w:rPr>
          <w:rFonts w:ascii="Arial" w:cs="Arial" w:eastAsia="Arial" w:hAnsi="Arial"/>
          <w:sz w:val="16"/>
          <w:szCs w:val="16"/>
          <w:color w:val="auto"/>
        </w:rPr>
        <w:t>"), in each case, unless immediately following such Business Combination, (A) more than 50% of the Resulting Voting Power shall reside in Outstanding Company Voting Securities retained by the Company's stockholders in the Business Combination and/or voting securities received by such stockholders in the Business Combination on account of Outstanding Company Voting Securities, and (B) at least a majority of the members of the board of directors (or equivalent governing body, if applicable) of the entity resulting from such Business Combination were Incumbent Directors at the time of the initial agreement, or action of the Board, providing for such Business Combination; or</w:t>
      </w:r>
    </w:p>
    <w:p>
      <w:pPr>
        <w:spacing w:after="0" w:line="185" w:lineRule="exact"/>
        <w:rPr>
          <w:rFonts w:ascii="Arial" w:cs="Arial" w:eastAsia="Arial" w:hAnsi="Arial"/>
          <w:sz w:val="16"/>
          <w:szCs w:val="16"/>
          <w:color w:val="auto"/>
        </w:rPr>
      </w:pPr>
    </w:p>
    <w:p>
      <w:pPr>
        <w:ind w:left="1580" w:hanging="532"/>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113" w:name="page114"/>
    <w:bookmarkEnd w:id="113"/>
    <w:p>
      <w:pPr>
        <w:ind w:right="380"/>
        <w:spacing w:after="0" w:line="259" w:lineRule="auto"/>
        <w:rPr>
          <w:sz w:val="20"/>
          <w:szCs w:val="20"/>
          <w:color w:val="auto"/>
        </w:rPr>
      </w:pPr>
      <w:r>
        <w:rPr>
          <w:rFonts w:ascii="Arial" w:cs="Arial" w:eastAsia="Arial" w:hAnsi="Arial"/>
          <w:sz w:val="18"/>
          <w:szCs w:val="18"/>
          <w:color w:val="auto"/>
        </w:rPr>
        <w:t>Notwithstanding the foregoing, the Separation shall not constitute a Change in Control. For the avoidance of doubt, with respect to Adjusted Awards, any reference in an Award Agreement or the applicable IAC Long Term Incentive Plan to a "change in control," "change of control" or similar definition shall be deemed to refer to a Change of Control hereunder.</w:t>
      </w:r>
    </w:p>
    <w:p>
      <w:pPr>
        <w:spacing w:after="0" w:line="194" w:lineRule="exact"/>
        <w:rPr>
          <w:sz w:val="20"/>
          <w:szCs w:val="20"/>
          <w:color w:val="auto"/>
        </w:rPr>
      </w:pPr>
    </w:p>
    <w:p>
      <w:pPr>
        <w:ind w:right="80" w:firstLine="359"/>
        <w:spacing w:after="0" w:line="286" w:lineRule="auto"/>
        <w:tabs>
          <w:tab w:leader="none" w:pos="6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purposes of this Section 10, "Good Reason" 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 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w:t>
      </w:r>
      <w:r>
        <w:rPr>
          <w:rFonts w:ascii="Arial" w:cs="Arial" w:eastAsia="Arial" w:hAnsi="Arial"/>
          <w:sz w:val="16"/>
          <w:szCs w:val="16"/>
          <w:i w:val="1"/>
          <w:iCs w:val="1"/>
          <w:color w:val="auto"/>
        </w:rPr>
        <w:t>Cure Period</w:t>
      </w:r>
      <w:r>
        <w:rPr>
          <w:rFonts w:ascii="Arial" w:cs="Arial" w:eastAsia="Arial" w:hAnsi="Arial"/>
          <w:sz w:val="16"/>
          <w:szCs w:val="16"/>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1" w:lineRule="exact"/>
        <w:rPr>
          <w:rFonts w:ascii="Arial" w:cs="Arial" w:eastAsia="Arial" w:hAnsi="Arial"/>
          <w:sz w:val="16"/>
          <w:szCs w:val="16"/>
          <w:color w:val="auto"/>
        </w:rPr>
      </w:pPr>
    </w:p>
    <w:p>
      <w:pPr>
        <w:ind w:right="200" w:firstLine="359"/>
        <w:spacing w:after="0" w:line="268"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the foregoing, if any Award is subject to Section 409A of the Code, this Section 10 shall be applicable only to the extent specifically provided in the Award Agreement and as permitted pursuant to Section 14(k).</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11. Qualified Performance-Based Awards; Section 16(b)xxx</w:t>
      </w:r>
    </w:p>
    <w:p>
      <w:pPr>
        <w:spacing w:after="0" w:line="231" w:lineRule="exact"/>
        <w:rPr>
          <w:sz w:val="20"/>
          <w:szCs w:val="20"/>
          <w:color w:val="auto"/>
        </w:rPr>
      </w:pPr>
    </w:p>
    <w:p>
      <w:pPr>
        <w:ind w:firstLine="359"/>
        <w:spacing w:after="0" w:line="287"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provisions of this Plan are intended to ensure that all Options and Stock Appreciation Rights granted hereunder to any Participant who is or may be a "covered employee" (within the meaning of Section 162(m)(3) of the Code) in the tax year in which such Option or Stock Appreciation Right is expected to be deductible to the Company qualify for the Section 162(m) Exemption, and all such Awards shall therefore be considered Qualified Performance-Based Awards and this Plan shall be interpreted and operated consistent with that intention (including, without limitation, to require that all such Awards be granted by a committee composed solely of members who satisfy the requirements for being "outside directors" for purposes of the Section 162(m) Exemption ("</w:t>
      </w:r>
      <w:r>
        <w:rPr>
          <w:rFonts w:ascii="Arial" w:cs="Arial" w:eastAsia="Arial" w:hAnsi="Arial"/>
          <w:sz w:val="16"/>
          <w:szCs w:val="16"/>
          <w:i w:val="1"/>
          <w:iCs w:val="1"/>
          <w:color w:val="auto"/>
        </w:rPr>
        <w:t>Outside</w:t>
      </w:r>
      <w:r>
        <w:rPr>
          <w:rFonts w:ascii="Arial" w:cs="Arial" w:eastAsia="Arial" w:hAnsi="Arial"/>
          <w:sz w:val="16"/>
          <w:szCs w:val="16"/>
          <w:color w:val="auto"/>
        </w:rPr>
        <w:t xml:space="preserve"> </w:t>
      </w:r>
      <w:r>
        <w:rPr>
          <w:rFonts w:ascii="Arial" w:cs="Arial" w:eastAsia="Arial" w:hAnsi="Arial"/>
          <w:sz w:val="16"/>
          <w:szCs w:val="16"/>
          <w:i w:val="1"/>
          <w:iCs w:val="1"/>
          <w:color w:val="auto"/>
        </w:rPr>
        <w:t>Directors</w:t>
      </w:r>
      <w:r>
        <w:rPr>
          <w:rFonts w:ascii="Arial" w:cs="Arial" w:eastAsia="Arial" w:hAnsi="Arial"/>
          <w:sz w:val="16"/>
          <w:szCs w:val="16"/>
          <w:color w:val="auto"/>
        </w:rPr>
        <w:t>")). When granting any Award other than an Option or Stock Appreciation Right, the Committee may designate such Award as a Qualified Performance-Based Award, based upon a determination that (i) the recipient is or may be a "covered employee" (within the meaning of Section 162(m)(3) of the Code) with respect to such Award, and (ii) the Committee wishes such Award to qualify for the Section 162(m) Exemption, and the terms of any such Award (and of the grant thereof) shall be consistent with such designation (including, without limitation, that all such Awards be granted by a committee composed solely of Outside Directors).</w:t>
      </w:r>
    </w:p>
    <w:p>
      <w:pPr>
        <w:spacing w:after="0" w:line="176" w:lineRule="exact"/>
        <w:rPr>
          <w:rFonts w:ascii="Arial" w:cs="Arial" w:eastAsia="Arial" w:hAnsi="Arial"/>
          <w:sz w:val="16"/>
          <w:szCs w:val="16"/>
          <w:color w:val="auto"/>
        </w:rPr>
      </w:pPr>
    </w:p>
    <w:p>
      <w:pPr>
        <w:ind w:right="40" w:firstLine="359"/>
        <w:spacing w:after="0" w:line="254" w:lineRule="auto"/>
        <w:tabs>
          <w:tab w:leader="none" w:pos="6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Qualified Performance-Based Award (other than an Option or Stock Appreciation Right) shall be earned, vested and payable (as applicable) only upon the achievement of one or more Performance Goals (as certified in writing by the Committee, except if compensation is attributable solely to the increase in the value of the Common Stock) (but in no event shall such Award be payable later than two and a half months after the end of the fiscal year in which the Qualified Performance-Based Award becomes earned and vested (as applicable)), together with the satisfaction of any other conditions, such as continued employment, as the Committee may determine to be appropriate, and no Qualified Performance-Based Award may be amended, nor may the Committee exercise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ind w:right="100"/>
        <w:spacing w:after="0" w:line="294" w:lineRule="auto"/>
        <w:rPr>
          <w:sz w:val="20"/>
          <w:szCs w:val="20"/>
          <w:color w:val="auto"/>
        </w:rPr>
      </w:pPr>
      <w:r>
        <w:rPr>
          <w:rFonts w:ascii="Arial" w:cs="Arial" w:eastAsia="Arial" w:hAnsi="Arial"/>
          <w:sz w:val="16"/>
          <w:szCs w:val="16"/>
          <w:color w:val="auto"/>
        </w:rPr>
        <w:t xml:space="preserve">discretionary authority it may otherwise have under this Plan with respect to a Qualified Performance-Based Award under this Plan, in any manner that would cause the Qualified Performance-Based Award to cease to qualify for the Section 162(m) Exemption;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Committee may provide, either in connection with the grant of the applicable Award or by amendment thereafter, that achievement of such Performance Goals will be waived upon the death or Disability of the Participant or under any other circumstance with respect to which the existence of such possible waiver will not cause the Award to fail to qualify for the Section 162(m) Exemption as of the Grant Date, and (ii) the provisions of Section 10 shall apply notwithstanding this Section 11(b).</w:t>
      </w:r>
    </w:p>
    <w:p>
      <w:pPr>
        <w:spacing w:after="0" w:line="170" w:lineRule="exact"/>
        <w:rPr>
          <w:sz w:val="20"/>
          <w:szCs w:val="20"/>
          <w:color w:val="auto"/>
        </w:rPr>
      </w:pPr>
    </w:p>
    <w:p>
      <w:pPr>
        <w:ind w:right="420" w:firstLine="359"/>
        <w:spacing w:after="0" w:line="332" w:lineRule="auto"/>
        <w:tabs>
          <w:tab w:leader="none" w:pos="6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full Board shall not be permitted to exercise authority granted to the Committee to the extent that the grant or exercise of such authority would cause an Award designated as a Qualified Performance-Based Award not to qualify for, or to cease to qualify for, the Section 162(m) Exemption.</w:t>
      </w:r>
    </w:p>
    <w:p>
      <w:pPr>
        <w:spacing w:after="0" w:line="139" w:lineRule="exact"/>
        <w:rPr>
          <w:rFonts w:ascii="Arial" w:cs="Arial" w:eastAsia="Arial" w:hAnsi="Arial"/>
          <w:sz w:val="16"/>
          <w:szCs w:val="16"/>
          <w:color w:val="auto"/>
        </w:rPr>
      </w:pPr>
    </w:p>
    <w:p>
      <w:pPr>
        <w:jc w:val="both"/>
        <w:ind w:right="160" w:firstLine="359"/>
        <w:spacing w:after="0" w:line="283" w:lineRule="auto"/>
        <w:tabs>
          <w:tab w:leader="none" w:pos="6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provisions of this Plan are intended to ensure that no transaction under the Plan is subject to (and not exempt from) the short-swing recovery rules of Section 16(b) of the Exchange Act ("</w:t>
      </w:r>
      <w:r>
        <w:rPr>
          <w:rFonts w:ascii="Arial" w:cs="Arial" w:eastAsia="Arial" w:hAnsi="Arial"/>
          <w:sz w:val="16"/>
          <w:szCs w:val="16"/>
          <w:i w:val="1"/>
          <w:iCs w:val="1"/>
          <w:color w:val="auto"/>
        </w:rPr>
        <w:t>Section 16(b)</w:t>
      </w:r>
      <w:r>
        <w:rPr>
          <w:rFonts w:ascii="Arial" w:cs="Arial" w:eastAsia="Arial" w:hAnsi="Arial"/>
          <w:sz w:val="16"/>
          <w:szCs w:val="16"/>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16(b).</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12. Term, Amendment and Termination</w:t>
      </w:r>
    </w:p>
    <w:p>
      <w:pPr>
        <w:spacing w:after="0" w:line="231" w:lineRule="exact"/>
        <w:rPr>
          <w:sz w:val="20"/>
          <w:szCs w:val="20"/>
          <w:color w:val="auto"/>
        </w:rPr>
      </w:pPr>
    </w:p>
    <w:p>
      <w:pPr>
        <w:ind w:right="260" w:firstLine="359"/>
        <w:spacing w:after="0" w:line="332" w:lineRule="auto"/>
        <w:tabs>
          <w:tab w:leader="none" w:pos="678"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The Plan shall be effective as of the date (the "</w:t>
      </w:r>
      <w:r>
        <w:rPr>
          <w:rFonts w:ascii="Arial" w:cs="Arial" w:eastAsia="Arial" w:hAnsi="Arial"/>
          <w:sz w:val="16"/>
          <w:szCs w:val="16"/>
          <w:i w:val="1"/>
          <w:iCs w:val="1"/>
          <w:color w:val="auto"/>
        </w:rPr>
        <w:t>Effective Date</w:t>
      </w:r>
      <w:r>
        <w:rPr>
          <w:rFonts w:ascii="Arial" w:cs="Arial" w:eastAsia="Arial" w:hAnsi="Arial"/>
          <w:sz w:val="16"/>
          <w:szCs w:val="16"/>
          <w:color w:val="auto"/>
        </w:rPr>
        <w:t>") it is adopted by the Board, subject to the approval by the holders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a majority of the voting power represented by outstanding capital stock of the Company that is entitled generally to vote in the election of directors.</w:t>
      </w:r>
    </w:p>
    <w:p>
      <w:pPr>
        <w:spacing w:after="0" w:line="139" w:lineRule="exact"/>
        <w:rPr>
          <w:rFonts w:ascii="Arial" w:cs="Arial" w:eastAsia="Arial" w:hAnsi="Arial"/>
          <w:sz w:val="16"/>
          <w:szCs w:val="16"/>
          <w:color w:val="auto"/>
        </w:rPr>
      </w:pPr>
    </w:p>
    <w:p>
      <w:pPr>
        <w:ind w:right="540" w:firstLine="359"/>
        <w:spacing w:after="0" w:line="268" w:lineRule="auto"/>
        <w:tabs>
          <w:tab w:leader="none" w:pos="68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the tenth anniversary of the Effective Date. Awards outstanding as of such date shall not be affected 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by the termination of the Plan.</w:t>
      </w:r>
    </w:p>
    <w:p>
      <w:pPr>
        <w:spacing w:after="0" w:line="185" w:lineRule="exact"/>
        <w:rPr>
          <w:rFonts w:ascii="Arial" w:cs="Arial" w:eastAsia="Arial" w:hAnsi="Arial"/>
          <w:sz w:val="18"/>
          <w:szCs w:val="18"/>
          <w:color w:val="auto"/>
        </w:rPr>
      </w:pPr>
    </w:p>
    <w:p>
      <w:pPr>
        <w:ind w:firstLine="359"/>
        <w:spacing w:after="0" w:line="255" w:lineRule="auto"/>
        <w:tabs>
          <w:tab w:leader="none" w:pos="67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may amend, alter, or discontinue the Plan, but no amendment, alteration or discontinuation shall be made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w:t>
      </w:r>
    </w:p>
    <w:p>
      <w:pPr>
        <w:spacing w:after="0" w:line="196" w:lineRule="exact"/>
        <w:rPr>
          <w:rFonts w:ascii="Arial" w:cs="Arial" w:eastAsia="Arial" w:hAnsi="Arial"/>
          <w:sz w:val="18"/>
          <w:szCs w:val="18"/>
          <w:color w:val="auto"/>
        </w:rPr>
      </w:pPr>
    </w:p>
    <w:p>
      <w:pPr>
        <w:ind w:right="200" w:firstLine="359"/>
        <w:spacing w:after="0" w:line="256" w:lineRule="auto"/>
        <w:tabs>
          <w:tab w:leader="none" w:pos="68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5(d), the Committee may unilaterally amend the terms of any Award theretofore granted, but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shall cause a Qualified Performance-Based Award to cease to qualify for the Section 162(m) Exemption or without the Participant's consent materially impair the rights of any Participant with respect to an Award, except such an amendment made to cause the Plan or Award to comply with applicable law, stock exchange rules or accounting rules.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13. Unfunded Status of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presently intended that the Plan constitute an "unfunded" plan for incentive and deferred compensation. Solely to the extent permitted under</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Section 409A, the Committee may authorize the creation of trusts or other arrangements to meet the obligations created under the Plan to deliver Common Stock or make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existence of such trusts or other arrangements is consistent with the "unfunded" status of the Plan. Notwithstanding any other provision of this Plan to the contrary, with respect to any Award that constitutes a "nonqualified deferred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5" w:name="page116"/>
    <w:bookmarkEnd w:id="115"/>
    <w:p>
      <w:pPr>
        <w:spacing w:after="0" w:line="259" w:lineRule="auto"/>
        <w:rPr>
          <w:sz w:val="20"/>
          <w:szCs w:val="20"/>
          <w:color w:val="auto"/>
        </w:rPr>
      </w:pPr>
      <w:r>
        <w:rPr>
          <w:rFonts w:ascii="Arial" w:cs="Arial" w:eastAsia="Arial" w:hAnsi="Arial"/>
          <w:sz w:val="18"/>
          <w:szCs w:val="18"/>
          <w:color w:val="auto"/>
        </w:rPr>
        <w:t>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14. General Provisions</w:t>
      </w:r>
    </w:p>
    <w:p>
      <w:pPr>
        <w:spacing w:after="0" w:line="231" w:lineRule="exact"/>
        <w:rPr>
          <w:sz w:val="20"/>
          <w:szCs w:val="20"/>
          <w:color w:val="auto"/>
        </w:rPr>
      </w:pPr>
    </w:p>
    <w:p>
      <w:pPr>
        <w:ind w:right="60" w:firstLine="359"/>
        <w:spacing w:after="0" w:line="288" w:lineRule="auto"/>
        <w:tabs>
          <w:tab w:leader="none" w:pos="678"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 agree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73" w:lineRule="exact"/>
        <w:rPr>
          <w:rFonts w:ascii="Arial" w:cs="Arial" w:eastAsia="Arial" w:hAnsi="Arial"/>
          <w:sz w:val="16"/>
          <w:szCs w:val="16"/>
          <w:color w:val="auto"/>
        </w:rPr>
      </w:pPr>
    </w:p>
    <w:p>
      <w:pPr>
        <w:ind w:right="60" w:firstLine="359"/>
        <w:spacing w:after="0" w:line="268" w:lineRule="auto"/>
        <w:tabs>
          <w:tab w:leader="none" w:pos="68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the Plan shall prevent the Company or any Subsidiary or Affiliate from adopting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 additional compensation arrangements for its employees.</w:t>
      </w:r>
    </w:p>
    <w:p>
      <w:pPr>
        <w:spacing w:after="0" w:line="185" w:lineRule="exact"/>
        <w:rPr>
          <w:rFonts w:ascii="Arial" w:cs="Arial" w:eastAsia="Arial" w:hAnsi="Arial"/>
          <w:sz w:val="18"/>
          <w:szCs w:val="18"/>
          <w:color w:val="auto"/>
        </w:rPr>
      </w:pPr>
    </w:p>
    <w:p>
      <w:pPr>
        <w:ind w:right="20" w:firstLine="359"/>
        <w:spacing w:after="0" w:line="259" w:lineRule="auto"/>
        <w:tabs>
          <w:tab w:leader="none" w:pos="67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and adoption of the Plan shall not confer upon any employee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continued employment, nor shall it interfere in any way with the right of the Company or any Subsidiary or Affiliate to terminate the employment of any employee at any time.</w:t>
      </w:r>
    </w:p>
    <w:p>
      <w:pPr>
        <w:spacing w:after="0" w:line="194" w:lineRule="exact"/>
        <w:rPr>
          <w:rFonts w:ascii="Arial" w:cs="Arial" w:eastAsia="Arial" w:hAnsi="Arial"/>
          <w:sz w:val="18"/>
          <w:szCs w:val="18"/>
          <w:color w:val="auto"/>
        </w:rPr>
      </w:pPr>
    </w:p>
    <w:p>
      <w:pPr>
        <w:ind w:right="60" w:firstLine="359"/>
        <w:spacing w:after="0" w:line="289" w:lineRule="auto"/>
        <w:tabs>
          <w:tab w:leader="none" w:pos="688"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 local or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income or employment or 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72" w:lineRule="exact"/>
        <w:rPr>
          <w:rFonts w:ascii="Arial" w:cs="Arial" w:eastAsia="Arial" w:hAnsi="Arial"/>
          <w:sz w:val="16"/>
          <w:szCs w:val="16"/>
          <w:color w:val="auto"/>
        </w:rPr>
      </w:pPr>
    </w:p>
    <w:p>
      <w:pPr>
        <w:ind w:right="60" w:firstLine="359"/>
        <w:spacing w:after="0" w:line="291" w:lineRule="auto"/>
        <w:tabs>
          <w:tab w:leader="none" w:pos="678"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Limitation on Dividend Reinvestment and Dividend Equivalents</w:t>
      </w:r>
      <w:r>
        <w:rPr>
          <w:rFonts w:ascii="Arial" w:cs="Arial" w:eastAsia="Arial" w:hAnsi="Arial"/>
          <w:sz w:val="16"/>
          <w:szCs w:val="16"/>
          <w:color w:val="auto"/>
        </w:rPr>
        <w:t>. Reinvestment of dividends in additional Restricted Stock at the time of any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and the payment of Shares with respect to dividends to Participants holding Awards of Restricted Stock Units, shall only be permissible if sufficient Shares are available under Section 3 for such reinvestment or payment (taking into account then outstanding Awards).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14(e).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ind w:right="120" w:firstLine="359"/>
        <w:spacing w:after="0" w:line="259" w:lineRule="auto"/>
        <w:tabs>
          <w:tab w:leader="none" w:pos="702"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any amounts payable in the event of such Participant's death are to be paid or by whom any rights of such eligible Individual, after such Participant's death, may be exercised.</w:t>
      </w:r>
    </w:p>
    <w:p>
      <w:pPr>
        <w:spacing w:after="0" w:line="194" w:lineRule="exact"/>
        <w:rPr>
          <w:rFonts w:ascii="Arial" w:cs="Arial" w:eastAsia="Arial" w:hAnsi="Arial"/>
          <w:sz w:val="18"/>
          <w:szCs w:val="18"/>
          <w:color w:val="auto"/>
        </w:rPr>
      </w:pPr>
    </w:p>
    <w:p>
      <w:pPr>
        <w:ind w:right="240" w:firstLine="359"/>
        <w:spacing w:after="0" w:line="298" w:lineRule="auto"/>
        <w:tabs>
          <w:tab w:leader="none" w:pos="688"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Subsidiary Employees</w:t>
      </w:r>
      <w:r>
        <w:rPr>
          <w:rFonts w:ascii="Arial" w:cs="Arial" w:eastAsia="Arial" w:hAnsi="Arial"/>
          <w:sz w:val="16"/>
          <w:szCs w:val="16"/>
          <w:color w:val="auto"/>
        </w:rPr>
        <w:t>. In the case of a grant of an Award to any employee of a Subsidiary of the Company, the Company may, if the Committee so</w:t>
      </w:r>
      <w:r>
        <w:rPr>
          <w:rFonts w:ascii="Arial" w:cs="Arial" w:eastAsia="Arial" w:hAnsi="Arial"/>
          <w:sz w:val="16"/>
          <w:szCs w:val="16"/>
          <w:i w:val="1"/>
          <w:iCs w:val="1"/>
          <w:color w:val="auto"/>
        </w:rPr>
        <w:t xml:space="preserve"> </w:t>
      </w:r>
      <w:r>
        <w:rPr>
          <w:rFonts w:ascii="Arial" w:cs="Arial" w:eastAsia="Arial" w:hAnsi="Arial"/>
          <w:sz w:val="16"/>
          <w:szCs w:val="16"/>
          <w:color w:val="auto"/>
        </w:rPr>
        <w:t>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the Plan. All Shares underlying Awards that are forfeited or canceled should revert to the Company.</w:t>
      </w:r>
    </w:p>
    <w:p>
      <w:pPr>
        <w:spacing w:after="0" w:line="166" w:lineRule="exact"/>
        <w:rPr>
          <w:rFonts w:ascii="Arial" w:cs="Arial" w:eastAsia="Arial" w:hAnsi="Arial"/>
          <w:sz w:val="16"/>
          <w:szCs w:val="16"/>
          <w:color w:val="auto"/>
        </w:rPr>
      </w:pPr>
    </w:p>
    <w:p>
      <w:pPr>
        <w:ind w:right="80" w:firstLine="359"/>
        <w:spacing w:after="0" w:line="259" w:lineRule="auto"/>
        <w:tabs>
          <w:tab w:leader="none" w:pos="68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all Awards made and actions taken thereunder shall be governed by and construed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without reference to principles of conflict of laws. The captions of this Plan are not part of the provisions hereof and shall have no force or effect.</w:t>
      </w:r>
    </w:p>
    <w:p>
      <w:pPr>
        <w:spacing w:after="0" w:line="194" w:lineRule="exact"/>
        <w:rPr>
          <w:rFonts w:ascii="Arial" w:cs="Arial" w:eastAsia="Arial" w:hAnsi="Arial"/>
          <w:sz w:val="18"/>
          <w:szCs w:val="18"/>
          <w:color w:val="auto"/>
        </w:rPr>
      </w:pPr>
    </w:p>
    <w:p>
      <w:pPr>
        <w:ind w:right="180" w:firstLine="359"/>
        <w:spacing w:after="0" w:line="268" w:lineRule="auto"/>
        <w:tabs>
          <w:tab w:leader="none" w:pos="692"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 5(j) or by the Committee, Awards under the Plan are not transferable except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by laws of descent and distribution.</w:t>
      </w:r>
    </w:p>
    <w:p>
      <w:pPr>
        <w:spacing w:after="0" w:line="185" w:lineRule="exact"/>
        <w:rPr>
          <w:rFonts w:ascii="Arial" w:cs="Arial" w:eastAsia="Arial" w:hAnsi="Arial"/>
          <w:sz w:val="18"/>
          <w:szCs w:val="18"/>
          <w:color w:val="auto"/>
        </w:rPr>
      </w:pPr>
    </w:p>
    <w:p>
      <w:pPr>
        <w:ind w:right="60" w:firstLine="359"/>
        <w:spacing w:after="0" w:line="291" w:lineRule="auto"/>
        <w:tabs>
          <w:tab w:leader="none" w:pos="692"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Foreign Employees and Foreign Law Considerations</w:t>
      </w:r>
      <w:r>
        <w:rPr>
          <w:rFonts w:ascii="Arial" w:cs="Arial" w:eastAsia="Arial" w:hAnsi="Arial"/>
          <w:sz w:val="16"/>
          <w:szCs w:val="16"/>
          <w:color w:val="auto"/>
        </w:rPr>
        <w:t>. The Committee may grant Awards to Eligible Individuals who are foreign nationals,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74" w:lineRule="exact"/>
        <w:rPr>
          <w:rFonts w:ascii="Arial" w:cs="Arial" w:eastAsia="Arial" w:hAnsi="Arial"/>
          <w:sz w:val="16"/>
          <w:szCs w:val="16"/>
          <w:color w:val="auto"/>
        </w:rPr>
      </w:pPr>
    </w:p>
    <w:p>
      <w:pPr>
        <w:ind w:right="140" w:firstLine="359"/>
        <w:spacing w:after="0" w:line="302" w:lineRule="auto"/>
        <w:tabs>
          <w:tab w:leader="none" w:pos="688"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Section 409A of the Code</w:t>
      </w:r>
      <w:r>
        <w:rPr>
          <w:rFonts w:ascii="Arial" w:cs="Arial" w:eastAsia="Arial" w:hAnsi="Arial"/>
          <w:sz w:val="15"/>
          <w:szCs w:val="15"/>
          <w:color w:val="auto"/>
        </w:rPr>
        <w:t>. It is the intention of the Company that no Award shall be "deferred compensation" subject to Section 409A of the Code,</w:t>
      </w:r>
      <w:r>
        <w:rPr>
          <w:rFonts w:ascii="Arial" w:cs="Arial" w:eastAsia="Arial" w:hAnsi="Arial"/>
          <w:sz w:val="15"/>
          <w:szCs w:val="15"/>
          <w:i w:val="1"/>
          <w:iCs w:val="1"/>
          <w:color w:val="auto"/>
        </w:rPr>
        <w:t xml:space="preserve"> </w:t>
      </w:r>
      <w:r>
        <w:rPr>
          <w:rFonts w:ascii="Arial" w:cs="Arial" w:eastAsia="Arial" w:hAnsi="Arial"/>
          <w:sz w:val="15"/>
          <w:szCs w:val="15"/>
          <w:color w:val="auto"/>
        </w:rPr>
        <w:t>unless and to the extent that the Committee specifically determines otherwise as provided in this Section 14(k),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w:t>
      </w:r>
    </w:p>
    <w:p>
      <w:pPr>
        <w:spacing w:after="0" w:line="1" w:lineRule="exact"/>
        <w:rPr>
          <w:rFonts w:ascii="Arial" w:cs="Arial" w:eastAsia="Arial" w:hAnsi="Arial"/>
          <w:sz w:val="15"/>
          <w:szCs w:val="15"/>
          <w:color w:val="auto"/>
        </w:rPr>
      </w:pPr>
    </w:p>
    <w:p>
      <w:pPr>
        <w:spacing w:after="0" w:line="295" w:lineRule="auto"/>
        <w:rPr>
          <w:rFonts w:ascii="Arial" w:cs="Arial" w:eastAsia="Arial" w:hAnsi="Arial"/>
          <w:sz w:val="15"/>
          <w:szCs w:val="15"/>
          <w:color w:val="auto"/>
        </w:rPr>
      </w:pPr>
      <w:r>
        <w:rPr>
          <w:rFonts w:ascii="Arial" w:cs="Arial" w:eastAsia="Arial" w:hAnsi="Arial"/>
          <w:sz w:val="16"/>
          <w:szCs w:val="16"/>
          <w:color w:val="auto"/>
        </w:rPr>
        <w:t>Notwithstanding any other provision of the Plan to the contrary, with respect to any Award that constitutes a "nonqualified deferred compensation plan" subject to Section 409A of the Code, any payments (whether in cash, Shares or other property) to be made with respect to the Award upon the Participant's Termination of Employment shall be delayed until the earlier of (A) the first day of the seventh month following the Participant's Termination of Employment if the Participant is a "specified employee" within the meaning of Section 409A of the Code and (B) the Participant's death.</w:t>
      </w:r>
    </w:p>
    <w:p>
      <w:pPr>
        <w:spacing w:after="0" w:line="169" w:lineRule="exact"/>
        <w:rPr>
          <w:rFonts w:ascii="Arial" w:cs="Arial" w:eastAsia="Arial" w:hAnsi="Arial"/>
          <w:sz w:val="15"/>
          <w:szCs w:val="15"/>
          <w:color w:val="auto"/>
        </w:rPr>
      </w:pPr>
    </w:p>
    <w:p>
      <w:pPr>
        <w:jc w:val="both"/>
        <w:ind w:right="120" w:firstLine="359"/>
        <w:spacing w:after="0" w:line="259" w:lineRule="auto"/>
        <w:tabs>
          <w:tab w:leader="none" w:pos="692"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Employee Matters Agreement</w:t>
      </w:r>
      <w:r>
        <w:rPr>
          <w:rFonts w:ascii="Arial" w:cs="Arial" w:eastAsia="Arial" w:hAnsi="Arial"/>
          <w:sz w:val="18"/>
          <w:szCs w:val="18"/>
          <w:color w:val="auto"/>
        </w:rPr>
        <w:t>. Notwithstanding anything in this Plan to the contrary, to the extent that the terms of this Plan are inconsistent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an Adjusted Award, the terms of the Adjusted Award shall be governed by the Employee Matters Agreement, the applicable IAC Long-Term Incentive Plan and the award agreement entered into thereunder.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10.13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AMENDED AND RESTATED TREE.COM, INC. 2008 STOCK AND ANNUAL INCENTIVE PLAN</w:t>
        </w:r>
      </w:hyperlink>
    </w:p>
    <w:p>
      <w:pPr>
        <w:sectPr>
          <w:pgSz w:w="11900" w:h="16838" w:orient="portrait"/>
          <w:cols w:equalWidth="0" w:num="1">
            <w:col w:w="10219"/>
          </w:cols>
          <w:pgMar w:left="240" w:top="820" w:right="1440" w:bottom="1440" w:gutter="0" w:footer="0" w:header="0"/>
        </w:sectPr>
      </w:pPr>
    </w:p>
    <w:bookmarkStart w:id="118" w:name="page119"/>
    <w:bookmarkEnd w:id="118"/>
    <w:p>
      <w:pPr>
        <w:spacing w:after="0"/>
        <w:rPr>
          <w:rFonts w:ascii="Arial" w:cs="Arial" w:eastAsia="Arial" w:hAnsi="Arial"/>
          <w:sz w:val="22"/>
          <w:szCs w:val="22"/>
          <w:color w:val="0000EE"/>
        </w:rPr>
      </w:pPr>
      <w:hyperlink w:anchor="page1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40" w:type="dxa"/>
            <w:vAlign w:val="bottom"/>
          </w:tcPr>
          <w:p>
            <w:pPr>
              <w:ind w:left="1680"/>
              <w:spacing w:after="0"/>
              <w:rPr>
                <w:sz w:val="20"/>
                <w:szCs w:val="20"/>
                <w:color w:val="auto"/>
              </w:rPr>
            </w:pPr>
            <w:r>
              <w:rPr>
                <w:rFonts w:ascii="Arial" w:cs="Arial" w:eastAsia="Arial" w:hAnsi="Arial"/>
                <w:sz w:val="18"/>
                <w:szCs w:val="18"/>
                <w:b w:val="1"/>
                <w:bCs w:val="1"/>
                <w:color w:val="auto"/>
              </w:rPr>
              <w:t>SUBSIDIARIES OF TREE.COM, INC.</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60" w:type="dxa"/>
            <w:vAlign w:val="bottom"/>
            <w:gridSpan w:val="3"/>
          </w:tcPr>
          <w:p>
            <w:pPr>
              <w:ind w:left="214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left="572"/>
              <w:spacing w:after="0"/>
              <w:rPr>
                <w:sz w:val="20"/>
                <w:szCs w:val="20"/>
                <w:color w:val="auto"/>
              </w:rPr>
            </w:pPr>
            <w:r>
              <w:rPr>
                <w:rFonts w:ascii="Arial" w:cs="Arial" w:eastAsia="Arial" w:hAnsi="Arial"/>
                <w:sz w:val="14"/>
                <w:szCs w:val="14"/>
                <w:b w:val="1"/>
                <w:bCs w:val="1"/>
                <w:color w:val="auto"/>
                <w:w w:val="88"/>
              </w:rPr>
              <w:t>of Formation</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Holdings Corp.</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LendingTree, LLC</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DE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Loan Center, Inc.</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HLC Escrow, Inc.</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Settlement Services, LLC</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LendingTree Alabama Title Services, LLC</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AL</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 Real Estate, Inc.</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RealEstate.com Oregon, LLC</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OR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Acquisition Corp.</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iNest Realty, Inc.</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IL</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iNest Realty Minnesota, Inc.</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MN</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SUBSIDIARIES OF TREE.COM, INC.</w:t>
        </w:r>
      </w:hyperlink>
    </w:p>
    <w:p>
      <w:pPr>
        <w:sectPr>
          <w:pgSz w:w="11900" w:h="16838" w:orient="portrait"/>
          <w:cols w:equalWidth="0" w:num="1">
            <w:col w:w="10219"/>
          </w:cols>
          <w:pgMar w:left="240" w:top="820" w:right="1440" w:bottom="1440" w:gutter="0" w:footer="0" w:header="0"/>
        </w:sectPr>
      </w:pPr>
    </w:p>
    <w:bookmarkStart w:id="120" w:name="page121"/>
    <w:bookmarkEnd w:id="120"/>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2008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2009</w:t>
      </w:r>
    </w:p>
    <w:p>
      <w:pPr>
        <w:spacing w:after="0" w:line="200" w:lineRule="exact"/>
        <w:rPr>
          <w:sz w:val="20"/>
          <w:szCs w:val="20"/>
          <w:color w:val="auto"/>
        </w:rPr>
      </w:pPr>
    </w:p>
    <w:p>
      <w:pPr>
        <w:spacing w:after="0" w:line="26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812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left="32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121">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122" w:name="page123"/>
    <w:bookmarkEnd w:id="122"/>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2008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2009</w:t>
      </w:r>
    </w:p>
    <w:p>
      <w:pPr>
        <w:spacing w:after="0" w:line="200" w:lineRule="exact"/>
        <w:rPr>
          <w:sz w:val="20"/>
          <w:szCs w:val="20"/>
          <w:color w:val="auto"/>
        </w:rPr>
      </w:pPr>
    </w:p>
    <w:p>
      <w:pPr>
        <w:spacing w:after="0" w:line="26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81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left="326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123">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124" w:name="page125"/>
    <w:bookmarkEnd w:id="124"/>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Douglas R. Lebda, certify, pursuant to Section 906 of the Sarbanes-Oxley Act of 2002, 18 U.S.C. Section 1350, that:</w:t>
      </w:r>
    </w:p>
    <w:p>
      <w:pPr>
        <w:spacing w:after="0" w:line="239" w:lineRule="exact"/>
        <w:rPr>
          <w:sz w:val="20"/>
          <w:szCs w:val="20"/>
          <w:color w:val="auto"/>
        </w:rPr>
      </w:pPr>
    </w:p>
    <w:p>
      <w:pPr>
        <w:ind w:left="1080" w:right="60" w:hanging="532"/>
        <w:spacing w:after="0" w:line="370" w:lineRule="auto"/>
        <w:tabs>
          <w:tab w:leader="none" w:pos="10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2008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Dated: February 26,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62230</wp:posOffset>
            </wp:positionV>
            <wp:extent cx="19812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A. Packey, certify, pursuant to Section 906 of the Sarbanes-Oxley Act of 2002, 18 U.S.C. Section 1350, that:</w:t>
      </w:r>
    </w:p>
    <w:p>
      <w:pPr>
        <w:spacing w:after="0" w:line="239" w:lineRule="exact"/>
        <w:rPr>
          <w:sz w:val="20"/>
          <w:szCs w:val="20"/>
          <w:color w:val="auto"/>
        </w:rPr>
      </w:pPr>
    </w:p>
    <w:p>
      <w:pPr>
        <w:ind w:left="1080" w:right="60" w:hanging="532"/>
        <w:spacing w:after="0" w:line="370" w:lineRule="auto"/>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Annual Report on Form 10-K for the fiscal year ended December 31, 2008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Dated: February 26,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62230</wp:posOffset>
            </wp:positionV>
            <wp:extent cx="19812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right="17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lowerRoman"/>
      <w:start w:val="2"/>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lowerRoman"/>
      <w:start w:val="2"/>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lowerLetter"/>
      <w:start w:val="2"/>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decimal"/>
      <w:start w:val="3"/>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lvl w:ilvl="1">
      <w:lvlJc w:val="left"/>
      <w:lvlText w:val="(%2)"/>
      <w:numFmt w:val="lowerLetter"/>
      <w:start w:val="14"/>
    </w:lvl>
  </w:abstractNum>
  <w:abstractNum w:abstractNumId="33">
    <w:nsid w:val="684A481A"/>
    <w:multiLevelType w:val="hybridMultilevel"/>
    <w:lvl w:ilvl="0">
      <w:lvlJc w:val="left"/>
      <w:lvlText w:val="(%1)"/>
      <w:numFmt w:val="lowerLetter"/>
      <w:start w:val="22"/>
    </w:lvl>
    <w:lvl w:ilvl="1">
      <w:lvlJc w:val="left"/>
      <w:lvlText w:val="(%2)"/>
      <w:numFmt w:val="lowerLetter"/>
      <w:start w:val="19"/>
    </w:lvl>
  </w:abstractNum>
  <w:abstractNum w:abstractNumId="34">
    <w:nsid w:val="579478FE"/>
    <w:multiLevelType w:val="hybridMultilevel"/>
    <w:lvl w:ilvl="0">
      <w:lvlJc w:val="left"/>
      <w:lvlText w:val="(%1)"/>
      <w:numFmt w:val="lowerLetter"/>
      <w:start w:val="25"/>
    </w:lvl>
  </w:abstractNum>
  <w:abstractNum w:abstractNumId="35">
    <w:nsid w:val="749ABB43"/>
    <w:multiLevelType w:val="hybridMultilevel"/>
    <w:lvl w:ilvl="0">
      <w:lvlJc w:val="left"/>
      <w:lvlText w:val="(%1)"/>
      <w:numFmt w:val="lowerLetter"/>
      <w:start w:val="27"/>
    </w:lvl>
  </w:abstractNum>
  <w:abstractNum w:abstractNumId="36">
    <w:nsid w:val="3DC240FB"/>
    <w:multiLevelType w:val="hybridMultilevel"/>
    <w:lvl w:ilvl="0">
      <w:lvlJc w:val="left"/>
      <w:lvlText w:val="(%1)"/>
      <w:numFmt w:val="lowerLetter"/>
      <w:start w:val="41"/>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lowerLetter"/>
      <w:start w:val="1"/>
    </w:lvl>
    <w:lvl w:ilvl="1">
      <w:lvlJc w:val="left"/>
      <w:lvlText w:val="(%2)"/>
      <w:numFmt w:val="lowerRoman"/>
      <w:start w:val="1"/>
    </w:lvl>
  </w:abstractNum>
  <w:abstractNum w:abstractNumId="39">
    <w:nsid w:val="75C6C33A"/>
    <w:multiLevelType w:val="hybridMultilevel"/>
    <w:lvl w:ilvl="0">
      <w:lvlJc w:val="left"/>
      <w:lvlText w:val="(%1)"/>
      <w:numFmt w:val="lowerLetter"/>
      <w:start w:val="2"/>
    </w:lvl>
    <w:lvl w:ilvl="1">
      <w:lvlJc w:val="left"/>
      <w:lvlText w:val="(%2)"/>
      <w:numFmt w:val="lowerRoman"/>
      <w:start w:val="1"/>
    </w:lvl>
  </w:abstractNum>
  <w:abstractNum w:abstractNumId="40">
    <w:nsid w:val="12E685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
    <w:nsid w:val="70C6A529"/>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42">
    <w:nsid w:val="520EEDD1"/>
    <w:multiLevelType w:val="hybridMultilevel"/>
    <w:lvl w:ilvl="0">
      <w:lvlJc w:val="left"/>
      <w:lvlText w:val="(%1)"/>
      <w:numFmt w:val="lowerLetter"/>
      <w:start w:val="5"/>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5">
    <w:nsid w:val="23F9C13C"/>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46">
    <w:nsid w:val="649BB77C"/>
    <w:multiLevelType w:val="hybridMultilevel"/>
    <w:lvl w:ilvl="0">
      <w:lvlJc w:val="left"/>
      <w:lvlText w:val="(%1)"/>
      <w:numFmt w:val="lowerRoman"/>
      <w:start w:val="4"/>
    </w:lvl>
  </w:abstractNum>
  <w:abstractNum w:abstractNumId="47">
    <w:nsid w:val="275AC794"/>
    <w:multiLevelType w:val="hybridMultilevel"/>
    <w:lvl w:ilvl="0">
      <w:lvlJc w:val="left"/>
      <w:lvlText w:val="(%1)"/>
      <w:numFmt w:val="lowerLetter"/>
      <w:start w:val="10"/>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2"/>
    </w:lvl>
    <w:lvl w:ilvl="1">
      <w:lvlJc w:val="left"/>
      <w:lvlText w:val="(%2)"/>
      <w:numFmt w:val="lowerRoman"/>
      <w:start w:val="1"/>
    </w:lvl>
  </w:abstractNum>
  <w:abstractNum w:abstractNumId="50">
    <w:nsid w:val="180115BE"/>
    <w:multiLevelType w:val="hybridMultilevel"/>
    <w:lvl w:ilvl="0">
      <w:lvlJc w:val="left"/>
      <w:lvlText w:val="(%1)"/>
      <w:numFmt w:val="lowerLetter"/>
      <w:start w:val="1"/>
    </w:lvl>
    <w:lvl w:ilvl="1">
      <w:lvlJc w:val="left"/>
      <w:lvlText w:val="(%2)"/>
      <w:numFmt w:val="lowerRoman"/>
      <w:start w:val="1"/>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1"/>
    </w:lvl>
    <w:lvl w:ilvl="1">
      <w:lvlJc w:val="left"/>
      <w:lvlText w:val="(%2)"/>
      <w:numFmt w:val="lowerRoman"/>
      <w:start w:val="1"/>
    </w:lvl>
  </w:abstractNum>
  <w:abstractNum w:abstractNumId="53">
    <w:nsid w:val="354FE9F9"/>
    <w:multiLevelType w:val="hybridMultilevel"/>
    <w:lvl w:ilvl="0">
      <w:lvlJc w:val="left"/>
      <w:lvlText w:val="(%1)"/>
      <w:numFmt w:val="lowerLetter"/>
      <w:start w:val="2"/>
    </w:lvl>
    <w:lvl w:ilvl="1">
      <w:lvlJc w:val="left"/>
      <w:lvlText w:val="(%2)"/>
      <w:numFmt w:val="lowerRoman"/>
      <w:start w:val="1"/>
    </w:lvl>
  </w:abstractNum>
  <w:abstractNum w:abstractNumId="54">
    <w:nsid w:val="15B5AF5C"/>
    <w:multiLevelType w:val="hybridMultilevel"/>
    <w:lvl w:ilvl="0">
      <w:lvlJc w:val="left"/>
      <w:lvlText w:val="(%1)"/>
      <w:numFmt w:val="lowerLetter"/>
      <w:start w:val="4"/>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3"/>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lowerLetter"/>
      <w:start w:val="6"/>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2019-12-11T04:23:03Z</dcterms:created>
  <dcterms:modified xsi:type="dcterms:W3CDTF">2019-12-11T04:23:03Z</dcterms:modified>
</cp:coreProperties>
</file>