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80645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5"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2021</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14"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43815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Arial" w:cs="Arial" w:eastAsia="Arial" w:hAnsi="Arial"/>
                <w:sz w:val="16"/>
                <w:szCs w:val="16"/>
                <w:b w:val="1"/>
                <w:bCs w:val="1"/>
                <w:color w:val="auto"/>
                <w:w w:val="91"/>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Arial" w:cs="Arial" w:eastAsia="Arial" w:hAnsi="Arial"/>
                <w:sz w:val="16"/>
                <w:szCs w:val="16"/>
                <w:b w:val="1"/>
                <w:bCs w:val="1"/>
                <w:color w:val="auto"/>
              </w:rPr>
              <w:t>26-2414818</w:t>
            </w:r>
          </w:p>
        </w:tc>
      </w:tr>
      <w:tr>
        <w:trPr>
          <w:trHeight w:val="230"/>
        </w:trPr>
        <w:tc>
          <w:tcPr>
            <w:tcW w:w="7440" w:type="dxa"/>
            <w:vAlign w:val="bottom"/>
            <w:gridSpan w:val="7"/>
          </w:tcPr>
          <w:p>
            <w:pPr>
              <w:jc w:val="center"/>
              <w:ind w:right="18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407"/>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1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90"/>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7"/>
                <w:szCs w:val="17"/>
                <w:color w:val="auto"/>
                <w:w w:val="90"/>
              </w:rPr>
              <w:t>(Registrant's telephone number, including area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33"/>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20"/>
        </w:trPr>
        <w:tc>
          <w:tcPr>
            <w:tcW w:w="7440" w:type="dxa"/>
            <w:vAlign w:val="bottom"/>
            <w:gridSpan w:val="7"/>
          </w:tcPr>
          <w:p>
            <w:pPr>
              <w:jc w:val="center"/>
              <w:ind w:right="350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1"/>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Arial" w:cs="Arial" w:eastAsia="Arial" w:hAnsi="Arial"/>
                <w:sz w:val="17"/>
                <w:szCs w:val="17"/>
                <w:color w:val="auto"/>
                <w:w w:val="91"/>
              </w:rPr>
              <w:t>Title of each class</w:t>
            </w:r>
          </w:p>
        </w:tc>
        <w:tc>
          <w:tcPr>
            <w:tcW w:w="3820" w:type="dxa"/>
            <w:vAlign w:val="bottom"/>
            <w:gridSpan w:val="3"/>
          </w:tcPr>
          <w:p>
            <w:pPr>
              <w:jc w:val="center"/>
              <w:ind w:right="220"/>
              <w:spacing w:after="0"/>
              <w:rPr>
                <w:sz w:val="20"/>
                <w:szCs w:val="20"/>
                <w:color w:val="auto"/>
              </w:rPr>
            </w:pPr>
            <w:r>
              <w:rPr>
                <w:rFonts w:ascii="Arial" w:cs="Arial" w:eastAsia="Arial" w:hAnsi="Arial"/>
                <w:sz w:val="17"/>
                <w:szCs w:val="17"/>
                <w:color w:val="auto"/>
                <w:w w:val="92"/>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33"/>
        </w:trPr>
        <w:tc>
          <w:tcPr>
            <w:tcW w:w="3620" w:type="dxa"/>
            <w:vAlign w:val="bottom"/>
            <w:gridSpan w:val="4"/>
          </w:tcPr>
          <w:p>
            <w:pPr>
              <w:jc w:val="center"/>
              <w:ind w:left="216"/>
              <w:spacing w:after="0"/>
              <w:rPr>
                <w:sz w:val="20"/>
                <w:szCs w:val="20"/>
                <w:color w:val="auto"/>
              </w:rPr>
            </w:pPr>
            <w:r>
              <w:rPr>
                <w:rFonts w:ascii="Arial" w:cs="Arial" w:eastAsia="Arial" w:hAnsi="Arial"/>
                <w:sz w:val="17"/>
                <w:szCs w:val="17"/>
                <w:color w:val="auto"/>
                <w:w w:val="90"/>
              </w:rPr>
              <w:t>Common Stock, $0.01 par value per share</w:t>
            </w:r>
          </w:p>
        </w:tc>
        <w:tc>
          <w:tcPr>
            <w:tcW w:w="1160" w:type="dxa"/>
            <w:vAlign w:val="bottom"/>
          </w:tcPr>
          <w:p>
            <w:pPr>
              <w:spacing w:after="0"/>
              <w:rPr>
                <w:sz w:val="20"/>
                <w:szCs w:val="20"/>
                <w:color w:val="auto"/>
              </w:rPr>
            </w:pPr>
          </w:p>
        </w:tc>
        <w:tc>
          <w:tcPr>
            <w:tcW w:w="2660" w:type="dxa"/>
            <w:vAlign w:val="bottom"/>
            <w:gridSpan w:val="2"/>
          </w:tcPr>
          <w:p>
            <w:pPr>
              <w:jc w:val="center"/>
              <w:ind w:right="1380"/>
              <w:spacing w:after="0"/>
              <w:rPr>
                <w:sz w:val="20"/>
                <w:szCs w:val="20"/>
                <w:color w:val="auto"/>
              </w:rPr>
            </w:pPr>
            <w:r>
              <w:rPr>
                <w:rFonts w:ascii="Arial" w:cs="Arial" w:eastAsia="Arial" w:hAnsi="Arial"/>
                <w:sz w:val="17"/>
                <w:szCs w:val="17"/>
                <w:color w:val="auto"/>
                <w:w w:val="96"/>
              </w:rPr>
              <w:t>TREE</w:t>
            </w:r>
          </w:p>
        </w:tc>
        <w:tc>
          <w:tcPr>
            <w:tcW w:w="12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180" w:type="dxa"/>
        <w:tblCellMar>
          <w:top w:w="0" w:type="dxa"/>
          <w:left w:w="0" w:type="dxa"/>
          <w:bottom w:w="0" w:type="dxa"/>
          <w:right w:w="0" w:type="dxa"/>
        </w:tblCellMar>
      </w:tblPr>
      <w:tr>
        <w:trPr>
          <w:trHeight w:val="229"/>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1"/>
              </w:rPr>
              <w:t>Large 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0"/>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3"/>
              </w:rPr>
              <w:t>Non-accelerated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10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5"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23, 2021, there were 13,315,038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2"/>
        </w:trPr>
        <w:tc>
          <w:tcPr>
            <w:tcW w:w="680" w:type="dxa"/>
            <w:vAlign w:val="bottom"/>
            <w:gridSpan w:val="2"/>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w:t>
              </w:r>
            </w:hyperlink>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40" w:type="dxa"/>
            <w:vAlign w:val="bottom"/>
            <w:gridSpan w:val="6"/>
          </w:tcPr>
          <w:p>
            <w:pPr>
              <w:jc w:val="center"/>
              <w:ind w:right="3000"/>
              <w:spacing w:after="0" w:line="17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3340" w:type="dxa"/>
            <w:vAlign w:val="bottom"/>
            <w:gridSpan w:val="7"/>
          </w:tcPr>
          <w:p>
            <w:pPr>
              <w:ind w:left="720"/>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29">
              <w:r>
                <w:rPr>
                  <w:rFonts w:ascii="Arial" w:cs="Arial" w:eastAsia="Arial" w:hAnsi="Arial"/>
                  <w:sz w:val="18"/>
                  <w:szCs w:val="18"/>
                  <w:b w:val="1"/>
                  <w:bCs w:val="1"/>
                  <w:i w:val="1"/>
                  <w:iCs w:val="1"/>
                  <w:color w:val="0000FF"/>
                </w:rPr>
                <w:t>Management's Discussion and Analysis of Financial Condition and Results of Operations</w:t>
              </w:r>
            </w:hyperlink>
          </w:p>
        </w:tc>
        <w:tc>
          <w:tcPr>
            <w:tcW w:w="10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920" w:type="dxa"/>
            <w:vAlign w:val="bottom"/>
            <w:tcBorders>
              <w:bottom w:val="single" w:sz="8" w:color="0000FF"/>
            </w:tcBorders>
            <w:gridSpan w:val="2"/>
            <w:shd w:val="clear" w:color="auto" w:fill="0000FF"/>
          </w:tcPr>
          <w:p>
            <w:pPr>
              <w:spacing w:after="0" w:line="20" w:lineRule="exact"/>
              <w:rPr>
                <w:sz w:val="1"/>
                <w:szCs w:val="1"/>
                <w:color w:val="auto"/>
              </w:rPr>
            </w:pPr>
          </w:p>
        </w:tc>
        <w:tc>
          <w:tcPr>
            <w:tcW w:w="1700" w:type="dxa"/>
            <w:vAlign w:val="bottom"/>
            <w:tcBorders>
              <w:bottom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3.</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40">
              <w:r>
                <w:rPr>
                  <w:rFonts w:ascii="Arial" w:cs="Arial" w:eastAsia="Arial" w:hAnsi="Arial"/>
                  <w:sz w:val="18"/>
                  <w:szCs w:val="18"/>
                  <w:b w:val="1"/>
                  <w:bCs w:val="1"/>
                  <w:i w:val="1"/>
                  <w:iCs w:val="1"/>
                  <w:color w:val="0000FF"/>
                </w:rPr>
                <w:t>Quantitative and Qualitative Disclosures About Market Risk</w:t>
              </w:r>
            </w:hyperlink>
          </w:p>
        </w:tc>
        <w:tc>
          <w:tcPr>
            <w:tcW w:w="1040" w:type="dxa"/>
            <w:vAlign w:val="bottom"/>
          </w:tcPr>
          <w:p>
            <w:pPr>
              <w:jc w:val="right"/>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4.</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Controls and Procedures</w:t>
              </w:r>
            </w:hyperlink>
          </w:p>
        </w:tc>
        <w:tc>
          <w:tcPr>
            <w:tcW w:w="10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II—OTHER INFORMATION</w:t>
              </w:r>
            </w:hyperlink>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2"/>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1.</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Legal Proceedings</w:t>
              </w:r>
            </w:hyperlink>
          </w:p>
        </w:tc>
        <w:tc>
          <w:tcPr>
            <w:tcW w:w="1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 w:type="dxa"/>
            <w:vAlign w:val="bottom"/>
            <w:gridSpan w:val="2"/>
          </w:tcPr>
          <w:p>
            <w:pPr>
              <w:spacing w:after="0" w:line="189" w:lineRule="exact"/>
              <w:rPr>
                <w:rFonts w:ascii="Arial" w:cs="Arial" w:eastAsia="Arial" w:hAnsi="Arial"/>
                <w:sz w:val="18"/>
                <w:szCs w:val="18"/>
                <w:b w:val="1"/>
                <w:bCs w:val="1"/>
                <w:color w:val="0000FF"/>
                <w:w w:val="94"/>
              </w:rPr>
            </w:pPr>
            <w:hyperlink w:anchor="page42">
              <w:r>
                <w:rPr>
                  <w:rFonts w:ascii="Arial" w:cs="Arial" w:eastAsia="Arial" w:hAnsi="Arial"/>
                  <w:sz w:val="18"/>
                  <w:szCs w:val="18"/>
                  <w:b w:val="1"/>
                  <w:bCs w:val="1"/>
                  <w:color w:val="0000FF"/>
                  <w:w w:val="94"/>
                </w:rPr>
                <w:t>Item 1A.</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Risk Factors</w:t>
              </w:r>
            </w:hyperlink>
          </w:p>
        </w:tc>
        <w:tc>
          <w:tcPr>
            <w:tcW w:w="1040" w:type="dxa"/>
            <w:vAlign w:val="bottom"/>
          </w:tcPr>
          <w:p>
            <w:pPr>
              <w:jc w:val="right"/>
              <w:spacing w:after="0" w:line="189" w:lineRule="exact"/>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Unregistered Sales of Equity Securities and Use of Proceeds</w:t>
              </w:r>
            </w:hyperlink>
          </w:p>
        </w:tc>
        <w:tc>
          <w:tcPr>
            <w:tcW w:w="1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Item 5.</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3">
              <w:r>
                <w:rPr>
                  <w:rFonts w:ascii="Arial" w:cs="Arial" w:eastAsia="Arial" w:hAnsi="Arial"/>
                  <w:sz w:val="18"/>
                  <w:szCs w:val="18"/>
                  <w:b w:val="1"/>
                  <w:bCs w:val="1"/>
                  <w:i w:val="1"/>
                  <w:iCs w:val="1"/>
                  <w:color w:val="0000FF"/>
                </w:rPr>
                <w:t>Other Information</w:t>
              </w:r>
            </w:hyperlink>
          </w:p>
        </w:tc>
        <w:tc>
          <w:tcPr>
            <w:tcW w:w="1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Item 6.</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3">
              <w:r>
                <w:rPr>
                  <w:rFonts w:ascii="Arial" w:cs="Arial" w:eastAsia="Arial" w:hAnsi="Arial"/>
                  <w:sz w:val="18"/>
                  <w:szCs w:val="18"/>
                  <w:b w:val="1"/>
                  <w:bCs w:val="1"/>
                  <w:i w:val="1"/>
                  <w:iCs w:val="1"/>
                  <w:color w:val="0000FF"/>
                </w:rPr>
                <w:t>Exhibits</w:t>
              </w:r>
            </w:hyperlink>
          </w:p>
        </w:tc>
        <w:tc>
          <w:tcPr>
            <w:tcW w:w="1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270,014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184,326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542,764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467,410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 xml:space="preserve">Cost of revenue </w:t>
            </w:r>
            <w:r>
              <w:rPr>
                <w:rFonts w:ascii="Arial" w:cs="Arial" w:eastAsia="Arial" w:hAnsi="Arial"/>
                <w:sz w:val="18"/>
                <w:szCs w:val="18"/>
                <w:i w:val="1"/>
                <w:iCs w:val="1"/>
                <w:color w:val="auto"/>
                <w:w w:val="96"/>
              </w:rPr>
              <w:t>(exclusive of depreciation and amortization shown separately</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13,934</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27,829</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below)</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185,206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382,668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309,459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39,811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74,800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60,571</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13,290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25,758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4,443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8,161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11,310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22,622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259,466</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191,874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534,123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454,209</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10,548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8,641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13,201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40,072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28,658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9,092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9,800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29,112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6,601</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(29,757)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25,650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(15,356)</w:t>
            </w: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13,243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13,157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13,719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13,913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0.48</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720" w:type="dxa"/>
            <w:vAlign w:val="bottom"/>
          </w:tcPr>
          <w:p>
            <w:pPr>
              <w:spacing w:after="0"/>
              <w:rPr>
                <w:sz w:val="11"/>
                <w:szCs w:val="11"/>
                <w:color w:val="auto"/>
              </w:rPr>
            </w:pPr>
          </w:p>
        </w:tc>
        <w:tc>
          <w:tcPr>
            <w:tcW w:w="2520" w:type="dxa"/>
            <w:vAlign w:val="bottom"/>
            <w:gridSpan w:val="4"/>
          </w:tcPr>
          <w:p>
            <w:pPr>
              <w:ind w:left="20"/>
              <w:spacing w:after="0" w:line="130"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6"/>
        </w:trPr>
        <w:tc>
          <w:tcPr>
            <w:tcW w:w="8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740"/>
              <w:spacing w:after="0"/>
              <w:rPr>
                <w:sz w:val="20"/>
                <w:szCs w:val="20"/>
                <w:color w:val="auto"/>
              </w:rPr>
            </w:pPr>
            <w:r>
              <w:rPr>
                <w:rFonts w:ascii="Arial" w:cs="Arial" w:eastAsia="Arial" w:hAnsi="Arial"/>
                <w:sz w:val="14"/>
                <w:szCs w:val="14"/>
                <w:b w:val="1"/>
                <w:bCs w:val="1"/>
                <w:i w:val="1"/>
                <w:iCs w:val="1"/>
                <w:color w:val="auto"/>
              </w:rPr>
              <w:t>amounts)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203,164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$1,473 and $1,402, respectively)</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124,076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89,841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18,211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345,534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296,409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$23,696 and $20,238, respectively)</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74,701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62,381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79,967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420,139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105,880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128,502</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96,679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96,224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121,253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17,044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1,266,637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r>
        <w:trPr>
          <w:trHeight w:val="243"/>
        </w:trPr>
        <w:tc>
          <w:tcPr>
            <w:tcW w:w="8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161,723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6,623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106,376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Current contingent consideration</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4,933</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279,851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111,843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465,876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611,412</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100,153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contingent consideration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389</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846,269</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824,229</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$.01 par value; 50,000,000 shares authorized; 15,955,742 and 15,766,193 shares issued, respectively,</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13,314,424 and 13,124,875 shares outstanding, respectively</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1,218,628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1,188,673</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(615,259)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(640,909)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2,641,318 shares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420,368</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364,761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1,266,637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5"/>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364,761</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15,766</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1,188,673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(640,909)</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16,436</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16,436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(4,801)</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31</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(4,801)</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395,443</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15,797</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1,200,306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(621,860)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6,601</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6,601</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18,294</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18,294</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30</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159</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28</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2021</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420,368</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15,956</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1,218,628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(615,259)</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614"/>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5"/>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402,326</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15,677</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1,177,984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(592,654)</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14,401</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14,401</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11,917</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11,917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(5,087)</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(5,087)</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423,557</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15,704</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1,184,813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(578,252)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(29,757)</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(29,757)</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13,158</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13,158</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(981)</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27</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(981)</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2020</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405,977</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15,731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1,196,990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(608,009)</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2020</w:t>
            </w:r>
          </w:p>
        </w:tc>
      </w:tr>
      <w:tr>
        <w:trPr>
          <w:trHeight w:val="180"/>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 attributable 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b w:val="1"/>
                <w:bCs w:val="1"/>
                <w:color w:val="auto"/>
              </w:rPr>
              <w:t>Net income (loss) and comprehensive income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25,650</w:t>
            </w:r>
          </w:p>
        </w:tc>
        <w:tc>
          <w:tcPr>
            <w:tcW w:w="48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(15,356)</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3,462</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25,716</w:t>
            </w:r>
          </w:p>
        </w:tc>
      </w:tr>
      <w:tr>
        <w:trPr>
          <w:trHeight w:val="209"/>
        </w:trPr>
        <w:tc>
          <w:tcPr>
            <w:tcW w:w="872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29,112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10,360</w:t>
            </w:r>
          </w:p>
        </w:tc>
      </w:tr>
      <w:tr>
        <w:trPr>
          <w:trHeight w:val="169"/>
        </w:trPr>
        <w:tc>
          <w:tcPr>
            <w:tcW w:w="87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Adjustments to reconcile income from continuing operations to net cash provided by operating activities attributable to continuing</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Loss on impairments and disposal of assets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1,400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22,622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8,161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34,730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25,075</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(7,000)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Unrealized gain on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(40,072)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2,547</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convertible debt discount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14,670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Reduction in carrying amount of ROU asset, offset by change in operating lease liabilities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11,079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current assets and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(35,381)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35,501</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3,845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(19,134)</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contingent consideration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10,322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54,580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87,916</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 attributable 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(23,585)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(9,108)</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Equity investment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investing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(24,765)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(89,108)</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 attributable 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Payments related to net-share settlement of stock-based compensation, net of proceeds from exercise of stock options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(4,771)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(6,068)</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proceeds from revolving credit facility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payments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r>
      <w:tr>
        <w:trPr>
          <w:trHeight w:val="213"/>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(4,970)</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45,282</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cash provided by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24,845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44,090</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cash provided by (used in) operating activities attributable to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8,353</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provided by (used in)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8,353</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(2,571)</w:t>
            </w: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cash equivalents, restricted cash and restricted cash equivalents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33,198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41,519</w:t>
            </w:r>
          </w:p>
        </w:tc>
      </w:tr>
      <w:tr>
        <w:trPr>
          <w:trHeight w:val="21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170,049</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60,339</w:t>
            </w:r>
          </w:p>
        </w:tc>
      </w:tr>
      <w:tr>
        <w:trPr>
          <w:trHeight w:val="22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203,247</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101,858</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The HLC Bankruptcy case was closed on July 14,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for additional information. Intercompany transactions and accounts have been eliminated.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June 30, 2021 and for the three and six months ended June 30, 2021 and 2020,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2021 are not necessarily indicative of the results to be expected for the year ending December 31, 2021, or any other period. The accompanying consolidated balance sheet as of December 31, 2020 was derived from audited financial statements included in the Company's annual report on Form 10-K for the year ended December 31, 2020 (the "2020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2020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assumptions related to the determination of stock-based compensation; and the determination of right-of-use assets and lease liabilities.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2021,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2021, the FASB issued ASU 2021-04 to clarify and reduce diversity in accounting for modifications or exchanges of freestanding equity-classified written call options that remain equity classified after modification or exchange. The amendments clarify that a modification of the terms or conditions or an exchange of a freestanding equity-classified written call option that remains equity classified after modification or exchange should be accounted for as an exchange of the original instrument for a new instrument. This ASU is effective for annual and interim reporting periods beginning after December 15, 2021. Early adoption is permitted, including adoption in interim periods. An entity should adopt the guidance as of the beginning of its annual fiscal year. The amendments should be applied prospectively to modifications or exchanges occurring on or after the date of adoption. The Company adopted ASU 2021-04 in the second quarter of 2021.</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was permitted, including adoption in interim periods. Entities electing early adoption were required to adopt all amendments in the same period. Most amendments require prospective application while others are to be applied on a retrospective basis for all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periods presented or a modified retrospective basis through a cumulative-effect adjustment to retained earnings as of the beginning of the fiscal year of adoption. The Company adopted ASU 2019-12 in the first quarter of 2021. The amendments applicable to the Company required prospective application, and do not have material impacts to its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2020, the FASB issued ASU 2020-06, which simplifies the accounting for convertible instruments, amends the derivatives scope exception guidance for contracts in an entity’s own equity, and amends the related earnings-per-share guidance. This ASU is effective for annual and interim reporting periods beginning after December 15, 2021. Early adoption is permitted for fiscal years beginning after December 15, 2020, including adoption in interim periods. An entity should adopt the guidance as of the beginning of its annual fiscal year. An entity may adopt the amendments through either a modified retrospective method of transition or a fully retrospective method of transition. The Company expects the amendments to impact its convertible senior notes and warrants issued and is evaluating the impact this ASU will have on its consolidated financial statements and whether to early adopt.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104,861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232,986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153,297</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22,424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40,061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58,780</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25,208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40,076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40,336</w:t>
            </w:r>
          </w:p>
        </w:tc>
      </w:tr>
      <w:tr>
        <w:trPr>
          <w:trHeight w:val="230"/>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28,044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53,446</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57,926</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Consumer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75,676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133,583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157,042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89,263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175,877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155,656</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270,014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184,326</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542,764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467,410</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contract asset recorded within prepaid and other current assets on the consolidated balance sheets related to estimated variable consideration in the Company's Consumer business was $7.3 million and $6.4 million at June 30, 2021 and December 31, 2020, respectively.</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contract liability recorded within accrued expenses and other current liabilities on the consolidated balance sheets related to upfront fees paid by consumers in the Company's Consumer business was $1.1 million and $0.7 million at June 30, 2021 and December 31, 2020, respectively. During the second quarter and first six months of 2021, the Company recognized revenue of $0.1 million and $0.7 million, respectively, that was included in the contract liability balance at December 31, 2020. During the second quarter and first six months of 2020, the Company recognized revenue of $0.1 million and $0.6 million, respectively, that was included in the contract liability balance at December 31, 2019.</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$0.1 million and $0.3 million in the second quarters of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203,164</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203,247</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170,049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80" w:type="dxa"/>
            <w:vAlign w:val="bottom"/>
            <w:gridSpan w:val="3"/>
          </w:tcPr>
          <w:p>
            <w:pPr>
              <w:jc w:val="center"/>
              <w:ind w:right="13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55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1,429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1,402</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34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629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1,145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1,473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1,473</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0" w:type="dxa"/>
            <w:vAlign w:val="bottom"/>
          </w:tcPr>
          <w:p>
            <w:pPr>
              <w:spacing w:after="0"/>
              <w:rPr>
                <w:sz w:val="1"/>
                <w:szCs w:val="1"/>
                <w:color w:val="auto"/>
              </w:rPr>
            </w:pPr>
          </w:p>
        </w:tc>
      </w:tr>
      <w:tr>
        <w:trPr>
          <w:trHeight w:val="567"/>
        </w:trPr>
        <w:tc>
          <w:tcPr>
            <w:tcW w:w="610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40" w:type="dxa"/>
            <w:vAlign w:val="bottom"/>
            <w:gridSpan w:val="2"/>
          </w:tcPr>
          <w:p>
            <w:pPr>
              <w:ind w:left="340"/>
              <w:spacing w:after="0"/>
              <w:rPr>
                <w:sz w:val="20"/>
                <w:szCs w:val="20"/>
                <w:color w:val="auto"/>
              </w:rPr>
            </w:pPr>
            <w:r>
              <w:rPr>
                <w:rFonts w:ascii="Arial" w:cs="Arial" w:eastAsia="Arial" w:hAnsi="Arial"/>
                <w:sz w:val="18"/>
                <w:szCs w:val="18"/>
                <w:color w:val="auto"/>
                <w:w w:val="92"/>
              </w:rPr>
              <w:t xml:space="preserve">The balance of goodwill, net and intangible assets, net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903,227</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420,139</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10,142</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95,738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105,880</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128,502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each of June 30, 2021 and December 31, 2020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7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(58,768)</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2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(21,614)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2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2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30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225,200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(129,462)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7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(48,166)</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2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(18,560)</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2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2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0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940" w:type="dxa"/>
            <w:vAlign w:val="bottom"/>
          </w:tcPr>
          <w:p>
            <w:pPr>
              <w:spacing w:after="0"/>
              <w:rPr>
                <w:sz w:val="24"/>
                <w:szCs w:val="24"/>
                <w:color w:val="auto"/>
              </w:rPr>
            </w:pPr>
          </w:p>
        </w:tc>
        <w:tc>
          <w:tcPr>
            <w:tcW w:w="2700" w:type="dxa"/>
            <w:vAlign w:val="bottom"/>
          </w:tcPr>
          <w:p>
            <w:pPr>
              <w:jc w:val="right"/>
              <w:ind w:right="83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2021,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Amortization Expense</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20,116</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2022</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25,256</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6,747</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29"/>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95,738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28, 2020, the Company acquired an equity interest in Stash Financial, Inc. (“Stash”) for $80.0 million. On January 6, 2021, the Company acquired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to the consolidated statement of operations and comprehensive income. During the first six months of 2021, the Company recorded a gain on the investment in Stash of $40.1 million as a result of an adjustment to the fair value of the Stash equity securities based on observable market events, which is included within other income on the consolidated statement of operations and comprehensive income. As of June 30, 2021, there have been no impairments to the acquisition cost of the Stash equity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(“Ovation”). During 2020, the Company made the final earnout payment related to the achievement of certain defined operating metrics for Ovation.</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During 2020, the Company made the final earnout payments related to the achievement of certain defined earnings targets for SnapCap.</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will make an earnout payment ranging from zero to $23.4 million based on the achievement of certain defined performance targets for QuoteWizard.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center"/>
              <w:ind w:right="194"/>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QuoteWizard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Ovation</w:t>
            </w:r>
          </w:p>
        </w:tc>
        <w:tc>
          <w:tcPr>
            <w:tcW w:w="3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29"/>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SnapCap</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the estimated fair value of the contingent consideration for the QuoteWizard acquisition totaled $0.2 million, which is included in current contingent consideration in the accompanying consolidated balance sheet.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differences in the actual contingent consideration payments will be recorded in operating income in the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95"/>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4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6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62,840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54,045</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10,632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14,081</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7,467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5,286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5,375</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13,540</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106,376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101,196</w:t>
            </w:r>
          </w:p>
        </w:tc>
      </w:tr>
      <w:tr>
        <w:trPr>
          <w:trHeight w:val="567"/>
        </w:trPr>
        <w:tc>
          <w:tcPr>
            <w:tcW w:w="6100" w:type="dxa"/>
            <w:vAlign w:val="bottom"/>
          </w:tcPr>
          <w:p>
            <w:pPr>
              <w:spacing w:after="0"/>
              <w:rPr>
                <w:sz w:val="20"/>
                <w:szCs w:val="20"/>
                <w:color w:val="auto"/>
              </w:rPr>
            </w:pPr>
            <w:r>
              <w:rPr>
                <w:rFonts w:ascii="Arial" w:cs="Arial" w:eastAsia="Arial" w:hAnsi="Arial"/>
                <w:sz w:val="18"/>
                <w:szCs w:val="18"/>
                <w:b w:val="1"/>
                <w:bCs w:val="1"/>
                <w:color w:val="auto"/>
              </w:rPr>
              <w:t>NOTE 10—SHAREHOLDERS' EQUITY</w:t>
            </w: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7740" w:type="dxa"/>
            <w:vAlign w:val="bottom"/>
            <w:gridSpan w:val="2"/>
          </w:tcPr>
          <w:p>
            <w:pPr>
              <w:jc w:val="right"/>
              <w:ind w:right="37"/>
              <w:spacing w:after="0"/>
              <w:rPr>
                <w:sz w:val="20"/>
                <w:szCs w:val="20"/>
                <w:color w:val="auto"/>
              </w:rPr>
            </w:pPr>
            <w:r>
              <w:rPr>
                <w:rFonts w:ascii="Arial" w:cs="Arial" w:eastAsia="Arial" w:hAnsi="Arial"/>
                <w:sz w:val="18"/>
                <w:szCs w:val="18"/>
                <w:color w:val="auto"/>
                <w:w w:val="93"/>
              </w:rPr>
              <w:t xml:space="preserve">Basic and diluted income per share was determined based on the following share data </w:t>
            </w:r>
            <w:r>
              <w:rPr>
                <w:rFonts w:ascii="Arial" w:cs="Arial" w:eastAsia="Arial" w:hAnsi="Arial"/>
                <w:sz w:val="18"/>
                <w:szCs w:val="18"/>
                <w:i w:val="1"/>
                <w:iCs w:val="1"/>
                <w:color w:val="auto"/>
                <w:w w:val="93"/>
              </w:rPr>
              <w:t>(in thousands)</w:t>
            </w:r>
            <w:r>
              <w:rPr>
                <w:rFonts w:ascii="Arial" w:cs="Arial" w:eastAsia="Arial" w:hAnsi="Arial"/>
                <w:sz w:val="18"/>
                <w:szCs w:val="18"/>
                <w:color w:val="auto"/>
                <w:w w:val="93"/>
              </w:rPr>
              <w: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100" w:type="dxa"/>
            <w:vAlign w:val="bottom"/>
          </w:tcPr>
          <w:p>
            <w:pPr>
              <w:spacing w:after="0"/>
              <w:rPr>
                <w:sz w:val="22"/>
                <w:szCs w:val="22"/>
                <w:color w:val="auto"/>
              </w:rPr>
            </w:pPr>
          </w:p>
        </w:tc>
        <w:tc>
          <w:tcPr>
            <w:tcW w:w="266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2"/>
                <w:szCs w:val="22"/>
                <w:color w:val="auto"/>
              </w:rPr>
            </w:pPr>
          </w:p>
        </w:tc>
        <w:tc>
          <w:tcPr>
            <w:tcW w:w="226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00" w:type="dxa"/>
            <w:vAlign w:val="bottom"/>
          </w:tcPr>
          <w:p>
            <w:pPr>
              <w:spacing w:after="0"/>
              <w:rPr>
                <w:sz w:val="16"/>
                <w:szCs w:val="16"/>
                <w:color w:val="auto"/>
              </w:rPr>
            </w:pPr>
          </w:p>
        </w:tc>
        <w:tc>
          <w:tcPr>
            <w:tcW w:w="1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June 30,</w:t>
            </w:r>
          </w:p>
        </w:tc>
      </w:tr>
      <w:tr>
        <w:trPr>
          <w:trHeight w:val="183"/>
        </w:trPr>
        <w:tc>
          <w:tcPr>
            <w:tcW w:w="6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640" w:type="dxa"/>
            <w:vAlign w:val="bottom"/>
            <w:shd w:val="clear" w:color="auto" w:fill="CCEEFF"/>
          </w:tcPr>
          <w:p>
            <w:pPr>
              <w:jc w:val="right"/>
              <w:ind w:right="417"/>
              <w:spacing w:after="0"/>
              <w:rPr>
                <w:sz w:val="20"/>
                <w:szCs w:val="20"/>
                <w:color w:val="auto"/>
              </w:rPr>
            </w:pPr>
            <w:r>
              <w:rPr>
                <w:rFonts w:ascii="Arial" w:cs="Arial" w:eastAsia="Arial" w:hAnsi="Arial"/>
                <w:sz w:val="18"/>
                <w:szCs w:val="18"/>
                <w:b w:val="1"/>
                <w:bCs w:val="1"/>
                <w:color w:val="auto"/>
              </w:rPr>
              <w:t>13,243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13,157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640" w:type="dxa"/>
            <w:vAlign w:val="bottom"/>
          </w:tcPr>
          <w:p>
            <w:pPr>
              <w:jc w:val="right"/>
              <w:ind w:right="417"/>
              <w:spacing w:after="0"/>
              <w:rPr>
                <w:sz w:val="20"/>
                <w:szCs w:val="20"/>
                <w:color w:val="auto"/>
              </w:rPr>
            </w:pPr>
            <w:r>
              <w:rPr>
                <w:rFonts w:ascii="Arial" w:cs="Arial" w:eastAsia="Arial" w:hAnsi="Arial"/>
                <w:sz w:val="18"/>
                <w:szCs w:val="18"/>
                <w:color w:val="auto"/>
              </w:rPr>
              <w:t>394</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6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72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64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64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b w:val="1"/>
                <w:bCs w:val="1"/>
                <w:color w:val="auto"/>
              </w:rPr>
              <w:t>13,719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12,984</w:t>
            </w: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13,913</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13,954</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second quarter of 2021, the weighted average shares that were anti-dilutive, and therefore excluded from the calculation of diluted income per share, included options to purchase 0.9 million shares of common stock and 0.2 million restricted stock units. For the first six months of 2021, the weighted average shares that were anti-dilutive included options to purchase 0.4 million shares of common stock.</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second quarter of 2020,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0.8 million shares related to potentially dilutive securities were excluded from the calculation of diluted loss per share for the second quarter of 2020, because their inclusion would have been anti-dilutive. For the second quarter of 2020, the weighted average shares that were anti-dilutive included options to purchase 0.7 million shares of common stock and 0.1 million restricted stock units. For the first six months of 2020, the weighted average shares that were anti-dilutive included options to purchase 0.2 million shares of common stock.</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convertible notes and the warrants issued by the Company could be converted into the Company’s common stock, subject to certain contingencies. </w:t>
      </w:r>
      <w:r>
        <w:rPr>
          <w:rFonts w:ascii="Arial" w:cs="Arial" w:eastAsia="Arial" w:hAnsi="Arial"/>
          <w:sz w:val="16"/>
          <w:szCs w:val="16"/>
          <w:i w:val="1"/>
          <w:iCs w:val="1"/>
          <w:color w:val="auto"/>
        </w:rPr>
        <w:t xml:space="preserve">See </w:t>
      </w:r>
      <w:r>
        <w:rPr>
          <w:rFonts w:ascii="Arial" w:cs="Arial" w:eastAsia="Arial" w:hAnsi="Arial"/>
          <w:sz w:val="16"/>
          <w:szCs w:val="16"/>
          <w:color w:val="auto"/>
        </w:rPr>
        <w:t>Note 13—Debt for additional information. Shares of the Company's common stock associated with the 0.50% Convertible Senior Notes due July 15,</w:t>
      </w:r>
      <w:r>
        <w:rPr>
          <w:rFonts w:ascii="Arial" w:cs="Arial" w:eastAsia="Arial" w:hAnsi="Arial"/>
          <w:sz w:val="16"/>
          <w:szCs w:val="16"/>
          <w:i w:val="1"/>
          <w:iCs w:val="1"/>
          <w:color w:val="auto"/>
        </w:rPr>
        <w:t xml:space="preserve"> </w:t>
      </w:r>
      <w:r>
        <w:rPr>
          <w:rFonts w:ascii="Arial" w:cs="Arial" w:eastAsia="Arial" w:hAnsi="Arial"/>
          <w:sz w:val="16"/>
          <w:szCs w:val="16"/>
          <w:color w:val="auto"/>
        </w:rPr>
        <w:t>2025 were excluded from the calculation of diluted income per share for the second quarter and first six months of 2021 as they were anti-dilutive since the conversion price of the notes was greater than the average market price of the Company’s common stock during the relevant periods. Shares of the Company's common stock associated with the warrants were excluded from the calculation of diluted income per share for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quarter and first six months of 2021 and the first six months of 2020 as they were anti-dilutive since the strike price of the warrants was greater than the average market price of the Company's common stock during the relevant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each of February 2018 and February 2019, the board of directors authorized and the Company announced the repurchase of up to $100.0 million and $150.0 million, respectively, of LendingTree's common stock. There were no repurchases of the Company's common stock during the first six months of 2021 and 2020. At June 30, 2021, approximately $179.7 million of the previous authorizations to repurchase common stock remain available.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4"/>
          </w:tcPr>
          <w:p>
            <w:pPr>
              <w:jc w:val="right"/>
              <w:ind w:right="597"/>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7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36"/>
              <w:spacing w:after="0"/>
              <w:rPr>
                <w:sz w:val="20"/>
                <w:szCs w:val="20"/>
                <w:color w:val="auto"/>
              </w:rPr>
            </w:pPr>
            <w:r>
              <w:rPr>
                <w:rFonts w:ascii="Arial" w:cs="Arial" w:eastAsia="Arial" w:hAnsi="Arial"/>
                <w:sz w:val="18"/>
                <w:szCs w:val="18"/>
                <w:color w:val="auto"/>
              </w:rPr>
              <w:t>3,778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w w:val="87"/>
              </w:rPr>
              <w:t>25,425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development</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4,667</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146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13,158</w:t>
            </w:r>
          </w:p>
        </w:tc>
        <w:tc>
          <w:tcPr>
            <w:tcW w:w="780" w:type="dxa"/>
            <w:vAlign w:val="bottom"/>
            <w:tcBorders>
              <w:bottom w:val="single" w:sz="8" w:color="auto"/>
            </w:tcBorders>
            <w:gridSpan w:val="3"/>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87"/>
              </w:rPr>
              <w:t>34,730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25,075</w:t>
            </w:r>
          </w:p>
        </w:tc>
        <w:tc>
          <w:tcPr>
            <w:tcW w:w="0" w:type="dxa"/>
            <w:vAlign w:val="bottom"/>
          </w:tcPr>
          <w:p>
            <w:pPr>
              <w:spacing w:after="0"/>
              <w:rPr>
                <w:sz w:val="1"/>
                <w:szCs w:val="1"/>
                <w:color w:val="auto"/>
              </w:rPr>
            </w:pPr>
          </w:p>
        </w:tc>
      </w:tr>
      <w:tr>
        <w:trPr>
          <w:trHeight w:val="513"/>
        </w:trPr>
        <w:tc>
          <w:tcPr>
            <w:tcW w:w="520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ind w:left="340"/>
              <w:spacing w:after="0"/>
              <w:rPr>
                <w:sz w:val="20"/>
                <w:szCs w:val="20"/>
                <w:color w:val="auto"/>
              </w:rPr>
            </w:pPr>
            <w:r>
              <w:rPr>
                <w:rFonts w:ascii="Arial" w:cs="Arial" w:eastAsia="Arial" w:hAnsi="Arial"/>
                <w:sz w:val="18"/>
                <w:szCs w:val="18"/>
                <w:color w:val="auto"/>
                <w:w w:val="93"/>
              </w:rPr>
              <w:t>A summary of changes in outstanding stock options is as follows: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920" w:type="dxa"/>
            <w:vAlign w:val="bottom"/>
            <w:gridSpan w:val="3"/>
            <w:vMerge w:val="restart"/>
          </w:tcPr>
          <w:p>
            <w:pPr>
              <w:jc w:val="center"/>
              <w:ind w:right="251"/>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3"/>
          </w:tcPr>
          <w:p>
            <w:pPr>
              <w:jc w:val="center"/>
              <w:ind w:right="251"/>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Number of Options</w:t>
            </w:r>
          </w:p>
        </w:tc>
        <w:tc>
          <w:tcPr>
            <w:tcW w:w="1920" w:type="dxa"/>
            <w:vAlign w:val="bottom"/>
            <w:gridSpan w:val="3"/>
          </w:tcPr>
          <w:p>
            <w:pPr>
              <w:jc w:val="center"/>
              <w:ind w:right="271"/>
              <w:spacing w:after="0" w:line="135"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297"/>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871"/>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7"/>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3"/>
          </w:tcPr>
          <w:p>
            <w:pPr>
              <w:jc w:val="center"/>
              <w:ind w:right="251"/>
              <w:spacing w:after="0"/>
              <w:rPr>
                <w:sz w:val="20"/>
                <w:szCs w:val="20"/>
                <w:color w:val="auto"/>
              </w:rPr>
            </w:pPr>
            <w:r>
              <w:rPr>
                <w:rFonts w:ascii="Arial" w:cs="Arial" w:eastAsia="Arial" w:hAnsi="Arial"/>
                <w:sz w:val="14"/>
                <w:szCs w:val="14"/>
                <w:b w:val="1"/>
                <w:bCs w:val="1"/>
                <w:i w:val="1"/>
                <w:iCs w:val="1"/>
                <w:color w:val="auto"/>
                <w:w w:val="89"/>
              </w:rPr>
              <w:t>(per option)</w:t>
            </w:r>
          </w:p>
        </w:tc>
        <w:tc>
          <w:tcPr>
            <w:tcW w:w="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2021</w:t>
            </w:r>
          </w:p>
        </w:tc>
        <w:tc>
          <w:tcPr>
            <w:tcW w:w="14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924,710</w:t>
            </w:r>
          </w:p>
        </w:tc>
        <w:tc>
          <w:tcPr>
            <w:tcW w:w="600" w:type="dxa"/>
            <w:vAlign w:val="bottom"/>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w w:val="94"/>
              </w:rPr>
              <w:t>111.82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(b)</w:t>
            </w:r>
          </w:p>
        </w:tc>
        <w:tc>
          <w:tcPr>
            <w:tcW w:w="1460" w:type="dxa"/>
            <w:vAlign w:val="bottom"/>
            <w:gridSpan w:val="2"/>
          </w:tcPr>
          <w:p>
            <w:pPr>
              <w:jc w:val="right"/>
              <w:ind w:right="19"/>
              <w:spacing w:after="0"/>
              <w:rPr>
                <w:sz w:val="20"/>
                <w:szCs w:val="20"/>
                <w:color w:val="auto"/>
              </w:rPr>
            </w:pPr>
            <w:r>
              <w:rPr>
                <w:rFonts w:ascii="Arial" w:cs="Arial" w:eastAsia="Arial" w:hAnsi="Arial"/>
                <w:sz w:val="18"/>
                <w:szCs w:val="18"/>
                <w:color w:val="auto"/>
              </w:rPr>
              <w:t>69,258</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w w:val="94"/>
              </w:rPr>
              <w:t>243.71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(156,113)</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(4,727)</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w w:val="94"/>
              </w:rPr>
              <w:t>263.72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94"/>
              </w:rPr>
              <w:t>371.25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June 30, 2021</w:t>
            </w: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b w:val="1"/>
                <w:bCs w:val="1"/>
                <w:color w:val="auto"/>
              </w:rPr>
              <w:t>833,093</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94"/>
              </w:rPr>
              <w:t>141.52</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5.20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82,110</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2021</w:t>
            </w:r>
          </w:p>
        </w:tc>
        <w:tc>
          <w:tcPr>
            <w:tcW w:w="14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543,666</w:t>
            </w:r>
          </w:p>
        </w:tc>
        <w:tc>
          <w:tcPr>
            <w:tcW w:w="6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71.06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82,039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$211.88 on the last trading day of the quarter ended June 30, 2021 and the exercise price, multiplied by the number of shares covered by in-the-money options) that would have been received by the option holder had the option holder exercised these options on June 30, 2021.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87"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six months ended June 30, 2021, the Company granted stock options to certain employees and members of the board of directors with a weighted average grant date fair value per share of $130.25, calculated using the Black-Scholes option pricing model, which vesting periods include (a) immediate vesting on grant date (b) earlier of one year from grant date and the Company's annual meeting of stockholders for 2022 and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 three years from grant date.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72"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96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5.00 - 6.00</w:t>
            </w:r>
          </w:p>
        </w:tc>
        <w:tc>
          <w:tcPr>
            <w:tcW w:w="0" w:type="dxa"/>
            <w:vAlign w:val="bottom"/>
          </w:tcPr>
          <w:p>
            <w:pPr>
              <w:spacing w:after="0"/>
              <w:rPr>
                <w:sz w:val="1"/>
                <w:szCs w:val="1"/>
                <w:color w:val="auto"/>
              </w:rPr>
            </w:pPr>
          </w:p>
        </w:tc>
      </w:tr>
      <w:tr>
        <w:trPr>
          <w:trHeight w:val="230"/>
        </w:trPr>
        <w:tc>
          <w:tcPr>
            <w:tcW w:w="5960" w:type="dxa"/>
            <w:vAlign w:val="bottom"/>
            <w:vMerge w:val="continue"/>
            <w:shd w:val="clear" w:color="auto" w:fill="CCEEFF"/>
          </w:tcPr>
          <w:p>
            <w:pPr>
              <w:spacing w:after="0"/>
              <w:rPr>
                <w:sz w:val="19"/>
                <w:szCs w:val="19"/>
                <w:color w:val="auto"/>
              </w:rPr>
            </w:pP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9"/>
        </w:trPr>
        <w:tc>
          <w:tcPr>
            <w:tcW w:w="596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4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53 - 59%</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999999"/>
            </w:tcBorders>
          </w:tcPr>
          <w:p>
            <w:pPr>
              <w:ind w:left="68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44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0.59 - 1.07%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980" w:hanging="324"/>
        <w:spacing w:after="0" w:line="263"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9"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all stock options granted in 2021,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2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with Market</w:t>
            </w:r>
          </w:p>
        </w:tc>
        <w:tc>
          <w:tcPr>
            <w:tcW w:w="300" w:type="dxa"/>
            <w:vAlign w:val="bottom"/>
          </w:tcPr>
          <w:p>
            <w:pPr>
              <w:spacing w:after="0"/>
              <w:rPr>
                <w:sz w:val="11"/>
                <w:szCs w:val="11"/>
                <w:color w:val="auto"/>
              </w:rPr>
            </w:pPr>
          </w:p>
        </w:tc>
        <w:tc>
          <w:tcPr>
            <w:tcW w:w="140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2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5"/>
                <w:szCs w:val="15"/>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2021</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June 30, 2021</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11,308</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2021</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$211.88 on the last trading day of the quarter ended June 30, 2021 and the exercise price, multiplied by the number of shares covered by in-the-money options) that would have been received by the option holder had the option holder exercised these options on June 30, 2021. The intrinsic value changes based on the market value of the Company's common stock.</w:t>
      </w:r>
    </w:p>
    <w:p>
      <w:pPr>
        <w:spacing w:after="0" w:line="13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maximum of 1,169,349 shares may be earned for achieving superior performance up to 167% of the target number of shares. As of June 30, 2021, performance-based nonqualified stock options with a market condition of 481,669 had been earned, which have a vest date of September 30,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194,686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289.82</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149,259</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(54,644)</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(20,735)</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2021</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268,566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266.34</w:t>
            </w:r>
          </w:p>
        </w:tc>
        <w:tc>
          <w:tcPr>
            <w:tcW w:w="0" w:type="dxa"/>
            <w:vAlign w:val="bottom"/>
          </w:tcPr>
          <w:p>
            <w:pPr>
              <w:spacing w:after="0"/>
              <w:rPr>
                <w:sz w:val="1"/>
                <w:szCs w:val="1"/>
                <w:color w:val="auto"/>
              </w:rPr>
            </w:pPr>
          </w:p>
        </w:tc>
      </w:tr>
      <w:tr>
        <w:trPr>
          <w:trHeight w:val="526"/>
        </w:trPr>
        <w:tc>
          <w:tcPr>
            <w:tcW w:w="7560" w:type="dxa"/>
            <w:vAlign w:val="bottom"/>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560" w:type="dxa"/>
            <w:vAlign w:val="bottom"/>
          </w:tcPr>
          <w:p>
            <w:pPr>
              <w:spacing w:after="0"/>
              <w:rPr>
                <w:sz w:val="24"/>
                <w:szCs w:val="24"/>
                <w:color w:val="auto"/>
              </w:rPr>
            </w:pPr>
          </w:p>
        </w:tc>
        <w:tc>
          <w:tcPr>
            <w:tcW w:w="3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6,328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2021</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6,328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20" w:type="dxa"/>
            <w:vAlign w:val="bottom"/>
            <w:gridSpan w:val="2"/>
          </w:tcPr>
          <w:p>
            <w:pPr>
              <w:ind w:left="340"/>
              <w:spacing w:after="0"/>
              <w:rPr>
                <w:sz w:val="20"/>
                <w:szCs w:val="20"/>
                <w:color w:val="auto"/>
              </w:rPr>
            </w:pPr>
            <w:r>
              <w:rPr>
                <w:rFonts w:ascii="Arial" w:cs="Arial" w:eastAsia="Arial" w:hAnsi="Arial"/>
                <w:sz w:val="18"/>
                <w:szCs w:val="18"/>
                <w:color w:val="auto"/>
                <w:w w:val="91"/>
              </w:rPr>
              <w:t>A summary of changes in outstanding nonvested restricted stock awards ("RSAs") with performance conditions is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Awards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23,804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(11,902)</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2021</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11,902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905"/>
        </w:trPr>
        <w:tc>
          <w:tcPr>
            <w:tcW w:w="7560" w:type="dxa"/>
            <w:vAlign w:val="bottom"/>
          </w:tcPr>
          <w:p>
            <w:pPr>
              <w:ind w:left="5540"/>
              <w:spacing w:after="0"/>
              <w:rPr>
                <w:sz w:val="20"/>
                <w:szCs w:val="20"/>
                <w:color w:val="auto"/>
              </w:rPr>
            </w:pPr>
            <w:r>
              <w:rPr>
                <w:rFonts w:ascii="Arial" w:cs="Arial" w:eastAsia="Arial" w:hAnsi="Arial"/>
                <w:sz w:val="18"/>
                <w:szCs w:val="18"/>
                <w:color w:val="auto"/>
              </w:rPr>
              <w:t>16</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4"/>
        </w:trPr>
        <w:tc>
          <w:tcPr>
            <w:tcW w:w="7560" w:type="dxa"/>
            <w:vAlign w:val="bottom"/>
          </w:tcPr>
          <w:p>
            <w:pPr>
              <w:spacing w:after="0"/>
              <w:rPr>
                <w:sz w:val="11"/>
                <w:szCs w:val="11"/>
                <w:color w:val="auto"/>
              </w:rPr>
            </w:pPr>
          </w:p>
        </w:tc>
        <w:tc>
          <w:tcPr>
            <w:tcW w:w="1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26,674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2021</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June 30, 2021, performance-based restricted stock awards with a market condition of 29,601 had been earned, which have a vest date of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0" w:type="dxa"/>
            <w:vAlign w:val="bottom"/>
            <w:gridSpan w:val="3"/>
          </w:tcPr>
          <w:p>
            <w:pPr>
              <w:ind w:left="48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181"/>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gridSpan w:val="4"/>
          </w:tcPr>
          <w:p>
            <w:pPr>
              <w:jc w:val="right"/>
              <w:ind w:right="39"/>
              <w:spacing w:after="0"/>
              <w:rPr>
                <w:sz w:val="20"/>
                <w:szCs w:val="20"/>
                <w:color w:val="auto"/>
              </w:rPr>
            </w:pPr>
            <w:r>
              <w:rPr>
                <w:rFonts w:ascii="Arial" w:cs="Arial" w:eastAsia="Arial" w:hAnsi="Arial"/>
                <w:sz w:val="14"/>
                <w:szCs w:val="14"/>
                <w:b w:val="1"/>
                <w:bCs w:val="1"/>
                <w:i w:val="1"/>
                <w:iCs w:val="1"/>
                <w:color w:val="auto"/>
                <w:w w:val="89"/>
              </w:rPr>
              <w:t>(in thousands, except percentages)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9,092</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454</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6,941</w:t>
            </w:r>
          </w:p>
        </w:tc>
      </w:tr>
      <w:tr>
        <w:trPr>
          <w:trHeight w:val="229"/>
        </w:trPr>
        <w:tc>
          <w:tcPr>
            <w:tcW w:w="570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Borders>
              <w:bottom w:val="single" w:sz="8" w:color="999999"/>
            </w:tcBorders>
          </w:tcPr>
          <w:p>
            <w:pPr>
              <w:spacing w:after="0"/>
              <w:rPr>
                <w:sz w:val="19"/>
                <w:szCs w:val="19"/>
                <w:color w:val="auto"/>
              </w:rPr>
            </w:pPr>
          </w:p>
        </w:tc>
        <w:tc>
          <w:tcPr>
            <w:tcW w:w="1380" w:type="dxa"/>
            <w:vAlign w:val="bottom"/>
            <w:tcBorders>
              <w:bottom w:val="single" w:sz="8" w:color="999999"/>
            </w:tcBorders>
            <w:gridSpan w:val="2"/>
          </w:tcPr>
          <w:p>
            <w:pPr>
              <w:jc w:val="right"/>
              <w:ind w:right="299"/>
              <w:spacing w:after="0"/>
              <w:rPr>
                <w:sz w:val="20"/>
                <w:szCs w:val="20"/>
                <w:color w:val="auto"/>
              </w:rPr>
            </w:pPr>
            <w:r>
              <w:rPr>
                <w:rFonts w:ascii="Arial" w:cs="Arial" w:eastAsia="Arial" w:hAnsi="Arial"/>
                <w:sz w:val="18"/>
                <w:szCs w:val="18"/>
                <w:i w:val="1"/>
                <w:iCs w:val="1"/>
                <w:color w:val="auto"/>
              </w:rPr>
              <w:t>(1,284.2)%</w:t>
            </w:r>
          </w:p>
        </w:tc>
        <w:tc>
          <w:tcPr>
            <w:tcW w:w="104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31.0 %</w:t>
            </w:r>
          </w:p>
        </w:tc>
        <w:tc>
          <w:tcPr>
            <w:tcW w:w="10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spacing w:after="0"/>
              <w:rPr>
                <w:sz w:val="19"/>
                <w:szCs w:val="19"/>
                <w:color w:val="auto"/>
              </w:rPr>
            </w:pPr>
          </w:p>
        </w:tc>
        <w:tc>
          <w:tcPr>
            <w:tcW w:w="1460" w:type="dxa"/>
            <w:vAlign w:val="bottom"/>
            <w:tcBorders>
              <w:bottom w:val="single" w:sz="8" w:color="999999"/>
            </w:tcBorders>
            <w:gridSpan w:val="2"/>
          </w:tcPr>
          <w:p>
            <w:pPr>
              <w:ind w:left="460"/>
              <w:spacing w:after="0"/>
              <w:rPr>
                <w:sz w:val="20"/>
                <w:szCs w:val="20"/>
                <w:color w:val="auto"/>
              </w:rPr>
            </w:pPr>
            <w:r>
              <w:rPr>
                <w:rFonts w:ascii="Arial" w:cs="Arial" w:eastAsia="Arial" w:hAnsi="Arial"/>
                <w:sz w:val="18"/>
                <w:szCs w:val="18"/>
                <w:i w:val="1"/>
                <w:iCs w:val="1"/>
                <w:color w:val="auto"/>
              </w:rPr>
              <w:t>(1.6)%</w:t>
            </w:r>
          </w:p>
        </w:tc>
        <w:tc>
          <w:tcPr>
            <w:tcW w:w="94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(203.0)%</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second quarter and first six months of 2021, the effective tax rate varied from the federal statutory rate of 21% in part due to a tax benefit of $8.3 million recognized for excess tax benefits resulting from employee exercises of stock options and vesting of restricted stock in accordance with ASU 2016-09 and the effect of state taxes.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second quarter and first six months of 2020, the effective tax rate varied from the federal statutory rate of 21% in part due to a tax benefit of $0.8 million and $1.8 million, respectively, recognized for excess tax benefits resulting from employee exercises of stock options and vesting of restricted stock in accordance with ASU 2016-09 and the effect of state taxes. The effective tax rate for the first six months of 2020 was also impacted by a tax benefit of $6.1 million for the impact of the Coronavirus Aid, Relief, and Economic Security ("CARES") Act, as described below.</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the Company,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revalued deferred tax assets related to net operating losses in light of the changes in the CARES Act and recorded a net tax benefit of $6.1 million during the first six months of 2020. These deferred tax assets are being revalued, as they have been carried back to 2016 and 2017, which are tax periods prior to the Tax Cuts and Jobs Act ("TCJA") when the federal statutory tax rate was 35% versus the 21% federal statutory tax rate in effect after the enactment of the TCJA.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10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1"/>
              </w:rPr>
              <w:t>Income tax benefit (expense) - excluding excess tax benefit on stock compensation</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831</w:t>
            </w:r>
          </w:p>
        </w:tc>
        <w:tc>
          <w:tcPr>
            <w:tcW w:w="4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CARES Act</w:t>
            </w:r>
          </w:p>
        </w:tc>
        <w:tc>
          <w:tcPr>
            <w:tcW w:w="3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Excess tax benefit on stock compensation</w:t>
            </w: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8,261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8,293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from CARES Act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9,092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June 30, 2021 as the last reported sale price of the Company's common stock, for at least 20 trading days (whether or not consecutive) during the period of 30 consecutive trading days ending on March 31, 2021, was not greater than or equal to 130% of the conversion price of the 2025 Notes on each applicable trading day. Holders of the 2025 Notes are not entitled to convert the 2025 Notes during the calendar quarter ended September 30, 2021 as the last reported sale price of the Company's common stock, for at least 20 trading days (whether or not consecutive) during the period of 30 consecutive trading days ending on June 30, 2021, was not greater than or equal to 130% of the conversion price of the 2025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1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six months of 2021, the Company recorded interest expense on the 2025 Notes of $13.5 million which consisted of $1.4 million associated with the 0.50% coupon rate, $11.0 million associated with the accretion of the debt discount, and $1.1 million associated with the amortization of the debt issuance costs. The debt discount is being amortized over the term of the debt.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the fair value of the 2025 Notes is estimated to be approximately $520.4 million using the Level 1 observable input of the last quoted market price on June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non-current liability in the June 30, 2021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575,000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99,166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110,110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9,958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465,876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453,834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 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2022 Notes were not entitled to convert the 2022 Notes during the calendar quarter ended June 30, 2021 as the last reported sale price of the Company's common stock, for at least 20 trading days (whether or not consecutive) during the period of 30 consecutive trading days ending on March 31, 2021, was not greater than or equal to 130% of the conversion price of the 2022 Notes on each applicable trading day. Holders of the 2022 Notes are not entitled to convert the 2022 Notes during the calendar quarter ended September 30, 2021 as the last reported sale price of the Company's common stock, for at least 20 trading days (whether or not consecutive) during the period of 30 consecutive trading days ending on June 30, 2021, was not greater than or equal to 130% of the conversion price of the 2022 Notes on each applicable trading day.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six months of 2021, the Company recorded interest expense on the 2022 Notes of $4.7 million which consisted of $0.5 million associated with the 0.625% coupon rate, $3.8 million associated with the accretion of the debt discount, and $0.4 million associated with the amortization of the debt issuance costs. In the first six months of 2020, the Company recorded interest expense on the 2022 Notes of $7.9 million which consisted of $0.9 million associated with the 0.625% coupon rate, $6.3 million associated with the accretion of the debt discount, and $0.7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the fair value of the 2022 Notes is estimated to be approximately $208.7 million using the Level 1 observable input of the last quoted market price on June 30,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current liability in the June 30, 2021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169,659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169,690</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7,086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850</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161,723</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157,578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 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10, 2019, the Company's wholly-owned subsidiary, LendingTree, LLC, entered into an amended and restated $500.0 million five-year senior secured revolving credit facility (the "Amended Revolving Credit Facility") which amended and 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June 30, 2021 and December 31, 2020, the Company had no borrowings outstanding under the Amended Revolving Credit Facility.</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At each of June 30, 2021 and December 31, 2020, the Company had outstanding one letter of credit issued in the amount of $0.2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borrowings under the Amended Revolving Credit Facility bear interest at annual rates that, at the Company’s option, will be either:</w:t>
      </w:r>
    </w:p>
    <w:p>
      <w:pPr>
        <w:spacing w:after="0" w:line="194" w:lineRule="exact"/>
        <w:rPr>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21, 2020, the Company executed a temporary amendment to its Amended Revolving Credit Facility to provide for certain covenant relief, primarily to facilitate the issuance of the 2025 Notes, the repurchase of a portion of the 2022 Notes, and to pay down existing borrowings under the credit facility.</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amendment amends the existing credit agreement to, among other things: (i) temporarily replace the total consolidated debt to EBITDA ratio covenant with a consolidated liquidity covenant requiring the Company to maintain unrestricted cash and cash equivalents in the United States plus amounts available and permitted to be drawn under the Amended Revolving Credit Facility to be no less than $200.0 million; (ii) impose additional limitations on certain restricted payments during such temporary period; and (iii) increase the applicable margins to (x) 2.25% for loans based on the LIBO rate and (y) 1.25% for loans based on the base rate, subject to a 0.75% floor, and unused commitment fees to 0.50% under the Amended Revolving Credit Facility during the temporary period. These amendments were applicable from the effective date through the fiscal quarter ending June 30, 2021.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June 30, 2021.</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Revolving Credit Facility requires LendingTree, LLC to pledge as collateral, subject to certain customary exclusions, substantially all of its assets, including 100% of its equity in all of its domestic subsidiaries and 66% of the voting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Except as noted in the covenant relief discussion above, 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and the Revolving Credit Facility, debt issuance costs of $2.8 million related to the Amended Revolving Credit Facility entered into on December 10, 2019 are being amortized to interest expense over the life of the Amended Revolving Credit Facility. Debt issuance costs of $1.1 million related to the July 21, 2020 temporary amendment were amortized to interest expense through June 30, 2021. Unamortized debt issuance costs are included in prepaid and other current assets and other non-current assets in the Company's consolidated balance sheet.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six months of 2021, the Company recorded interest expense related to the Amended Revolving Credit Facility of $2.3 million which consisted of $1.3 million in unused commitment fees and $1.0 million associated with the amortization of the debt issuance costs. In the first six months of 2020, the Company recorded interest expense related to the Amended Revolving Credit Facility of $2.1 million which consisted of $1.1 million associated with borrowings bearing interest at the LIBO rate, $0.5 million in unused commitment fees, and $0.5 million associated with the amortization of the debt issuance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June 30, 2021, the Company had litigation settlement accruals of $1.0 million and $4.9 million in continuing operations and discontinued operations, respectively. As of December 31, 2020, the Company had litigation settlement accruals of $0.1 million and $0.5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June 30,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05"/>
        </w:trPr>
        <w:tc>
          <w:tcPr>
            <w:tcW w:w="6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beginning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9,046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8,249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33,464</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consideration,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196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28,517</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196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28,517</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contingent consideration liability at June 30, 2021 is the estimated fair value of the remaining earnout payment for the QuoteWizard acquisition. The Company will make an earnout payment ranging from zero to $23.4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8—Business Acquisitions for additional information.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significant unobservable inputs used to calculate the fair value of the contingent consideration for QuoteWizard are the operating results growth rate and the discount rate. Actual results will differ from the projected results and could have a significant impact on the estimated fair value of the contingent consideration.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about Level 3 fair value measurements.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Fair Value at</w:t>
            </w:r>
          </w:p>
        </w:tc>
        <w:tc>
          <w:tcPr>
            <w:tcW w:w="240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Valuation Technique</w:t>
            </w:r>
          </w:p>
        </w:tc>
        <w:tc>
          <w:tcPr>
            <w:tcW w:w="292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Unobservable Input</w:t>
            </w:r>
          </w:p>
        </w:tc>
        <w:tc>
          <w:tcPr>
            <w:tcW w:w="2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Range (Weighted Average)</w:t>
            </w:r>
            <w:r>
              <w:rPr>
                <w:rFonts w:ascii="Arial" w:cs="Arial" w:eastAsia="Arial" w:hAnsi="Arial"/>
                <w:sz w:val="21"/>
                <w:szCs w:val="21"/>
                <w:b w:val="1"/>
                <w:bCs w:val="1"/>
                <w:color w:val="auto"/>
                <w:vertAlign w:val="superscript"/>
              </w:rPr>
              <w:t>(a)</w:t>
            </w: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June 30, 2021</w:t>
            </w:r>
          </w:p>
        </w:tc>
        <w:tc>
          <w:tcPr>
            <w:tcW w:w="2400" w:type="dxa"/>
            <w:vAlign w:val="bottom"/>
            <w:tcBorders>
              <w:bottom w:val="single" w:sz="8" w:color="auto"/>
            </w:tcBorders>
            <w:vMerge w:val="continue"/>
          </w:tcPr>
          <w:p>
            <w:pPr>
              <w:spacing w:after="0"/>
              <w:rPr>
                <w:sz w:val="18"/>
                <w:szCs w:val="18"/>
                <w:color w:val="auto"/>
              </w:rPr>
            </w:pPr>
          </w:p>
        </w:tc>
        <w:tc>
          <w:tcPr>
            <w:tcW w:w="29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i w:val="1"/>
                <w:iCs w:val="1"/>
                <w:color w:val="auto"/>
                <w:w w:val="89"/>
              </w:rPr>
              <w:t>(in thousands)</w:t>
            </w:r>
          </w:p>
        </w:tc>
        <w:tc>
          <w:tcPr>
            <w:tcW w:w="24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8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Contingent</w:t>
            </w:r>
          </w:p>
        </w:tc>
        <w:tc>
          <w:tcPr>
            <w:tcW w:w="46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196</w:t>
            </w:r>
          </w:p>
        </w:tc>
        <w:tc>
          <w:tcPr>
            <w:tcW w:w="2400" w:type="dxa"/>
            <w:vAlign w:val="bottom"/>
            <w:shd w:val="clear" w:color="auto" w:fill="CCEEFF"/>
          </w:tcPr>
          <w:p>
            <w:pPr>
              <w:ind w:left="60"/>
              <w:spacing w:after="0" w:line="179" w:lineRule="exact"/>
              <w:rPr>
                <w:sz w:val="20"/>
                <w:szCs w:val="20"/>
                <w:color w:val="auto"/>
              </w:rPr>
            </w:pPr>
            <w:r>
              <w:rPr>
                <w:rFonts w:ascii="Arial" w:cs="Arial" w:eastAsia="Arial" w:hAnsi="Arial"/>
                <w:sz w:val="18"/>
                <w:szCs w:val="18"/>
                <w:color w:val="auto"/>
              </w:rPr>
              <w:t>Option pricing model</w:t>
            </w:r>
          </w:p>
        </w:tc>
        <w:tc>
          <w:tcPr>
            <w:tcW w:w="2920" w:type="dxa"/>
            <w:vAlign w:val="bottom"/>
            <w:shd w:val="clear" w:color="auto" w:fill="CCEEFF"/>
          </w:tcPr>
          <w:p>
            <w:pPr>
              <w:ind w:left="320"/>
              <w:spacing w:after="0" w:line="179" w:lineRule="exact"/>
              <w:rPr>
                <w:sz w:val="20"/>
                <w:szCs w:val="20"/>
                <w:color w:val="auto"/>
              </w:rPr>
            </w:pPr>
            <w:r>
              <w:rPr>
                <w:rFonts w:ascii="Arial" w:cs="Arial" w:eastAsia="Arial" w:hAnsi="Arial"/>
                <w:sz w:val="18"/>
                <w:szCs w:val="18"/>
                <w:color w:val="auto"/>
              </w:rPr>
              <w:t>Operating results growth rate</w:t>
            </w:r>
          </w:p>
        </w:tc>
        <w:tc>
          <w:tcPr>
            <w:tcW w:w="286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Discount rate</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77" w:lineRule="auto"/>
        <w:tabs>
          <w:tab w:leader="none" w:pos="6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 rates are weighted by the relative undiscounted value of expected earnout payments. Other unobservable inputs are weighted by the relative maximum potential earnout payments.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in the first six months of 2020 is included within the Other category. The Company ceased reselling online advertising space during the first quarter of 2020.</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that are directly attributable to the segments' products. This measure excludes overhead, fixed costs and personnel-related expenses. For the Other category, segment cost of revenue and marketing expense in the first six months of 2020 also includes the portion of cost of revenue attributable to costs paid for advertising re-sold to third parties.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3"/>
              </w:rPr>
              <w:t>Three Months Ended June 30, 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104,861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89,263</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270,014</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56,025</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164,414</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39,017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33,394</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33,238</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105,600</w:t>
            </w:r>
          </w:p>
        </w:tc>
      </w:tr>
      <w:tr>
        <w:trPr>
          <w:trHeight w:val="207"/>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13,934</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20,792</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39,811</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13,290</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4,443</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11,310</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(8,850)</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10,548</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(9,840)</w:t>
            </w:r>
          </w:p>
        </w:tc>
      </w:tr>
      <w:tr>
        <w:trPr>
          <w:trHeight w:val="220"/>
        </w:trPr>
        <w:tc>
          <w:tcPr>
            <w:tcW w:w="5180" w:type="dxa"/>
            <w:vAlign w:val="bottom"/>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w:t>
            </w:r>
          </w:p>
        </w:tc>
      </w:tr>
      <w:tr>
        <w:trPr>
          <w:trHeight w:val="453"/>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3"/>
              </w:rPr>
              <w:t>Three Months Ended June 30, 2020</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72,919</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184,326</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35,397</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42,797</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95,995</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38,726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19,402</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30,122</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88,331</w:t>
            </w: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13,464</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17,926</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28,489</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10,812</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3,550</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9,175</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(7,548)</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(4,955)</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5180" w:type="dxa"/>
            <w:vAlign w:val="bottom"/>
          </w:tcPr>
          <w:p>
            <w:pPr>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(12,496)</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left="543"/>
              <w:spacing w:after="0"/>
              <w:rPr>
                <w:sz w:val="20"/>
                <w:szCs w:val="20"/>
                <w:color w:val="auto"/>
              </w:rPr>
            </w:pPr>
            <w:r>
              <w:rPr>
                <w:rFonts w:ascii="Arial" w:cs="Arial" w:eastAsia="Arial" w:hAnsi="Arial"/>
                <w:sz w:val="14"/>
                <w:szCs w:val="14"/>
                <w:b w:val="1"/>
                <w:bCs w:val="1"/>
                <w:color w:val="auto"/>
                <w:w w:val="92"/>
              </w:rPr>
              <w:t>Six Months Ended June 30, 2021</w:t>
            </w: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232,986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175,877</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542,764</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154,979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109,797</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340,817</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78,007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58,001</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66,080</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201,947</w:t>
            </w:r>
          </w:p>
        </w:tc>
        <w:tc>
          <w:tcPr>
            <w:tcW w:w="0" w:type="dxa"/>
            <w:vAlign w:val="bottom"/>
          </w:tcPr>
          <w:p>
            <w:pPr>
              <w:spacing w:after="0"/>
              <w:rPr>
                <w:sz w:val="1"/>
                <w:szCs w:val="1"/>
                <w:color w:val="auto"/>
              </w:rPr>
            </w:pPr>
          </w:p>
        </w:tc>
      </w:tr>
      <w:tr>
        <w:trPr>
          <w:trHeight w:val="207"/>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27,829</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41,851</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74,800</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22,622</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(8,053)</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8,641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(20,055)</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40,072</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28,658</w:t>
            </w:r>
          </w:p>
        </w:tc>
        <w:tc>
          <w:tcPr>
            <w:tcW w:w="0" w:type="dxa"/>
            <w:vAlign w:val="bottom"/>
          </w:tcPr>
          <w:p>
            <w:pPr>
              <w:spacing w:after="0"/>
              <w:rPr>
                <w:sz w:val="1"/>
                <w:szCs w:val="1"/>
                <w:color w:val="auto"/>
              </w:rPr>
            </w:pPr>
          </w:p>
        </w:tc>
      </w:tr>
      <w:tr>
        <w:trPr>
          <w:trHeight w:val="454"/>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left="543"/>
              <w:spacing w:after="0"/>
              <w:rPr>
                <w:sz w:val="20"/>
                <w:szCs w:val="20"/>
                <w:color w:val="auto"/>
              </w:rPr>
            </w:pPr>
            <w:r>
              <w:rPr>
                <w:rFonts w:ascii="Arial" w:cs="Arial" w:eastAsia="Arial" w:hAnsi="Arial"/>
                <w:sz w:val="14"/>
                <w:szCs w:val="14"/>
                <w:b w:val="1"/>
                <w:bCs w:val="1"/>
                <w:color w:val="auto"/>
                <w:w w:val="92"/>
              </w:rPr>
              <w:t>Six Months Ended June 30, 2020</w:t>
            </w: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153,297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155,656</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467,410</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78,660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94,541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95,001</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269,864</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74,637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62,501</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60,655</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197,546</w:t>
            </w:r>
          </w:p>
        </w:tc>
        <w:tc>
          <w:tcPr>
            <w:tcW w:w="0" w:type="dxa"/>
            <w:vAlign w:val="bottom"/>
          </w:tcPr>
          <w:p>
            <w:pPr>
              <w:spacing w:after="0"/>
              <w:rPr>
                <w:sz w:val="1"/>
                <w:szCs w:val="1"/>
                <w:color w:val="auto"/>
              </w:rPr>
            </w:pPr>
          </w:p>
        </w:tc>
      </w:tr>
      <w:tr>
        <w:trPr>
          <w:trHeight w:val="146"/>
        </w:trPr>
        <w:tc>
          <w:tcPr>
            <w:tcW w:w="5180" w:type="dxa"/>
            <w:vAlign w:val="bottom"/>
          </w:tcPr>
          <w:p>
            <w:pPr>
              <w:ind w:left="120"/>
              <w:spacing w:after="0" w:line="146" w:lineRule="exact"/>
              <w:rPr>
                <w:sz w:val="20"/>
                <w:szCs w:val="20"/>
                <w:color w:val="auto"/>
              </w:rPr>
            </w:pPr>
            <w:r>
              <w:rPr>
                <w:rFonts w:ascii="Arial" w:cs="Arial" w:eastAsia="Arial" w:hAnsi="Arial"/>
                <w:sz w:val="16"/>
                <w:szCs w:val="16"/>
                <w:color w:val="auto"/>
              </w:rPr>
              <w:t>Cost of revenue (exclusive of cost of advertising re-sold to third parties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26,630</w:t>
            </w:r>
          </w:p>
        </w:tc>
        <w:tc>
          <w:tcPr>
            <w:tcW w:w="0" w:type="dxa"/>
            <w:vAlign w:val="bottom"/>
          </w:tcPr>
          <w:p>
            <w:pPr>
              <w:spacing w:after="0"/>
              <w:rPr>
                <w:sz w:val="1"/>
                <w:szCs w:val="1"/>
                <w:color w:val="auto"/>
              </w:rPr>
            </w:pPr>
          </w:p>
        </w:tc>
      </w:tr>
      <w:tr>
        <w:trPr>
          <w:trHeight w:val="209"/>
        </w:trPr>
        <w:tc>
          <w:tcPr>
            <w:tcW w:w="5180" w:type="dxa"/>
            <w:vAlign w:val="bottom"/>
          </w:tcPr>
          <w:p>
            <w:pPr>
              <w:ind w:left="12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40,681</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60,571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21,775</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6,928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27,513</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13,201</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(9,789)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A portion of the purchase price received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HLC agreed to retain certain liability for losses on previously sold loans.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related bankruptcy and ongoing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HLC’s voluntary petition under the Bankruptcy Code does not represent an event of default under LendingTree, LLC’s Second Amended and Restated Credit Agreement dated as of December 10, 2019, the Company’s indenture dated May 31, 2017 with respect to the Company’s 0.625% Convertible Senior Notes due 2022, or the Company’s indenture dated July 24, 2020 with respect to the Company’s 0.50% Convertible Senior Notes due 2025.</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its bankruptcy, HLC indicated that it believed that it had claims against HLC’s sole shareholder, LendingTree, LLC, and certain of its officers and directors, relating to the declaration of a dividend by HLC in January 2016 of $40.0 million.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entered into a settlement agreement in the amount of $36.0 million for the release of any and all claims against the Company defendants by HLC, including the dividend claim. The bankruptcy court held a hearing on July 16, 2020 on the motion to approve the settlement to which no objections were made, and approved the settlement the same day. The $36.0 million settlement payment was made in the third quarter of 2020.</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 protection in May 2012. Plaintiff alleged that, after RFC filed for Chapter 11 protection, hundreds of proofs of claim were filed, many of which mirrored the litigation filed against RFC prior to its bankruptcy.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HLC’s filing under the Bankruptcy Code discussed above in Home Loan Center, Inc. Bankruptcy Filing created an automatic stay of enforcement of the judgment entered against HLC by the U.S. District Court in Minnesota. On August 27, 2019, plaintiff filed a lawsuit captioned </w:t>
      </w:r>
      <w:r>
        <w:rPr>
          <w:rFonts w:ascii="Arial" w:cs="Arial" w:eastAsia="Arial" w:hAnsi="Arial"/>
          <w:sz w:val="16"/>
          <w:szCs w:val="16"/>
          <w:i w:val="1"/>
          <w:iCs w:val="1"/>
          <w:color w:val="auto"/>
        </w:rPr>
        <w:t>ResCap Liquidating</w:t>
      </w:r>
      <w:r>
        <w:rPr>
          <w:rFonts w:ascii="Arial" w:cs="Arial" w:eastAsia="Arial" w:hAnsi="Arial"/>
          <w:sz w:val="16"/>
          <w:szCs w:val="16"/>
          <w:color w:val="auto"/>
        </w:rPr>
        <w:t xml:space="preserve"> </w:t>
      </w:r>
      <w:r>
        <w:rPr>
          <w:rFonts w:ascii="Arial" w:cs="Arial" w:eastAsia="Arial" w:hAnsi="Arial"/>
          <w:sz w:val="16"/>
          <w:szCs w:val="16"/>
          <w:i w:val="1"/>
          <w:iCs w:val="1"/>
          <w:color w:val="auto"/>
        </w:rPr>
        <w:t>Trust v. LendingTree, LLC, et al., Case No. 19-cv-2360 (U.S. Dist. Ct., Minn.)</w:t>
      </w:r>
      <w:r>
        <w:rPr>
          <w:rFonts w:ascii="Arial" w:cs="Arial" w:eastAsia="Arial" w:hAnsi="Arial"/>
          <w:sz w:val="16"/>
          <w:szCs w:val="16"/>
          <w:color w:val="auto"/>
        </w:rPr>
        <w:t>, seeking to hold the Company liable for the judgment against HLC, under</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 of liability, agency and alter ego theories. On June 17, 2020, the Company entered into a settlement agreement with ResCap, pursuant to which, the Company agreed to, among other things, pay ResCap $58.5 million, less any amounts ResCap receives in the HLC bankruptcy, in exchange for, among other things, ResCap releasing any and all claims against the Company, and the Company’s directors and officers, including any claims asserted in ResCap v. LendingTree. Pursuant to the settlement agreement, the Company was responsible for the difference of $58.5 million minus the amount that ResCap received through the HLC Bankruptcy. In the third and fourth quarters of 2020, the Company made payments of $26.5 million and $6.4 million, respectively, to the ResCap Liquidating Trust, and the ResCap Liquidating Trust, in turn, assigned its allowed claims against HLC to the Company. In the second quarter of 2021, the Company received a refund of $8.6 million related to these amounts, from the final distributions in the HLC Bankruptcy on account of the allowed claims that the ResCap Liquidating Trust had assigned to the Company.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Lehman Brothers Holdings Inc. v. 1st Advantage Mortgage, LLC et al., Case No. 08-13555 (SCC), Adversary Proceeding No. 16-01342 (SCC) (Bankr. S.D.N.Y.). </w:t>
      </w:r>
      <w:r>
        <w:rPr>
          <w:rFonts w:ascii="Arial" w:cs="Arial" w:eastAsia="Arial" w:hAnsi="Arial"/>
          <w:sz w:val="18"/>
          <w:szCs w:val="18"/>
          <w:color w:val="auto"/>
        </w:rPr>
        <w:t>In February 2016, Lehman Brothers Holdings, Inc. (“LBHI”) filed an Adversary Complaint against HLC and approximately 149 other</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(the "Complaint"). On December 4, 2019, LBHI filed a $44.7 million proof of claim in HLC’s bankruptcy seeking recovery for the claims asserted in the lawsuit.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HLC’s filing under the Bankruptcy Code discussed above in Home Loan Center, Inc. Bankruptcy Filing created an automatic stay of this proceeding. On June 11, 2020, LBHI filed a lawsuit captioned </w:t>
      </w:r>
      <w:r>
        <w:rPr>
          <w:rFonts w:ascii="Arial" w:cs="Arial" w:eastAsia="Arial" w:hAnsi="Arial"/>
          <w:sz w:val="18"/>
          <w:szCs w:val="18"/>
          <w:i w:val="1"/>
          <w:iCs w:val="1"/>
          <w:color w:val="auto"/>
        </w:rPr>
        <w:t>Lehman Brothers Holdings Inc. v. LendingTree, LLC, et al., Case No. 20-cv-01351 (U.S. Dist. Ct.,</w:t>
      </w:r>
      <w:r>
        <w:rPr>
          <w:rFonts w:ascii="Arial" w:cs="Arial" w:eastAsia="Arial" w:hAnsi="Arial"/>
          <w:sz w:val="18"/>
          <w:szCs w:val="18"/>
          <w:color w:val="auto"/>
        </w:rPr>
        <w:t xml:space="preserve"> </w:t>
      </w:r>
      <w:r>
        <w:rPr>
          <w:rFonts w:ascii="Arial" w:cs="Arial" w:eastAsia="Arial" w:hAnsi="Arial"/>
          <w:sz w:val="18"/>
          <w:szCs w:val="18"/>
          <w:i w:val="1"/>
          <w:iCs w:val="1"/>
          <w:color w:val="auto"/>
        </w:rPr>
        <w:t>Minn.), transferred to Case No. 08-13555 (SCC), Adversary Proceeding No. 21-01107 (SCC) (Bankr. S.D.N.Y.)</w:t>
      </w:r>
      <w:r>
        <w:rPr>
          <w:rFonts w:ascii="Arial" w:cs="Arial" w:eastAsia="Arial" w:hAnsi="Arial"/>
          <w:sz w:val="18"/>
          <w:szCs w:val="18"/>
          <w:color w:val="auto"/>
        </w:rPr>
        <w:t>, seeking to hold the Company liable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allowed bankruptcy claim of $13.3 million. In July 2021, the Company reached a settlement with LBHI, which is included as a liability on the accompanying consolidated balance sheet as of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6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(34,526)</w:t>
            </w: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1,062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1,152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w:t>
            </w:r>
          </w:p>
        </w:tc>
      </w:tr>
      <w:tr>
        <w:trPr>
          <w:trHeight w:val="230"/>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(21,141)</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(25,716)</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2020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discussion under the heading "Discontinued Operations," the analysis within Management's Discussion and Analysis of Financial Condition and Results of Operations reflects our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Of our three reportable segments, the Consumer segment has been most impacted. The impact to our Home and Insurance segments was much less substantial and these segments recovered by the end of 2020. While forecasting the timeline of full recovery for the Consumer segment remains challenging, the momentum of recovery has increased in each quarter subsequent to the onset of the COVID-19 pandemic. We are encouraged by the progress made, and continue to view the Consumer segment with optimism over the medium to long term.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February 28, 2020, we acquired an equity interest in Stash Financial, Inc. (“Stash”) for $80.0 million. On January 6, 2021, we acquired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contractually commenced in April 2021.</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refinancings and, accordingly, lenders receive more organic mortgage lead volume. Due to lower lender demand, our revenue earned per consumer typically decreases, but with correspondingly lower selling and marketing costs.</w:t>
      </w:r>
    </w:p>
    <w:p>
      <w:pPr>
        <w:spacing w:after="0" w:line="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generally increased from a monthly average of 2.68% in December 2020 to a monthly average of 2.98% in June 2021. On a quarterly basis, 30-year mortgage interest rates in the second quarter of 2021 averaged 3.00%, compared to 3.23% in the second quarter of 2020 and 2.88% in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91440</wp:posOffset>
            </wp:positionV>
            <wp:extent cx="4972050" cy="3111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720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56% of total mortgage origination dollars in the second quarter of 2021 compared to 71% in the first quarter of 2021. In the second quarter of 2021, total refinance origination dollars decreased 24% from the first quarter of 2021 and increased 2% from the second quarter of 2020. Industry-wide mortgage origination dollars in the second quarter of 2021 decreased 4% from the first quarter of 2021 and increased 13% from the second quarter of 2020.</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2021, the MBA projected 30-year mortgage interest rates to increase during 2021, to an average 3.4% for the year. According to MBA projections, the mix of mortgage origination dollars is expected to move back towards purchase mortgages with the refinance share representing approximately 54% for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Fannie Mae data, existing-home sales decreased 8% in the second quarter of 2021 compared to the first quarter of 2021, and increased 32% compared to the second quarter of 2020. Fannie Mae predicts an overall increase in existing-home sales of approximately 3% in 2021 compared 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Three Months Ended June 30,</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6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920" w:type="dxa"/>
            <w:vAlign w:val="bottom"/>
          </w:tcPr>
          <w:p>
            <w:pPr>
              <w:jc w:val="right"/>
              <w:ind w:right="504"/>
              <w:spacing w:after="0" w:line="135"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880" w:type="dxa"/>
            <w:vAlign w:val="bottom"/>
          </w:tcPr>
          <w:p>
            <w:pPr>
              <w:jc w:val="right"/>
              <w:ind w:right="484"/>
              <w:spacing w:after="0" w:line="135"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44"/>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5"/>
          </w:tcPr>
          <w:p>
            <w:pPr>
              <w:jc w:val="right"/>
              <w:ind w:right="264"/>
              <w:spacing w:after="0"/>
              <w:rPr>
                <w:sz w:val="20"/>
                <w:szCs w:val="20"/>
                <w:color w:val="auto"/>
              </w:rPr>
            </w:pPr>
            <w:r>
              <w:rPr>
                <w:rFonts w:ascii="Arial" w:cs="Arial" w:eastAsia="Arial" w:hAnsi="Arial"/>
                <w:sz w:val="13"/>
                <w:szCs w:val="13"/>
                <w:b w:val="1"/>
                <w:bCs w:val="1"/>
                <w:i w:val="1"/>
                <w:iCs w:val="1"/>
                <w:color w:val="auto"/>
              </w:rPr>
              <w:t>(Dollars 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Home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104,861</w:t>
            </w:r>
          </w:p>
        </w:tc>
        <w:tc>
          <w:tcPr>
            <w:tcW w:w="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30,738</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232,986</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153,297</w:t>
            </w:r>
          </w:p>
        </w:tc>
        <w:tc>
          <w:tcPr>
            <w:tcW w:w="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79,689</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Consumer</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75,676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37,118</w:t>
            </w:r>
          </w:p>
        </w:tc>
        <w:tc>
          <w:tcPr>
            <w:tcW w:w="140" w:type="dxa"/>
            <w:vAlign w:val="bottom"/>
          </w:tcPr>
          <w:p>
            <w:pPr>
              <w:spacing w:after="0"/>
              <w:rPr>
                <w:sz w:val="17"/>
                <w:szCs w:val="17"/>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38,558</w:t>
            </w:r>
          </w:p>
        </w:tc>
        <w:tc>
          <w:tcPr>
            <w:tcW w:w="620" w:type="dxa"/>
            <w:vAlign w:val="bottom"/>
          </w:tcPr>
          <w:p>
            <w:pPr>
              <w:jc w:val="right"/>
              <w:spacing w:after="0"/>
              <w:rPr>
                <w:sz w:val="20"/>
                <w:szCs w:val="20"/>
                <w:color w:val="auto"/>
              </w:rPr>
            </w:pPr>
            <w:r>
              <w:rPr>
                <w:rFonts w:ascii="Arial" w:cs="Arial" w:eastAsia="Arial" w:hAnsi="Arial"/>
                <w:sz w:val="15"/>
                <w:szCs w:val="15"/>
                <w:color w:val="auto"/>
              </w:rPr>
              <w:t>104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133,583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157,042</w:t>
            </w:r>
          </w:p>
        </w:tc>
        <w:tc>
          <w:tcPr>
            <w:tcW w:w="1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5"/>
                <w:szCs w:val="15"/>
                <w:color w:val="auto"/>
              </w:rPr>
              <w:t>(23,459)</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(15) %</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Insurance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89,263</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72,919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16,344</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175,877</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155,656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20,221</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1,415</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(1,097)</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(78) %</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270,014</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184,326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85,688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46 %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542,764</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467,410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75,354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16 %</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5"/>
                <w:szCs w:val="15"/>
                <w:color w:val="auto"/>
              </w:rPr>
              <w:t>Costs and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4"/>
              </w:rPr>
              <w:t>Cost of revenue (exclusive of depreciation and amortization</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13,934</w:t>
            </w: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13,464</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rPr>
              <w:t>470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27,829</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27,716</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113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shown separately below)</w:t>
            </w: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Selling and marketing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185,206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113,921</w:t>
            </w:r>
          </w:p>
        </w:tc>
        <w:tc>
          <w:tcPr>
            <w:tcW w:w="140" w:type="dxa"/>
            <w:vAlign w:val="bottom"/>
          </w:tcPr>
          <w:p>
            <w:pPr>
              <w:spacing w:after="0"/>
              <w:rPr>
                <w:sz w:val="17"/>
                <w:szCs w:val="17"/>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71,285</w:t>
            </w:r>
          </w:p>
        </w:tc>
        <w:tc>
          <w:tcPr>
            <w:tcW w:w="620" w:type="dxa"/>
            <w:vAlign w:val="bottom"/>
          </w:tcPr>
          <w:p>
            <w:pPr>
              <w:jc w:val="right"/>
              <w:spacing w:after="0"/>
              <w:rPr>
                <w:sz w:val="20"/>
                <w:szCs w:val="20"/>
                <w:color w:val="auto"/>
              </w:rPr>
            </w:pPr>
            <w:r>
              <w:rPr>
                <w:rFonts w:ascii="Arial" w:cs="Arial" w:eastAsia="Arial" w:hAnsi="Arial"/>
                <w:sz w:val="15"/>
                <w:szCs w:val="15"/>
                <w:color w:val="auto"/>
              </w:rPr>
              <w:t>63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382,668</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309,459</w:t>
            </w:r>
          </w:p>
        </w:tc>
        <w:tc>
          <w:tcPr>
            <w:tcW w:w="140" w:type="dxa"/>
            <w:vAlign w:val="bottom"/>
          </w:tcPr>
          <w:p>
            <w:pPr>
              <w:spacing w:after="0"/>
              <w:rPr>
                <w:sz w:val="17"/>
                <w:szCs w:val="17"/>
                <w:color w:val="auto"/>
              </w:rPr>
            </w:pP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73,209</w:t>
            </w:r>
          </w:p>
        </w:tc>
        <w:tc>
          <w:tcPr>
            <w:tcW w:w="640" w:type="dxa"/>
            <w:vAlign w:val="bottom"/>
          </w:tcPr>
          <w:p>
            <w:pPr>
              <w:jc w:val="right"/>
              <w:spacing w:after="0"/>
              <w:rPr>
                <w:sz w:val="20"/>
                <w:szCs w:val="20"/>
                <w:color w:val="auto"/>
              </w:rPr>
            </w:pPr>
            <w:r>
              <w:rPr>
                <w:rFonts w:ascii="Arial" w:cs="Arial" w:eastAsia="Arial" w:hAnsi="Arial"/>
                <w:sz w:val="15"/>
                <w:szCs w:val="15"/>
                <w:color w:val="auto"/>
              </w:rPr>
              <w:t>24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39,811</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28,489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11,322</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74,800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60,571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14,229</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Product development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13,290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10,812</w:t>
            </w:r>
          </w:p>
        </w:tc>
        <w:tc>
          <w:tcPr>
            <w:tcW w:w="140" w:type="dxa"/>
            <w:vAlign w:val="bottom"/>
          </w:tcPr>
          <w:p>
            <w:pPr>
              <w:spacing w:after="0"/>
              <w:rPr>
                <w:sz w:val="17"/>
                <w:szCs w:val="17"/>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2,478</w:t>
            </w:r>
          </w:p>
        </w:tc>
        <w:tc>
          <w:tcPr>
            <w:tcW w:w="620" w:type="dxa"/>
            <w:vAlign w:val="bottom"/>
          </w:tcPr>
          <w:p>
            <w:pPr>
              <w:jc w:val="right"/>
              <w:spacing w:after="0"/>
              <w:rPr>
                <w:sz w:val="20"/>
                <w:szCs w:val="20"/>
                <w:color w:val="auto"/>
              </w:rPr>
            </w:pPr>
            <w:r>
              <w:rPr>
                <w:rFonts w:ascii="Arial" w:cs="Arial" w:eastAsia="Arial" w:hAnsi="Arial"/>
                <w:sz w:val="15"/>
                <w:szCs w:val="15"/>
                <w:color w:val="auto"/>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25,758</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21,775</w:t>
            </w:r>
          </w:p>
        </w:tc>
        <w:tc>
          <w:tcPr>
            <w:tcW w:w="140" w:type="dxa"/>
            <w:vAlign w:val="bottom"/>
          </w:tcPr>
          <w:p>
            <w:pPr>
              <w:spacing w:after="0"/>
              <w:rPr>
                <w:sz w:val="17"/>
                <w:szCs w:val="17"/>
                <w:color w:val="auto"/>
              </w:rPr>
            </w:pP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3,983</w:t>
            </w: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4,443</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893</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1,233</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Amortization of intangibles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11,310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13,756</w:t>
            </w:r>
          </w:p>
        </w:tc>
        <w:tc>
          <w:tcPr>
            <w:tcW w:w="140" w:type="dxa"/>
            <w:vAlign w:val="bottom"/>
          </w:tcPr>
          <w:p>
            <w:pPr>
              <w:spacing w:after="0"/>
              <w:rPr>
                <w:sz w:val="17"/>
                <w:szCs w:val="17"/>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(2,446)</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(18)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22,622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27,513</w:t>
            </w:r>
          </w:p>
        </w:tc>
        <w:tc>
          <w:tcPr>
            <w:tcW w:w="1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5"/>
                <w:szCs w:val="15"/>
                <w:color w:val="auto"/>
              </w:rPr>
              <w:t>(4,891)</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contingent consideration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(18,025)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(8,053)</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(865) %</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7"/>
                <w:szCs w:val="17"/>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(32)</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(100)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190</w:t>
            </w:r>
          </w:p>
        </w:tc>
        <w:tc>
          <w:tcPr>
            <w:tcW w:w="140" w:type="dxa"/>
            <w:vAlign w:val="bottom"/>
          </w:tcPr>
          <w:p>
            <w:pPr>
              <w:spacing w:after="0"/>
              <w:rPr>
                <w:sz w:val="17"/>
                <w:szCs w:val="17"/>
                <w:color w:val="auto"/>
              </w:rPr>
            </w:pPr>
          </w:p>
        </w:tc>
        <w:tc>
          <w:tcPr>
            <w:tcW w:w="880" w:type="dxa"/>
            <w:vAlign w:val="bottom"/>
          </w:tcPr>
          <w:p>
            <w:pPr>
              <w:jc w:val="right"/>
              <w:ind w:right="104"/>
              <w:spacing w:after="0"/>
              <w:rPr>
                <w:sz w:val="20"/>
                <w:szCs w:val="20"/>
                <w:color w:val="auto"/>
              </w:rPr>
            </w:pPr>
            <w:r>
              <w:rPr>
                <w:rFonts w:ascii="Arial" w:cs="Arial" w:eastAsia="Arial" w:hAnsi="Arial"/>
                <w:sz w:val="15"/>
                <w:szCs w:val="15"/>
                <w:color w:val="auto"/>
              </w:rPr>
              <w:t>(190)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Litigation settlements and contingencies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(1,325)</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1,647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1,334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costs and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259,466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191,874</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67,592</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35 %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534,123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454,209</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79,914</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18 %</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10,548</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(7,548)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18,096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240 %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8,641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13,201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(4,560)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(35)%</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5"/>
                <w:szCs w:val="15"/>
                <w:color w:val="auto"/>
              </w:rPr>
              <w:t>Other (expense) income,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4,885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(20,055)</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10,266</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income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(7)</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(100)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40,072</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40,065</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6"/>
              </w:rPr>
              <w:t>n/a</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708</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(12,496)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13,204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106 %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28,658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3,419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25,239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738 %</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benefit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9,092</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3,880</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5,212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6,941</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(6,487)</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(93) %</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from continuing operations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9,800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(8,616)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18,416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214 %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29,112</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10,360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18,752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181 %</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Loss from discontinued operations, net of tax</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(3,199)</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(21,141)</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(17,942)</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(85)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(3,462)</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(22,254)</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(87) %</w:t>
            </w:r>
          </w:p>
        </w:tc>
        <w:tc>
          <w:tcPr>
            <w:tcW w:w="0" w:type="dxa"/>
            <w:vAlign w:val="bottom"/>
          </w:tcPr>
          <w:p>
            <w:pPr>
              <w:spacing w:after="0"/>
              <w:rPr>
                <w:sz w:val="1"/>
                <w:szCs w:val="1"/>
                <w:color w:val="auto"/>
              </w:rPr>
            </w:pPr>
          </w:p>
        </w:tc>
      </w:tr>
      <w:tr>
        <w:trPr>
          <w:trHeight w:val="207"/>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and comprehensive income (loss)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6,601</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(29,757)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36,358</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122 %</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25,650</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(15,356)</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41,006</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267 %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increased in the second quarter of 2021 compared to the second quarter of 2020 due to increases in all our segments. Revenue increased in the first six months of 2021 compared to the first six months of 2020 due to increases in our Home and Insurance segments, partially offset by decreases in our Consumer segment and Other category.</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$38.6 million in the second quarter of 2021 from the second quarter of 2020, or 104%, primarily due to increases in our personal loans, credit cards, and small business loans products. Revenue from our Consumer segment decreased $23.5 million in the first six months of 2021 from the first six months of 2020, or 15%, primarily due to decreases in our credit cards and deposits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credit cards product increased $15.2 million to $22.4 million in the second quarter of 2021 from $7.2 million in the second quarter of 2020, or 212%, primarily due to an increase in the number of approvals and an increase in revenue earned per approval. Revenue from our credit cards product decreased $18.7 million to $40.1 million in the first six months of 2021 from $58.8 million in the first six months of 2020, or 32%, primarily due to a decrease in the number of approvals and a decrease in revenue earned per approval.</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periods presented, no other products in our Consumer segment represented more than 10% of revenue; however, certain other Consumer products experienced notable changes. Revenue from our personal loans product increased $16.4 million in the second quarter of 2021 compared to the second quarter of 2020, due to an increase in the number of consumers completing request forms as well as an increase in revenue earned per consumer. Revenue from our small business loans product increased $7.7 million in the second quarter of 2021 compared to the second quarter of 2020, due to loosening underwriting standards and improved flow of capital, as well as an increase in revenue earned per consumer. Revenue from our deposits product decreased $7.9 million in the first six months of 2021 compared to the first six months of 2020, due to a decrease in the number of consumers completing request forms as well as a decrease in revenue earned per consumer.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ongoing COVID-19 pandemic is anticipated to continue to impact our Consumer product revenues in the near-term.</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Home segment includes the following products: purchase mortgage, refinance mortgage, home equity loans and lines of credit, reverse mortgage loans, and real estate. Revenue from our Home segment increased $30.7 million in the second quarter of 2021 from the second quarter of 2020, or 41%, primarily due to increases in revenue from our refinance mortgage, purchase mortgage, and home equity loans and lines of credit products. Revenue from our Home segment increased $79.7 million in the first six months of 2021 from the first six months of 2020, or 52%, primarily due to increases in revenue from those same products. Revenue from our refinance mortgage product increased $12.7 million in the second quarter of 2021 compared to the second quarter of 2020, and increased $64.7 million in the first six months of 2021 compared to the first six months of 2020, due to an increase in revenue earned per consumer, partially offset by a decrease in the number of consumers completing request forms. Revenue from our home equity loans and lines of credit product increased $10.0 million in the second quarter of 2021 compared to the second quarter of 2020, and increased $9.9 million in the first six months of 2021 compared to the first six months of 2020. Revenue from our purchase mortgage product increased $8.2 million in the second quarter of 2021 compared to the second quarter of 2020, and increased $5.5 million in the first six months of 2021 compared to the first six months of 2020. Revenue from our home equity loans and lines of credit product and our purchase mortgage product increased due to a shift in both lender and consumer focus away from refinance products as well as an increase in revenue earned per consumer.</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 from our Insurance segment increased $16.3 million to $89.3 million in the second quarter of 2021 from $72.9 million in the second quarter of 2020, or 22%, and increased $20.2 million to $175.9 million in the first six months of 2021 from $155.7 million in the first six months of 2020, or 13%, due to an increase in the number of consumers seeking insurance coverage, partially offset by a decrease in revenue earned per consumer.</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the Other category decreased $1.1 million in the first six months of 2021 compared to the first six months of 2020, primarily as we ceased reselling online advertising space during the first quarter of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in the second quarter of 2021 from the second quarter of 2020, primarily due to an increase in compensation and benefits of $0.8 million, partially offset by a $0.6 million decrease in credit card fees. Cost of revenue increased slightly in the first six months of 2021 from the first six months of 2020, primarily due to an increase in compensation and benefits of $1.7 million, partially offset by a $1.3 million decrease in credit card fees, as well as a $1.1 million decrease for the cost of resold advertising space.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decreased to 5% in the second quarter of 2021 compared to 7% in the second quarter of 2020, and decreased to 5% in the first six months of 2021 compared to 6% in the first six months of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marketing expense increased in the second quarter and first six months of 2021 compared to the second quarter and first six months of 2020 primarily due to the increases in advertising and promotional expense discussed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93"/>
              </w:rPr>
              <w:t>Three Months Ended June 30,</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92"/>
              </w:rPr>
              <w:t>Six Months Ended June 30,</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1"/>
                <w:szCs w:val="11"/>
                <w:color w:val="auto"/>
              </w:rPr>
            </w:pPr>
          </w:p>
        </w:tc>
        <w:tc>
          <w:tcPr>
            <w:tcW w:w="8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960" w:type="dxa"/>
            <w:vAlign w:val="bottom"/>
          </w:tcPr>
          <w:p>
            <w:pPr>
              <w:jc w:val="right"/>
              <w:ind w:right="542"/>
              <w:spacing w:after="0" w:line="135"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04"/>
              <w:spacing w:after="0" w:line="13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1"/>
                <w:szCs w:val="11"/>
                <w:color w:val="auto"/>
              </w:rPr>
            </w:pPr>
          </w:p>
        </w:tc>
        <w:tc>
          <w:tcPr>
            <w:tcW w:w="80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940" w:type="dxa"/>
            <w:vAlign w:val="bottom"/>
          </w:tcPr>
          <w:p>
            <w:pPr>
              <w:jc w:val="right"/>
              <w:ind w:right="522"/>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4"/>
          </w:tcPr>
          <w:p>
            <w:pPr>
              <w:jc w:val="right"/>
              <w:ind w:right="361"/>
              <w:spacing w:after="0"/>
              <w:rPr>
                <w:sz w:val="20"/>
                <w:szCs w:val="20"/>
                <w:color w:val="auto"/>
              </w:rPr>
            </w:pPr>
            <w:r>
              <w:rPr>
                <w:rFonts w:ascii="Arial" w:cs="Arial" w:eastAsia="Arial" w:hAnsi="Arial"/>
                <w:sz w:val="13"/>
                <w:szCs w:val="13"/>
                <w:b w:val="1"/>
                <w:bCs w:val="1"/>
                <w:i w:val="1"/>
                <w:iCs w:val="1"/>
                <w:color w:val="auto"/>
              </w:rPr>
              <w:t>(Dollars in thousands)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Online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165,038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96,416</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68,622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341,859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269,497</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72,362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Broadcast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3,154</w:t>
            </w:r>
          </w:p>
        </w:tc>
        <w:tc>
          <w:tcPr>
            <w:tcW w:w="200" w:type="dxa"/>
            <w:vAlign w:val="bottom"/>
          </w:tcPr>
          <w:p>
            <w:pPr>
              <w:spacing w:after="0"/>
              <w:rPr>
                <w:sz w:val="18"/>
                <w:szCs w:val="18"/>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(505)</w:t>
            </w:r>
          </w:p>
        </w:tc>
        <w:tc>
          <w:tcPr>
            <w:tcW w:w="940" w:type="dxa"/>
            <w:vAlign w:val="bottom"/>
          </w:tcPr>
          <w:p>
            <w:pPr>
              <w:jc w:val="right"/>
              <w:spacing w:after="0"/>
              <w:rPr>
                <w:sz w:val="20"/>
                <w:szCs w:val="20"/>
                <w:color w:val="auto"/>
              </w:rPr>
            </w:pPr>
            <w:r>
              <w:rPr>
                <w:rFonts w:ascii="Arial" w:cs="Arial" w:eastAsia="Arial" w:hAnsi="Arial"/>
                <w:sz w:val="16"/>
                <w:szCs w:val="16"/>
                <w:color w:val="auto"/>
              </w:rPr>
              <w:t>(16)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9,478</w:t>
            </w:r>
          </w:p>
        </w:tc>
        <w:tc>
          <w:tcPr>
            <w:tcW w:w="200" w:type="dxa"/>
            <w:vAlign w:val="bottom"/>
          </w:tcPr>
          <w:p>
            <w:pPr>
              <w:spacing w:after="0"/>
              <w:rPr>
                <w:sz w:val="18"/>
                <w:szCs w:val="18"/>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(5,662)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1,649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6,621</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3,002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advertising expense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171,595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101,829</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69,766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69 %</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355,298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285,596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69,702</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adjusted our advertising expenditures in the second quarter and first six months of 2021 compared to the second quarter and first six months of 2020 in response to changes in Network Partner demand on our marketplace as a result of the ongoing COVID-19 pandemic discussed above. We will continue to adjust selling and marketing expenditures dynamically in relation to this and in response to anticipated revenue opportunities.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 increased in the second quarter of 2021 compared to the second quarter of 2020, primarily due to increases in compensation and benefits, technology expense, and facilities expense of $5.5 million, $1.7 million, and $1.4 million, respectively, as well as a $1.0 million increase in losses on asset impairments and disposals. General and administrative expense increased in the first six months of 2021 compared to the first six months of 2020, primarily due to increases in compensation and benefits, facilities expense, and technology expense of $10.2 million, $2.9 million, and $2.3 million, respectively. This was partially offset by a decrease in professional fees of $1.3 million.</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15% in the second quarter of 2021 compared to 16% in the second quarter of 2020, and increased to 14% in the first six months of 2021 compared to 13% in the first six months of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second quarter and first six months of 2021 compared to the second quarter and first six months of 2020 as we continued to invest in internal development of new and enhanced features, functionality and business opportunities that we believe will enable us to better and more fully serve consumers and Network Partners.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increase in depreciation expense in the second quarter and first six months of 2021 compared to the second quarter and first six months of 2020 was primarily the result of depreciation on assets related to our new corporate office, which lease contractually commenced in the second quarter of 2021.</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amortization of intangibles in the second quarter and first six months of 2021 compared to the second quarter and first six months of 2020 was due to certain intangible assets associated with our recent business acquisitions becoming fully amortized.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and first six months of 2021, we recorded contingent consideration gains of $8.9 million and $8.1 million, respectively, due to adjustments in the estimated fair value of the remaining earnout payment related to the QuoteWizard acquisition.</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second quarter and first six months of 2020, we recorded aggregate contingent consideration expense of $9.2 million and $1.1 million, respectively, due to adjustments in the estimated fair value of the earnout payments related to our recent acquisitions. For the second quarter of 2020, the contingent consideration expense for the QuoteWizard, Ovation and SnapCap acquisitions was $8.1 million, $1.0 million and $0.1 million, respectively. For the first six months of 2020, the contingent consideration expense for the Ovation and SnapCap acquisitions was $1.2 million and $0.1 million, respectively, partially offset by a contingent consideration gain for the QuoteWizard acquisition of $0.2 million.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Interest expense increased in the second quarter and first six months of 2021 compared to the second quarter and first six months of 2020 due to the issuance of $575.0 million of our 0.50% Convertible Senior Notes due July 15, 2025 (the “2025 Notes”) as well as the repurchase of a portion of our existing 0.625% Convertible Senior Notes due June 1, 2022 (the “2022 Notes”) in July 2020. In the second quarter and first six months of 2021, interest expense of $6.7 million and $13.5 million, respectively, was recognized on the 2025 Notes. This increase to interest expense was partially offset by lower interest expense on the 2022 Notes in the second quarter and first six months of 2021 compared to the second quarter and first six months of 2020 as a result of the July 2020 repurchase of $130.3 million principal amount of the 2022 Notes.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13—Debt for additional information on the issuance of the 2025 Notes and the partial repurchase of the 2022 Notes.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the first six months of 2021, other income primarily consists of a $40.1 million gain on our investment in Stash as a result of an adjustment to the fair value based on observable market events.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7—Equity Investment for additional information on the equity interest in Stash.</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second quarter and first six months of 2021, the effective tax rate varied from the federal statutory rate of 21% in part due to a tax benefit of $8.3 million recognized for excess tax benefits resulting from employee exercises of stock options and vesting of restricted stock in accordance with ASU 2016-09 and the effect of state taxes.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For the second quarter and first six months of 2020, the effective tax rate varied from the federal statutory rate of 21% in part due to a tax benefit of $0.8 million and $1.8 million, respectively, recognized for excess tax benefits resulting from employee exercises of stock options and vesting of restricted stock in accordance with ASU 2016-09 and the effect of state taxes. The effective tax rate for the first six months of 2020 was also impacted by a tax benefit of $6.1 million for the impact of the Coronavirus Aid, Relief, and Economic Security ("CARES") Act.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12—Income Taxes for additional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Bankruptcy Code on July 21, 2019, which was converted to Chapter 7 of the United States Bankruptcy Code on September 16, 2019.</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ind w:left="340" w:right="1180"/>
        <w:spacing w:after="0" w:line="41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17—Discontinued Operations to the consolidated financial statements included elsewhere in this report for more information.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Segment Profit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93"/>
              </w:rPr>
              <w:t>Three Months Ended June 30,</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92"/>
              </w:rPr>
              <w:t>Six Months Ended June 30,</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8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960" w:type="dxa"/>
            <w:vAlign w:val="bottom"/>
          </w:tcPr>
          <w:p>
            <w:pPr>
              <w:jc w:val="right"/>
              <w:ind w:right="542"/>
              <w:spacing w:after="0" w:line="13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24"/>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1"/>
                <w:szCs w:val="11"/>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940" w:type="dxa"/>
            <w:vAlign w:val="bottom"/>
          </w:tcPr>
          <w:p>
            <w:pPr>
              <w:jc w:val="right"/>
              <w:ind w:right="522"/>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22"/>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5"/>
          </w:tcPr>
          <w:p>
            <w:pPr>
              <w:jc w:val="right"/>
              <w:ind w:right="381"/>
              <w:spacing w:after="0"/>
              <w:rPr>
                <w:sz w:val="20"/>
                <w:szCs w:val="20"/>
                <w:color w:val="auto"/>
              </w:rPr>
            </w:pPr>
            <w:r>
              <w:rPr>
                <w:rFonts w:ascii="Arial" w:cs="Arial" w:eastAsia="Arial" w:hAnsi="Arial"/>
                <w:sz w:val="13"/>
                <w:szCs w:val="13"/>
                <w:b w:val="1"/>
                <w:bCs w:val="1"/>
                <w:i w:val="1"/>
                <w:iCs w:val="1"/>
                <w:color w:val="auto"/>
              </w:rPr>
              <w:t>(Dollars in thousands)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38,726</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291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78,007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74,637</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3,370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33,394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19,402</w:t>
            </w:r>
          </w:p>
        </w:tc>
        <w:tc>
          <w:tcPr>
            <w:tcW w:w="200" w:type="dxa"/>
            <w:vAlign w:val="bottom"/>
          </w:tcPr>
          <w:p>
            <w:pPr>
              <w:spacing w:after="0"/>
              <w:rPr>
                <w:sz w:val="18"/>
                <w:szCs w:val="18"/>
                <w:color w:val="auto"/>
              </w:rPr>
            </w:pPr>
          </w:p>
        </w:tc>
        <w:tc>
          <w:tcPr>
            <w:tcW w:w="960" w:type="dxa"/>
            <w:vAlign w:val="bottom"/>
          </w:tcPr>
          <w:p>
            <w:pPr>
              <w:jc w:val="right"/>
              <w:ind w:right="162"/>
              <w:spacing w:after="0"/>
              <w:rPr>
                <w:sz w:val="20"/>
                <w:szCs w:val="20"/>
                <w:color w:val="auto"/>
              </w:rPr>
            </w:pPr>
            <w:r>
              <w:rPr>
                <w:rFonts w:ascii="Arial" w:cs="Arial" w:eastAsia="Arial" w:hAnsi="Arial"/>
                <w:sz w:val="16"/>
                <w:szCs w:val="16"/>
                <w:color w:val="auto"/>
              </w:rPr>
              <w:t>13,992</w:t>
            </w: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58,001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62,501</w:t>
            </w:r>
          </w:p>
        </w:tc>
        <w:tc>
          <w:tcPr>
            <w:tcW w:w="180" w:type="dxa"/>
            <w:vAlign w:val="bottom"/>
          </w:tcPr>
          <w:p>
            <w:pPr>
              <w:spacing w:after="0"/>
              <w:rPr>
                <w:sz w:val="18"/>
                <w:szCs w:val="18"/>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(4,500)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3,116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66,080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5,425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(130)</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(160) %</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106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105,600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88,331</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17,269</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20 %</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201,947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197,546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4,401</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Consumer segment profit increased $14.0 million in the second quarter of 2021 from the second quarter of 2020, primarily due to an increase in revenue, partially offset by a corresponding increase in selling and marketing expense. Consumer segment profit decreased $4.5 million in the first six months of 2021 from the first six months of 2020, primarily due to a decrease in revenue, partially offset by a corresponding decrease in selling and marketing expense. We continue to build momentum in the Consumer segment as demand from both consumers and our Network Partners returns. Consumer demand for personal loans began to return as the economy begins to reopen. Lender demand in our personal loans product continues to improve, with more lenders currently on our marketplace than prior to the onset of the COVID-19 pandemic. Credit card issuer budgets continue to increase, with an increasing number of issuers returning to our marketplace and increasing approval rates. The profitability of our credit card product remains constrained as we continue to re-invest incremental revenue into the product to capture wallet share. Our small business loans product continues steady recovery from the impact of the COVID-19 pandemic.</w:t>
      </w:r>
    </w:p>
    <w:p>
      <w:pPr>
        <w:spacing w:after="0" w:line="12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Insurance segment profit increased $3.1 million in the second quarter of 2021 from the second quarter of 2020, and increased $5.4 million in the first six months of 2021 from the first six months of 2020, primarily due to an increase in revenue, partially offset by a corresponding increase in selling and marketing expense. We continue to diversify and increase the durability of the Insurance segment by broadening traffic acquisition sources, expanding our insurance carrier network, and growing into non-automobile categories. During the second quarter of 2021, our publisher platform again delivered record performance, and our inbound channel continued positive momentum. These additional traffic sources enable incremental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while reducing our reliance on paid search marketing, in which we have observed increasing competition in recent months. Additionally, our efforts to scale non-automobile categories continue to deliver returns. We again observed record revenue from the home category in the second quarter of 2021, as we increasingly leverage our presence in the mortgage industry. We continue to make significant investments in our Medicare category, ahead of the annual fourth quarter enrollment season.</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Home segment profit remained relatively consistent in the second quarter of 2021 from the second quarter of 2020. Home segment profit increased $3.4 million in the first six months of 2021 from the first six months of 2020, primarily due to an increase in revenue, partially offset by a corresponding increase in selling and marketing expense. Although refinance activity is decelerating from the peak experienced earlier this year, the Home segment continues to perform well as we are an integral part of our Network Partners' marketing model. Demand for our services, and competition on our network, drove a 71% increase in mortgage revenue per lead in the second quarter of 2021 compared to the second quarter of 2020. The Home segment margin increased to 37% of revenue in the second quarter of 2021, compared to 30% in the first quarter of 2021. While there is uncertainty over the current low interest rate environment and corresponding impact to refinance activity, we are confident in our market-leading position and flexible business model.</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9,800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29,112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11,310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22,622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27,513</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4,443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8,161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6,928</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1,052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1,400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18,294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34,730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25,075</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1,110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9,840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20,055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9,789</w:t>
            </w:r>
          </w:p>
        </w:tc>
      </w:tr>
      <w:tr>
        <w:trPr>
          <w:trHeight w:val="229"/>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38,229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30,847</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68,978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75,723</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2021, we had $203.2 million of cash and cash equivalents, compared to $169.9 million of cash and cash equivalents as of December 31, 2020.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first quarter of 2021, we acquired additional equity interest in Stash for $1.2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to the consolidated financial statements included elsewhere in this report for additional information on the equity interest in Stash.</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could make an additional potential contingent consideration payment of up to $23.4 million related to the prior acquisition of QuoteWizard.</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We will continue to monitor the impact of the ongoing COVID-19 pandemic on our liquidity and capital resources. We expect our cashflow from operating activities to be negatively impacted by the economic recession.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December 10, 2019, we entered into an amended and restated $500.0 million five-year senior secured revolving credit facility, which matures on December 10, 2024 (the “Amended Revolving Credit Facility”). Borrowings under the Amended Revolving Credit Facility can be used to finance working capital needs, capital expenditures and general corporate purposes, including to finance permitted acquisitions. In July 2020, we executed a temporary amendment to the Amended Revolving Credit Facility to provide for certain covenant relief, primarily to facilitate the issuance of the 2025 Notes, the repurchase of a portion of the 2022 Notes, and to pay down existing borrowings under the credit facility. The amendment was applicable from the effective date through the fiscal quarter ending June 30, 2021. As a result of the expiration of the temporary amendment, we are currently unable to draw on the Amended Revolving Credit Facility and we are in the process of establishing a new facility during the third quarter of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 Debt for additional information.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29, 2021, we have outstanding a $0.2 million letter of credit under the Amended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r>
      <w:tr>
        <w:trPr>
          <w:trHeight w:val="181"/>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54,580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7"/>
              </w:rPr>
              <w:t>87,916</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(24,765)</w:t>
            </w:r>
          </w:p>
        </w:tc>
        <w:tc>
          <w:tcPr>
            <w:tcW w:w="480" w:type="dxa"/>
            <w:vAlign w:val="bottom"/>
          </w:tcPr>
          <w:p>
            <w:pPr>
              <w:spacing w:after="0"/>
              <w:rPr>
                <w:sz w:val="19"/>
                <w:szCs w:val="19"/>
                <w:color w:val="auto"/>
              </w:rPr>
            </w:pPr>
          </w:p>
        </w:tc>
        <w:tc>
          <w:tcPr>
            <w:tcW w:w="780" w:type="dxa"/>
            <w:vAlign w:val="bottom"/>
          </w:tcPr>
          <w:p>
            <w:pPr>
              <w:jc w:val="center"/>
              <w:ind w:left="35"/>
              <w:spacing w:after="0"/>
              <w:rPr>
                <w:sz w:val="20"/>
                <w:szCs w:val="20"/>
                <w:color w:val="auto"/>
              </w:rPr>
            </w:pPr>
            <w:r>
              <w:rPr>
                <w:rFonts w:ascii="Arial" w:cs="Arial" w:eastAsia="Arial" w:hAnsi="Arial"/>
                <w:sz w:val="18"/>
                <w:szCs w:val="18"/>
                <w:color w:val="auto"/>
                <w:w w:val="92"/>
              </w:rPr>
              <w:t>(89,108)</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center"/>
              <w:ind w:left="55"/>
              <w:spacing w:after="0"/>
              <w:rPr>
                <w:sz w:val="20"/>
                <w:szCs w:val="20"/>
                <w:color w:val="auto"/>
              </w:rPr>
            </w:pPr>
            <w:r>
              <w:rPr>
                <w:rFonts w:ascii="Arial" w:cs="Arial" w:eastAsia="Arial" w:hAnsi="Arial"/>
                <w:sz w:val="18"/>
                <w:szCs w:val="18"/>
                <w:color w:val="auto"/>
                <w:w w:val="87"/>
              </w:rPr>
              <w:t>45,282</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Net cash provided by operating activities attributable to continuing operations decreased in the first six months of 2021 from the first six months of 2020 primarily due to unfavorable changes in accounts receivable, partially offset by favorable changes in accounts payable, accrued expenses and other current liabilities, and income taxes receivable.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2021 of $24.8 million consisted of capital expenditures of $23.6 million primarily related to internally developed software and leasehold improvements for our new principal corporate offices, as well as the purchase of an additional $1.2 million equity interest in Stash, described above.</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six months of 2020 of $89.1 million consisted of the initial purchase of an $80.0 million equity interest in Stash and capital expenditures of $9.1 million primarily related to internally developed software.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six months of 2021 of $5.0 million consisted primarily of $4.8 million in withholding taxes paid upon surrender of shares to satisfy obligations on equity awards, net of proceeds from the exercise of stock options.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six months of 2020 of $45.3 million consisted primarily of $55.0 million of net proceeds from our Amended Revolving Credit Facility, partially offset by $6.1 million in withholding taxes paid upon surrender of shares to satisfy obligations on equity awards, net of proceeds from the exercise of stock options, and a $3.3 million contingent consideration payment for SnapCap.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July 29, 2021, there were no borrowings under the Amended Revolving Credit Facility.</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2021,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2021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2020 Annual Report and updated that information in Note 14—Contingencies and Note 17—Discontinued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2020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June 30, 2021, no shares of common stock were repurchased under the stock repurchase program. As of </w:t>
      </w:r>
      <w:r>
        <w:rPr>
          <w:rFonts w:ascii="Arial" w:cs="Arial" w:eastAsia="Arial" w:hAnsi="Arial"/>
          <w:sz w:val="15"/>
          <w:szCs w:val="15"/>
          <w:color w:val="auto"/>
        </w:rPr>
        <w:t>July 23, 2021</w:t>
      </w:r>
      <w:r>
        <w:rPr>
          <w:rFonts w:ascii="Arial" w:cs="Arial" w:eastAsia="Arial" w:hAnsi="Arial"/>
          <w:sz w:val="16"/>
          <w:szCs w:val="16"/>
          <w:color w:val="auto"/>
        </w:rPr>
        <w:t>, approximately $179.7 million remains authorized for share repurchase.</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LendingTree Seventh Amended and Restated 2008 Stock Plan approved by our stockholders on June 9, 2021 allows, and the LendingTree 2017 Inducement Grant Plan terminated by us in April 2021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2021, 3,506 shares were purchased related to these obligations under the LendingTree Seventh Amended and Restated 2008 Stock Plan and 721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540" w:type="dxa"/>
            <w:vAlign w:val="bottom"/>
          </w:tcPr>
          <w:p>
            <w:pPr>
              <w:jc w:val="center"/>
              <w:ind w:left="188"/>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9"/>
        </w:trPr>
        <w:tc>
          <w:tcPr>
            <w:tcW w:w="3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4/1/2021 - 4/30/2021</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5/1/2021 - 5/31/2021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211.68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6/1/2021 - 6/30/2021</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4,227</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217.02</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179,673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311" w:lineRule="auto"/>
        <w:tabs>
          <w:tab w:leader="none" w:pos="6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April 2021, May 2021 and June 2021, 264 shares, 347 shares and 3,616 shares, respectively (totaling 4,227 shares), were purchased to satisfy federal and state withholding obligations of our employees upon the settlement of restricted stock units and restricted stock awards, all in accordance with our Seventh Amended and Restated 2008 Stock Plan and 2017 Inducement Grant Plan, as described above.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 See the narrative disclosure above the table for further description of our publicly announced stock repurchase program.</w:t>
      </w: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Exhibit</w:t>
            </w:r>
          </w:p>
        </w:tc>
        <w:tc>
          <w:tcPr>
            <w:tcW w:w="60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gridSpan w:val="9"/>
          </w:tcPr>
          <w:p>
            <w:pPr>
              <w:ind w:left="258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Location</w:t>
            </w:r>
          </w:p>
        </w:tc>
      </w:tr>
      <w:tr>
        <w:trPr>
          <w:trHeight w:val="40"/>
        </w:trPr>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r:id="rId62">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7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August 25,</w:t>
            </w:r>
          </w:p>
        </w:tc>
      </w:tr>
      <w:tr>
        <w:trPr>
          <w:trHeight w:val="229"/>
        </w:trPr>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w:t>
            </w:r>
          </w:p>
        </w:tc>
        <w:tc>
          <w:tcPr>
            <w:tcW w:w="7140" w:type="dxa"/>
            <w:vAlign w:val="bottom"/>
            <w:gridSpan w:val="10"/>
          </w:tcPr>
          <w:p>
            <w:pPr>
              <w:spacing w:after="0" w:line="189" w:lineRule="exact"/>
              <w:rPr>
                <w:rFonts w:ascii="Arial" w:cs="Arial" w:eastAsia="Arial" w:hAnsi="Arial"/>
                <w:sz w:val="18"/>
                <w:szCs w:val="18"/>
                <w:color w:val="0000FF"/>
              </w:rPr>
            </w:pPr>
            <w:hyperlink r:id="rId63">
              <w:r>
                <w:rPr>
                  <w:rFonts w:ascii="Arial" w:cs="Arial" w:eastAsia="Arial" w:hAnsi="Arial"/>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Arial" w:cs="Arial" w:eastAsia="Arial" w:hAnsi="Arial"/>
                <w:sz w:val="16"/>
                <w:szCs w:val="16"/>
                <w:color w:val="auto"/>
              </w:rPr>
              <w:t>Report on Form 8-K filed November</w:t>
            </w:r>
          </w:p>
        </w:tc>
      </w:tr>
      <w:tr>
        <w:trPr>
          <w:trHeight w:val="230"/>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15, 2017</w:t>
            </w: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10.1</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Memorandum on compensation changes for Trent Ziegler, dated May 12, 2021</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31.1</w:t>
            </w:r>
          </w:p>
        </w:tc>
        <w:tc>
          <w:tcPr>
            <w:tcW w:w="7140" w:type="dxa"/>
            <w:vAlign w:val="bottom"/>
            <w:gridSpan w:val="10"/>
          </w:tcPr>
          <w:p>
            <w:pPr>
              <w:spacing w:after="0" w:line="189" w:lineRule="exact"/>
              <w:rPr>
                <w:rFonts w:ascii="Arial" w:cs="Arial" w:eastAsia="Arial" w:hAnsi="Arial"/>
                <w:sz w:val="18"/>
                <w:szCs w:val="18"/>
                <w:color w:val="0000FF"/>
                <w:w w:val="95"/>
              </w:rPr>
            </w:pPr>
            <w:hyperlink w:anchor="page47">
              <w:r>
                <w:rPr>
                  <w:rFonts w:ascii="Arial" w:cs="Arial" w:eastAsia="Arial" w:hAnsi="Arial"/>
                  <w:sz w:val="18"/>
                  <w:szCs w:val="18"/>
                  <w:color w:val="0000FF"/>
                  <w:w w:val="95"/>
                </w:rPr>
                <w:t>Certification of the Chief Executive Officer pursuant to Rule 13a-14(a) or Rule 15d-14(a) of the</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Securities Exchange Act of 1934 as adopted pursuant to Section 302 of the Sarbanes-Oxley Act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gridSpan w:val="9"/>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of 2002.</w:t>
              </w:r>
            </w:hyperlink>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tcBorders>
              <w:bottom w:val="single" w:sz="8" w:color="CCEEFF"/>
            </w:tcBorders>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Certification of the Chief Financial Officer pursuant to Rule 13a-14(a) or Rule 15d-14(a) of the</w:t>
              </w:r>
            </w:hyperlink>
          </w:p>
        </w:tc>
        <w:tc>
          <w:tcPr>
            <w:tcW w:w="29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shd w:val="clear" w:color="auto" w:fill="CCEEFF"/>
          </w:tcPr>
          <w:p>
            <w:pPr>
              <w:spacing w:after="0"/>
              <w:rPr>
                <w:sz w:val="13"/>
                <w:szCs w:val="13"/>
                <w:color w:val="auto"/>
              </w:rPr>
            </w:pPr>
          </w:p>
        </w:tc>
        <w:tc>
          <w:tcPr>
            <w:tcW w:w="7140" w:type="dxa"/>
            <w:vAlign w:val="bottom"/>
            <w:gridSpan w:val="10"/>
            <w:shd w:val="clear" w:color="auto" w:fill="CCEEFF"/>
          </w:tcPr>
          <w:p>
            <w:pPr>
              <w:spacing w:after="0" w:line="156"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Securities Exchange Act of 1934 as adopted pursuant to Section 302 of the Sarbanes-Oxley Act</w:t>
              </w:r>
            </w:hyperlink>
          </w:p>
        </w:tc>
        <w:tc>
          <w:tcPr>
            <w:tcW w:w="2940" w:type="dxa"/>
            <w:vAlign w:val="bottom"/>
            <w:shd w:val="clear" w:color="auto" w:fill="CCEEFF"/>
          </w:tcPr>
          <w:p>
            <w:pPr>
              <w:spacing w:after="0"/>
              <w:rPr>
                <w:sz w:val="13"/>
                <w:szCs w:val="13"/>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of 2002.</w:t>
              </w:r>
            </w:hyperlink>
          </w:p>
        </w:tc>
        <w:tc>
          <w:tcPr>
            <w:tcW w:w="652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32.1</w:t>
            </w:r>
          </w:p>
        </w:tc>
        <w:tc>
          <w:tcPr>
            <w:tcW w:w="7140" w:type="dxa"/>
            <w:vAlign w:val="bottom"/>
            <w:gridSpan w:val="10"/>
          </w:tcPr>
          <w:p>
            <w:pPr>
              <w:spacing w:after="0" w:line="189"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of the Chief Executive Officer pursuant to 18 U.S.C. Section 1350 as adopted</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tcPr>
          <w:p>
            <w:pPr>
              <w:spacing w:after="0"/>
              <w:rPr>
                <w:sz w:val="13"/>
                <w:szCs w:val="13"/>
                <w:color w:val="auto"/>
              </w:rPr>
            </w:pPr>
          </w:p>
        </w:tc>
        <w:tc>
          <w:tcPr>
            <w:tcW w:w="7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pursuant to Section 906 of the Sarbanes-Oxley Act of 2002.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32.2</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Certification of the Chief Financial Officer pursuant to 18 U.S.C. Section 1350 as adopted</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tcBorders>
              <w:top w:val="single" w:sz="8" w:color="CCEEFF"/>
            </w:tcBorders>
            <w:shd w:val="clear" w:color="auto" w:fill="CCEEFF"/>
          </w:tcPr>
          <w:p>
            <w:pPr>
              <w:spacing w:after="0"/>
              <w:rPr>
                <w:sz w:val="13"/>
                <w:szCs w:val="13"/>
                <w:color w:val="auto"/>
              </w:rPr>
            </w:pPr>
          </w:p>
        </w:tc>
        <w:tc>
          <w:tcPr>
            <w:tcW w:w="708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pursuant to Section 906 of the Sarbanes-Oxley 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60" w:type="dxa"/>
            <w:vAlign w:val="bottom"/>
          </w:tcPr>
          <w:p>
            <w:pPr>
              <w:jc w:val="right"/>
              <w:ind w:right="51"/>
              <w:spacing w:after="0" w:line="176" w:lineRule="exact"/>
              <w:rPr>
                <w:sz w:val="20"/>
                <w:szCs w:val="20"/>
                <w:color w:val="auto"/>
              </w:rPr>
            </w:pPr>
            <w:r>
              <w:rPr>
                <w:rFonts w:ascii="Arial" w:cs="Arial" w:eastAsia="Arial" w:hAnsi="Arial"/>
                <w:sz w:val="18"/>
                <w:szCs w:val="18"/>
                <w:color w:val="auto"/>
              </w:rPr>
              <w:t>101.INS</w:t>
            </w:r>
          </w:p>
        </w:tc>
        <w:tc>
          <w:tcPr>
            <w:tcW w:w="7140" w:type="dxa"/>
            <w:vAlign w:val="bottom"/>
            <w:gridSpan w:val="10"/>
          </w:tcPr>
          <w:p>
            <w:pPr>
              <w:spacing w:after="0" w:line="176"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tcPr>
          <w:p>
            <w:pPr>
              <w:ind w:left="60"/>
              <w:spacing w:after="0" w:line="176" w:lineRule="exact"/>
              <w:rPr>
                <w:sz w:val="20"/>
                <w:szCs w:val="20"/>
                <w:color w:val="auto"/>
              </w:rPr>
            </w:pPr>
            <w:r>
              <w:rPr>
                <w:rFonts w:ascii="Arial" w:cs="Arial" w:eastAsia="Arial" w:hAnsi="Arial"/>
                <w:sz w:val="18"/>
                <w:szCs w:val="18"/>
                <w:color w:val="auto"/>
              </w:rPr>
              <w:t>†††</w:t>
            </w:r>
          </w:p>
        </w:tc>
      </w:tr>
      <w:tr>
        <w:trPr>
          <w:trHeight w:val="229"/>
        </w:trPr>
        <w:tc>
          <w:tcPr>
            <w:tcW w:w="1160" w:type="dxa"/>
            <w:vAlign w:val="bottom"/>
          </w:tcPr>
          <w:p>
            <w:pPr>
              <w:spacing w:after="0"/>
              <w:rPr>
                <w:sz w:val="19"/>
                <w:szCs w:val="19"/>
                <w:color w:val="auto"/>
              </w:rPr>
            </w:pPr>
          </w:p>
        </w:tc>
        <w:tc>
          <w:tcPr>
            <w:tcW w:w="7140" w:type="dxa"/>
            <w:vAlign w:val="bottom"/>
            <w:gridSpan w:val="10"/>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tcPr>
          <w:p>
            <w:pPr>
              <w:spacing w:after="0"/>
              <w:rPr>
                <w:sz w:val="19"/>
                <w:szCs w:val="19"/>
                <w:color w:val="auto"/>
              </w:rPr>
            </w:pPr>
          </w:p>
        </w:tc>
      </w:tr>
      <w:tr>
        <w:trPr>
          <w:trHeight w:val="229"/>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101.SCH</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101.CAL</w:t>
            </w:r>
          </w:p>
        </w:tc>
        <w:tc>
          <w:tcPr>
            <w:tcW w:w="71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101.DEF</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101.LAB</w:t>
            </w:r>
          </w:p>
        </w:tc>
        <w:tc>
          <w:tcPr>
            <w:tcW w:w="71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101.PRE</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ind w:left="1160" w:hanging="414"/>
        <w:spacing w:after="0" w:line="22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6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both"/>
        <w:ind w:firstLine="8"/>
        <w:spacing w:after="0" w:line="263" w:lineRule="auto"/>
        <w:tabs>
          <w:tab w:leader="none" w:pos="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3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May 12th,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Dear Trent,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recognition of your new role and added responsibilities with LendingTree, Inc. your base salary is being adjusted accordingly.</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Effective May 23rd, 2021 your base pay will reflect an increase to $325,000 annually, less applicable deductions. This change will be reflected in your June 11th, 2021 paycheck.</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Also, effective January 1st, 2021 your new Annual Bonus Target is 50% of your Base Pay and your Annual Equity Grant Target is $800,000. Payouts can be greater than or less than target and are a function of company and individual performance as well as management discretion and may not be awarded in each year. Please note that all applicable deductions will be made from bonus checks, such as 401k contributions (if any), Federal and State taxes, etc.</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You will also receive a one-time equity compensation award in the amount of $600,000 under the Amended and Restated LendingTree, Inc. Stock and Annual Incentive Plan (the “Plan”). 50% of the award value will be granted as LendingTree Restricted Stock Units and 50% will be granted as LendingTree non-qualified stock options with option value determined using the Black-Scholes option pricing model. The award will vest in equal amounts annually over three years. The grant date will be June 3rd, 2021 and the exact number of RSUs will be determined using the closing price of the Company’s stock on said grant date. You will receive an award notice providing the details of your grant, including the number of shares granted, and the terms and conditions of the award. Detailed information on your award, as well as the Terms and Conditions and the Plan, will be available for your review on the E*Trade website. Please allow 4 – 6 weeks for the award to be loaded and visible in E*Trade.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contributions to the organization and we look forward to your continued leadership to the team!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Jill Olmstead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Jill Olmstead</w:t>
      </w:r>
    </w:p>
    <w:p>
      <w:pPr>
        <w:spacing w:after="0" w:line="219" w:lineRule="auto"/>
        <w:rPr>
          <w:sz w:val="20"/>
          <w:szCs w:val="20"/>
          <w:color w:val="auto"/>
        </w:rPr>
      </w:pPr>
      <w:r>
        <w:rPr>
          <w:rFonts w:ascii="Arial" w:cs="Arial" w:eastAsia="Arial" w:hAnsi="Arial"/>
          <w:sz w:val="18"/>
          <w:szCs w:val="18"/>
          <w:color w:val="auto"/>
        </w:rPr>
        <w:t>Chief HR &amp; Administrative Officer</w:t>
      </w:r>
    </w:p>
    <w:p>
      <w:pPr>
        <w:spacing w:after="0"/>
        <w:rPr>
          <w:sz w:val="20"/>
          <w:szCs w:val="20"/>
          <w:color w:val="auto"/>
        </w:rPr>
      </w:pPr>
      <w:r>
        <w:rPr>
          <w:rFonts w:ascii="Arial" w:cs="Arial" w:eastAsia="Arial" w:hAnsi="Arial"/>
          <w:sz w:val="18"/>
          <w:szCs w:val="18"/>
          <w:color w:val="auto"/>
        </w:rPr>
        <w:t>LendingTree Inc.</w:t>
      </w:r>
    </w:p>
    <w:p>
      <w:pPr>
        <w:sectPr>
          <w:pgSz w:w="11900" w:h="16838" w:orient="portrait"/>
          <w:cols w:equalWidth="0" w:num="1">
            <w:col w:w="11240"/>
          </w:cols>
          <w:pgMar w:left="320" w:top="98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14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0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14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8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49" w:lineRule="exact"/>
        <w:rPr>
          <w:sz w:val="20"/>
          <w:szCs w:val="20"/>
          <w:color w:val="auto"/>
        </w:rPr>
      </w:pPr>
    </w:p>
    <w:p>
      <w:pPr>
        <w:ind w:left="340" w:right="220" w:hanging="332"/>
        <w:spacing w:after="0" w:line="334" w:lineRule="auto"/>
        <w:tabs>
          <w:tab w:leader="none" w:pos="3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2021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29, 2021</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 Trent Ziegler, certify, pursuant to 18 U.S.C. Section 1350, as adopted pursuant to Section 906 of the Sarbanes-Oxley Act of 2002, that to my knowledge:</w:t>
      </w:r>
    </w:p>
    <w:p>
      <w:pPr>
        <w:spacing w:after="0" w:line="127" w:lineRule="exact"/>
        <w:rPr>
          <w:sz w:val="20"/>
          <w:szCs w:val="20"/>
          <w:color w:val="auto"/>
        </w:rPr>
      </w:pPr>
    </w:p>
    <w:p>
      <w:pPr>
        <w:ind w:left="340" w:right="220" w:hanging="332"/>
        <w:spacing w:after="0" w:line="334" w:lineRule="auto"/>
        <w:tabs>
          <w:tab w:leader="none" w:pos="3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2021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29, 2021</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2" Type="http://schemas.openxmlformats.org/officeDocument/2006/relationships/hyperlink" Target="http://www.sec.gov/Archives/edgar/data/1434621/000110465908054882/a08-22125_1ex3d1.htm" TargetMode="External"/><Relationship Id="rId63"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2021-07-30T06:36:21Z</dcterms:created>
  <dcterms:modified xsi:type="dcterms:W3CDTF">2021-07-30T06:36:21Z</dcterms:modified>
</cp:coreProperties>
</file>