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80645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5"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14"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43815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Arial" w:cs="Arial" w:eastAsia="Arial" w:hAnsi="Arial"/>
                <w:sz w:val="16"/>
                <w:szCs w:val="16"/>
                <w:b w:val="1"/>
                <w:bCs w:val="1"/>
                <w:color w:val="auto"/>
                <w:w w:val="91"/>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Arial" w:cs="Arial" w:eastAsia="Arial" w:hAnsi="Arial"/>
                <w:sz w:val="16"/>
                <w:szCs w:val="16"/>
                <w:b w:val="1"/>
                <w:bCs w:val="1"/>
                <w:color w:val="auto"/>
              </w:rPr>
              <w:t>26-2414818</w:t>
            </w:r>
          </w:p>
        </w:tc>
      </w:tr>
      <w:tr>
        <w:trPr>
          <w:trHeight w:val="230"/>
        </w:trPr>
        <w:tc>
          <w:tcPr>
            <w:tcW w:w="7440" w:type="dxa"/>
            <w:vAlign w:val="bottom"/>
            <w:gridSpan w:val="7"/>
          </w:tcPr>
          <w:p>
            <w:pPr>
              <w:jc w:val="center"/>
              <w:ind w:right="18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407"/>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1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90"/>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7"/>
                <w:szCs w:val="17"/>
                <w:color w:val="auto"/>
                <w:w w:val="90"/>
              </w:rPr>
              <w:t>(Registrant's telephone number, including area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33"/>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20"/>
        </w:trPr>
        <w:tc>
          <w:tcPr>
            <w:tcW w:w="7440" w:type="dxa"/>
            <w:vAlign w:val="bottom"/>
            <w:gridSpan w:val="7"/>
          </w:tcPr>
          <w:p>
            <w:pPr>
              <w:jc w:val="center"/>
              <w:ind w:right="350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1"/>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Arial" w:cs="Arial" w:eastAsia="Arial" w:hAnsi="Arial"/>
                <w:sz w:val="17"/>
                <w:szCs w:val="17"/>
                <w:color w:val="auto"/>
                <w:w w:val="91"/>
              </w:rPr>
              <w:t>Title of each class</w:t>
            </w:r>
          </w:p>
        </w:tc>
        <w:tc>
          <w:tcPr>
            <w:tcW w:w="3820" w:type="dxa"/>
            <w:vAlign w:val="bottom"/>
            <w:gridSpan w:val="3"/>
          </w:tcPr>
          <w:p>
            <w:pPr>
              <w:jc w:val="center"/>
              <w:ind w:right="220"/>
              <w:spacing w:after="0"/>
              <w:rPr>
                <w:sz w:val="20"/>
                <w:szCs w:val="20"/>
                <w:color w:val="auto"/>
              </w:rPr>
            </w:pPr>
            <w:r>
              <w:rPr>
                <w:rFonts w:ascii="Arial" w:cs="Arial" w:eastAsia="Arial" w:hAnsi="Arial"/>
                <w:sz w:val="17"/>
                <w:szCs w:val="17"/>
                <w:color w:val="auto"/>
                <w:w w:val="92"/>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33"/>
        </w:trPr>
        <w:tc>
          <w:tcPr>
            <w:tcW w:w="3620" w:type="dxa"/>
            <w:vAlign w:val="bottom"/>
            <w:gridSpan w:val="4"/>
          </w:tcPr>
          <w:p>
            <w:pPr>
              <w:jc w:val="center"/>
              <w:ind w:left="216"/>
              <w:spacing w:after="0"/>
              <w:rPr>
                <w:sz w:val="20"/>
                <w:szCs w:val="20"/>
                <w:color w:val="auto"/>
              </w:rPr>
            </w:pPr>
            <w:r>
              <w:rPr>
                <w:rFonts w:ascii="Arial" w:cs="Arial" w:eastAsia="Arial" w:hAnsi="Arial"/>
                <w:sz w:val="17"/>
                <w:szCs w:val="17"/>
                <w:color w:val="auto"/>
                <w:w w:val="90"/>
              </w:rPr>
              <w:t>Common Stock, $0.01 par value per share</w:t>
            </w:r>
          </w:p>
        </w:tc>
        <w:tc>
          <w:tcPr>
            <w:tcW w:w="1160" w:type="dxa"/>
            <w:vAlign w:val="bottom"/>
          </w:tcPr>
          <w:p>
            <w:pPr>
              <w:spacing w:after="0"/>
              <w:rPr>
                <w:sz w:val="20"/>
                <w:szCs w:val="20"/>
                <w:color w:val="auto"/>
              </w:rPr>
            </w:pPr>
          </w:p>
        </w:tc>
        <w:tc>
          <w:tcPr>
            <w:tcW w:w="2660" w:type="dxa"/>
            <w:vAlign w:val="bottom"/>
            <w:gridSpan w:val="2"/>
          </w:tcPr>
          <w:p>
            <w:pPr>
              <w:jc w:val="center"/>
              <w:ind w:right="1380"/>
              <w:spacing w:after="0"/>
              <w:rPr>
                <w:sz w:val="20"/>
                <w:szCs w:val="20"/>
                <w:color w:val="auto"/>
              </w:rPr>
            </w:pPr>
            <w:r>
              <w:rPr>
                <w:rFonts w:ascii="Arial" w:cs="Arial" w:eastAsia="Arial" w:hAnsi="Arial"/>
                <w:sz w:val="17"/>
                <w:szCs w:val="17"/>
                <w:color w:val="auto"/>
                <w:w w:val="96"/>
              </w:rPr>
              <w:t>TREE</w:t>
            </w:r>
          </w:p>
        </w:tc>
        <w:tc>
          <w:tcPr>
            <w:tcW w:w="12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180" w:type="dxa"/>
        <w:tblCellMar>
          <w:top w:w="0" w:type="dxa"/>
          <w:left w:w="0" w:type="dxa"/>
          <w:bottom w:w="0" w:type="dxa"/>
          <w:right w:w="0" w:type="dxa"/>
        </w:tblCellMar>
      </w:tblPr>
      <w:tr>
        <w:trPr>
          <w:trHeight w:val="229"/>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1"/>
              </w:rPr>
              <w:t>Large 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0"/>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3"/>
              </w:rPr>
              <w:t>Non-accelerated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10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5"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22, 2021, there were 13,335,464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2"/>
        </w:trPr>
        <w:tc>
          <w:tcPr>
            <w:tcW w:w="680" w:type="dxa"/>
            <w:vAlign w:val="bottom"/>
            <w:gridSpan w:val="2"/>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w:t>
              </w:r>
            </w:hyperlink>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40" w:type="dxa"/>
            <w:vAlign w:val="bottom"/>
            <w:gridSpan w:val="6"/>
          </w:tcPr>
          <w:p>
            <w:pPr>
              <w:jc w:val="center"/>
              <w:ind w:right="3000"/>
              <w:spacing w:after="0" w:line="17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3340" w:type="dxa"/>
            <w:vAlign w:val="bottom"/>
            <w:gridSpan w:val="7"/>
          </w:tcPr>
          <w:p>
            <w:pPr>
              <w:ind w:left="720"/>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Management's Discussion and Analysis of Financial Condition and Results of Operations</w:t>
              </w:r>
            </w:hyperlink>
          </w:p>
        </w:tc>
        <w:tc>
          <w:tcPr>
            <w:tcW w:w="10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920" w:type="dxa"/>
            <w:vAlign w:val="bottom"/>
            <w:tcBorders>
              <w:bottom w:val="single" w:sz="8" w:color="0000FF"/>
            </w:tcBorders>
            <w:gridSpan w:val="2"/>
            <w:shd w:val="clear" w:color="auto" w:fill="0000FF"/>
          </w:tcPr>
          <w:p>
            <w:pPr>
              <w:spacing w:after="0" w:line="20" w:lineRule="exact"/>
              <w:rPr>
                <w:sz w:val="1"/>
                <w:szCs w:val="1"/>
                <w:color w:val="auto"/>
              </w:rPr>
            </w:pPr>
          </w:p>
        </w:tc>
        <w:tc>
          <w:tcPr>
            <w:tcW w:w="1700" w:type="dxa"/>
            <w:vAlign w:val="bottom"/>
            <w:tcBorders>
              <w:bottom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Item 3.</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43">
              <w:r>
                <w:rPr>
                  <w:rFonts w:ascii="Arial" w:cs="Arial" w:eastAsia="Arial" w:hAnsi="Arial"/>
                  <w:sz w:val="18"/>
                  <w:szCs w:val="18"/>
                  <w:b w:val="1"/>
                  <w:bCs w:val="1"/>
                  <w:i w:val="1"/>
                  <w:iCs w:val="1"/>
                  <w:color w:val="0000FF"/>
                </w:rPr>
                <w:t>Quantitative and Qualitative Disclosures About Market Risk</w:t>
              </w:r>
            </w:hyperlink>
          </w:p>
        </w:tc>
        <w:tc>
          <w:tcPr>
            <w:tcW w:w="1040" w:type="dxa"/>
            <w:vAlign w:val="bottom"/>
          </w:tcPr>
          <w:p>
            <w:pPr>
              <w:jc w:val="right"/>
              <w:spacing w:after="0" w:line="189" w:lineRule="exact"/>
              <w:rPr>
                <w:rFonts w:ascii="Arial" w:cs="Arial" w:eastAsia="Arial" w:hAnsi="Arial"/>
                <w:sz w:val="18"/>
                <w:szCs w:val="18"/>
                <w:color w:val="auto"/>
              </w:rPr>
            </w:pPr>
            <w:hyperlink w:anchor="page43">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Item 4.</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3">
              <w:r>
                <w:rPr>
                  <w:rFonts w:ascii="Arial" w:cs="Arial" w:eastAsia="Arial" w:hAnsi="Arial"/>
                  <w:sz w:val="18"/>
                  <w:szCs w:val="18"/>
                  <w:b w:val="1"/>
                  <w:bCs w:val="1"/>
                  <w:i w:val="1"/>
                  <w:iCs w:val="1"/>
                  <w:color w:val="0000FF"/>
                </w:rPr>
                <w:t>Controls and Procedures</w:t>
              </w:r>
            </w:hyperlink>
          </w:p>
        </w:tc>
        <w:tc>
          <w:tcPr>
            <w:tcW w:w="10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II—OTHER INFORMATION</w:t>
              </w:r>
            </w:hyperlink>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2"/>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Item 1.</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4">
              <w:r>
                <w:rPr>
                  <w:rFonts w:ascii="Arial" w:cs="Arial" w:eastAsia="Arial" w:hAnsi="Arial"/>
                  <w:sz w:val="18"/>
                  <w:szCs w:val="18"/>
                  <w:b w:val="1"/>
                  <w:bCs w:val="1"/>
                  <w:i w:val="1"/>
                  <w:iCs w:val="1"/>
                  <w:color w:val="0000FF"/>
                </w:rPr>
                <w:t>Legal Proceedings</w:t>
              </w:r>
            </w:hyperlink>
          </w:p>
        </w:tc>
        <w:tc>
          <w:tcPr>
            <w:tcW w:w="10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 w:type="dxa"/>
            <w:vAlign w:val="bottom"/>
            <w:gridSpan w:val="2"/>
          </w:tcPr>
          <w:p>
            <w:pPr>
              <w:spacing w:after="0" w:line="189" w:lineRule="exact"/>
              <w:rPr>
                <w:rFonts w:ascii="Arial" w:cs="Arial" w:eastAsia="Arial" w:hAnsi="Arial"/>
                <w:sz w:val="18"/>
                <w:szCs w:val="18"/>
                <w:b w:val="1"/>
                <w:bCs w:val="1"/>
                <w:color w:val="0000FF"/>
                <w:w w:val="94"/>
              </w:rPr>
            </w:pPr>
            <w:hyperlink w:anchor="page44">
              <w:r>
                <w:rPr>
                  <w:rFonts w:ascii="Arial" w:cs="Arial" w:eastAsia="Arial" w:hAnsi="Arial"/>
                  <w:sz w:val="18"/>
                  <w:szCs w:val="18"/>
                  <w:b w:val="1"/>
                  <w:bCs w:val="1"/>
                  <w:color w:val="0000FF"/>
                  <w:w w:val="94"/>
                </w:rPr>
                <w:t>Item 1A.</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44">
              <w:r>
                <w:rPr>
                  <w:rFonts w:ascii="Arial" w:cs="Arial" w:eastAsia="Arial" w:hAnsi="Arial"/>
                  <w:sz w:val="18"/>
                  <w:szCs w:val="18"/>
                  <w:b w:val="1"/>
                  <w:bCs w:val="1"/>
                  <w:i w:val="1"/>
                  <w:iCs w:val="1"/>
                  <w:color w:val="0000FF"/>
                </w:rPr>
                <w:t>Risk Factors</w:t>
              </w:r>
            </w:hyperlink>
          </w:p>
        </w:tc>
        <w:tc>
          <w:tcPr>
            <w:tcW w:w="1040" w:type="dxa"/>
            <w:vAlign w:val="bottom"/>
          </w:tcPr>
          <w:p>
            <w:pPr>
              <w:jc w:val="right"/>
              <w:spacing w:after="0" w:line="189" w:lineRule="exact"/>
              <w:rPr>
                <w:rFonts w:ascii="Arial" w:cs="Arial" w:eastAsia="Arial" w:hAnsi="Arial"/>
                <w:sz w:val="18"/>
                <w:szCs w:val="18"/>
                <w:color w:val="auto"/>
              </w:rPr>
            </w:pPr>
            <w:hyperlink w:anchor="page44">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4">
              <w:r>
                <w:rPr>
                  <w:rFonts w:ascii="Arial" w:cs="Arial" w:eastAsia="Arial" w:hAnsi="Arial"/>
                  <w:sz w:val="18"/>
                  <w:szCs w:val="18"/>
                  <w:b w:val="1"/>
                  <w:bCs w:val="1"/>
                  <w:i w:val="1"/>
                  <w:iCs w:val="1"/>
                  <w:color w:val="0000FF"/>
                </w:rPr>
                <w:t>Unregistered Sales of Equity Securities and Use of Proceeds</w:t>
              </w:r>
            </w:hyperlink>
          </w:p>
        </w:tc>
        <w:tc>
          <w:tcPr>
            <w:tcW w:w="10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5.</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5">
              <w:r>
                <w:rPr>
                  <w:rFonts w:ascii="Arial" w:cs="Arial" w:eastAsia="Arial" w:hAnsi="Arial"/>
                  <w:sz w:val="18"/>
                  <w:szCs w:val="18"/>
                  <w:b w:val="1"/>
                  <w:bCs w:val="1"/>
                  <w:i w:val="1"/>
                  <w:iCs w:val="1"/>
                  <w:color w:val="0000FF"/>
                </w:rPr>
                <w:t>Other Information</w:t>
              </w:r>
            </w:hyperlink>
          </w:p>
        </w:tc>
        <w:tc>
          <w:tcPr>
            <w:tcW w:w="10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6.</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5">
              <w:r>
                <w:rPr>
                  <w:rFonts w:ascii="Arial" w:cs="Arial" w:eastAsia="Arial" w:hAnsi="Arial"/>
                  <w:sz w:val="18"/>
                  <w:szCs w:val="18"/>
                  <w:b w:val="1"/>
                  <w:bCs w:val="1"/>
                  <w:i w:val="1"/>
                  <w:iCs w:val="1"/>
                  <w:color w:val="0000FF"/>
                </w:rPr>
                <w:t>Exhibits</w:t>
              </w:r>
            </w:hyperlink>
          </w:p>
        </w:tc>
        <w:tc>
          <w:tcPr>
            <w:tcW w:w="10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92"/>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297,450</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220,251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840,214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687,661</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 xml:space="preserve">Cost of revenue </w:t>
            </w:r>
            <w:r>
              <w:rPr>
                <w:rFonts w:ascii="Arial" w:cs="Arial" w:eastAsia="Arial" w:hAnsi="Arial"/>
                <w:sz w:val="18"/>
                <w:szCs w:val="18"/>
                <w:i w:val="1"/>
                <w:iCs w:val="1"/>
                <w:color w:val="auto"/>
                <w:w w:val="96"/>
              </w:rPr>
              <w:t>(exclusive of depreciation and amortization shown separately</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15,020</w:t>
            </w:r>
          </w:p>
        </w:tc>
        <w:tc>
          <w:tcPr>
            <w:tcW w:w="4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42,849</w:t>
            </w:r>
          </w:p>
        </w:tc>
        <w:tc>
          <w:tcPr>
            <w:tcW w:w="4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40,936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below)</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206,475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589,143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464,129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40,126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114,926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94,276</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13,384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39,142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4,808</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12,969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10,345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32,967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40,603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360</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290,031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236,368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824,154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690,577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7,419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16,060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(2,916)</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(31,881)</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40,072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24,251</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(29,315)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24,706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(14,449)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(4,460)</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(24,643)</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21,190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(39,999)</w:t>
            </w: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13,268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13,194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13,268</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13,797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per share from discontinued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(loss) income per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720" w:type="dxa"/>
            <w:vAlign w:val="bottom"/>
          </w:tcPr>
          <w:p>
            <w:pPr>
              <w:spacing w:after="0"/>
              <w:rPr>
                <w:sz w:val="11"/>
                <w:szCs w:val="11"/>
                <w:color w:val="auto"/>
              </w:rPr>
            </w:pPr>
          </w:p>
        </w:tc>
        <w:tc>
          <w:tcPr>
            <w:tcW w:w="2520" w:type="dxa"/>
            <w:vAlign w:val="bottom"/>
            <w:gridSpan w:val="4"/>
          </w:tcPr>
          <w:p>
            <w:pPr>
              <w:ind w:left="20"/>
              <w:spacing w:after="0" w:line="130"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6"/>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840"/>
              <w:spacing w:after="0"/>
              <w:rPr>
                <w:sz w:val="20"/>
                <w:szCs w:val="20"/>
                <w:color w:val="auto"/>
              </w:rPr>
            </w:pPr>
            <w:r>
              <w:rPr>
                <w:rFonts w:ascii="Arial" w:cs="Arial" w:eastAsia="Arial" w:hAnsi="Arial"/>
                <w:sz w:val="14"/>
                <w:szCs w:val="14"/>
                <w:b w:val="1"/>
                <w:bCs w:val="1"/>
                <w:i w:val="1"/>
                <w:iCs w:val="1"/>
                <w:color w:val="auto"/>
              </w:rPr>
              <w:t>amounts)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215,277</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$1,506 and $1,402, respectively)</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131,705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89,841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25,348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372,438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296,409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$25,962 and $20,238, respectively)</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74,929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62,381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79,355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420,139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95,534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128,502</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96,679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96,224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121,253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7,109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17,093</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1,284,529</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r>
        <w:trPr>
          <w:trHeight w:val="243"/>
        </w:trPr>
        <w:tc>
          <w:tcPr>
            <w:tcW w:w="8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163,856</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4,198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114,664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101,196</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282,731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111,843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471,991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611,412</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98,314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411</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853,447</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824,229</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72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$.01 par value; 50,000,000 shares authorized; 15,969,376 and 15,766,193 shares issued, respectively,</w:t>
            </w:r>
          </w:p>
        </w:tc>
        <w:tc>
          <w:tcPr>
            <w:tcW w:w="140" w:type="dxa"/>
            <w:vAlign w:val="bottom"/>
          </w:tcPr>
          <w:p>
            <w:pPr>
              <w:spacing w:after="0"/>
              <w:rPr>
                <w:sz w:val="15"/>
                <w:szCs w:val="15"/>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and 13,328,058 and 13,124,875 shares outstanding, respectively</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1,233,802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1,188,673</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(619,719)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(640,909)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Treasury stock; 2,641,318 shares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(183,161)</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431,082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364,761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1,284,529</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165"/>
              <w:spacing w:after="0" w:line="122" w:lineRule="exact"/>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0"/>
                <w:szCs w:val="10"/>
                <w:color w:val="auto"/>
              </w:rPr>
            </w:pPr>
          </w:p>
        </w:tc>
        <w:tc>
          <w:tcPr>
            <w:tcW w:w="11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5"/>
              </w:rPr>
              <w:t>Accumulated</w:t>
            </w: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right"/>
              <w:ind w:right="265"/>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Deficit</w:t>
            </w: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364,761</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15,766</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1,188,673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(640,909)</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16,436</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16,436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(4,801)</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31</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(4,801)</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395,443</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15,797</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1,200,306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(621,860)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6,601</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6,601</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18,294</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18,294</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30</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159</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28</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2021</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420,368</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15,956</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1,218,628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(615,259)</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(4,460)</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(4,460)</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17,074</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17,074</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(1,894)</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13</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(1,894)</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September 30, 2021</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431,082</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15,969</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1,233,802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(619,719)</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165"/>
              <w:spacing w:after="0" w:line="122" w:lineRule="exact"/>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0"/>
                <w:szCs w:val="10"/>
                <w:color w:val="auto"/>
              </w:rPr>
            </w:pPr>
          </w:p>
        </w:tc>
        <w:tc>
          <w:tcPr>
            <w:tcW w:w="11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5"/>
              </w:rPr>
              <w:t>Accumulated</w:t>
            </w: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right"/>
              <w:ind w:right="265"/>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Deficit</w:t>
            </w: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402,326</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15,677</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1,177,984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(592,654)</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199"/>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14,401</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14,401</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11,917</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11,917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(5,087)</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(5,087)</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423,557</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15,704</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1,184,813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(578,252)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(29,757)</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(29,757)</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13,158</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13,158</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(981)</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27</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(981)</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2020</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405,977</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15,731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1,196,990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(608,009)</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(24,643)</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(24,643)</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14,161</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14,161</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4,646</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4,645</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w w:val="93"/>
              </w:rPr>
              <w:t>Issuance of 0.50% Convertible Senior Notes, net</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116,300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116,300</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2"/>
              </w:rPr>
              <w:t>Repurchase of 0.625% Convertible Senior Notes,</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(107,882)</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(107,882)</w:t>
            </w: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w:t>
            </w: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Convertible note hedge transactions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(14,379)</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(14,379)</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Warrant transactions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(33,171)</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(33,171)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September 30, 2020</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361,009</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15,759</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1,176,664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(632,652)</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(183,161)</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Nine Months Ended</w:t>
      </w:r>
    </w:p>
    <w:p>
      <w:pPr>
        <w:jc w:val="center"/>
        <w:ind w:left="8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13335</wp:posOffset>
            </wp:positionV>
            <wp:extent cx="1594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w w:val="96"/>
              </w:rPr>
              <w:t>2020</w:t>
            </w:r>
          </w:p>
        </w:tc>
      </w:tr>
      <w:tr>
        <w:trPr>
          <w:trHeight w:val="182"/>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34"/>
        </w:trPr>
        <w:tc>
          <w:tcPr>
            <w:tcW w:w="8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21,190</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(39,999)</w:t>
            </w:r>
          </w:p>
        </w:tc>
      </w:tr>
      <w:tr>
        <w:trPr>
          <w:trHeight w:val="229"/>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Less: Loss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3,516</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25,550</w:t>
            </w:r>
          </w:p>
        </w:tc>
      </w:tr>
      <w:tr>
        <w:trPr>
          <w:trHeight w:val="223"/>
        </w:trPr>
        <w:tc>
          <w:tcPr>
            <w:tcW w:w="872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24,706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(14,449)</w:t>
            </w:r>
          </w:p>
        </w:tc>
      </w:tr>
      <w:tr>
        <w:trPr>
          <w:trHeight w:val="175"/>
        </w:trPr>
        <w:tc>
          <w:tcPr>
            <w:tcW w:w="8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Adjustments to reconcile income (loss) from continuing operations to net cash provided by operating</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 attributable to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2,651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32,967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40,603</w:t>
            </w: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12,969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10,463</w:t>
            </w:r>
          </w:p>
        </w:tc>
      </w:tr>
      <w:tr>
        <w:trPr>
          <w:trHeight w:val="229"/>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51,804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39,236</w:t>
            </w:r>
          </w:p>
        </w:tc>
      </w:tr>
      <w:tr>
        <w:trPr>
          <w:trHeight w:val="230"/>
        </w:trPr>
        <w:tc>
          <w:tcPr>
            <w:tcW w:w="87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(15,489)</w:t>
            </w:r>
          </w:p>
        </w:tc>
      </w:tr>
      <w:tr>
        <w:trPr>
          <w:trHeight w:val="229"/>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Unrealized gain on investments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(40,072)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1,823</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3,756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 of previously-capitalized debt issuance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Amortization of debt discount</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22,297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12,429</w:t>
            </w:r>
          </w:p>
        </w:tc>
      </w:tr>
      <w:tr>
        <w:trPr>
          <w:trHeight w:val="229"/>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30"/>
        </w:trPr>
        <w:tc>
          <w:tcPr>
            <w:tcW w:w="8720" w:type="dxa"/>
            <w:vAlign w:val="bottom"/>
          </w:tcPr>
          <w:p>
            <w:pPr>
              <w:ind w:left="220"/>
              <w:spacing w:after="0"/>
              <w:rPr>
                <w:sz w:val="20"/>
                <w:szCs w:val="20"/>
                <w:color w:val="auto"/>
              </w:rPr>
            </w:pPr>
            <w:r>
              <w:rPr>
                <w:rFonts w:ascii="Arial" w:cs="Arial" w:eastAsia="Arial" w:hAnsi="Arial"/>
                <w:sz w:val="18"/>
                <w:szCs w:val="18"/>
                <w:color w:val="auto"/>
              </w:rPr>
              <w:t>Reduction in carrying amount of ROU asset, offset by change in operating lease liabilities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13,015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87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(43,688)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15,541</w:t>
            </w: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872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7,537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(9,733)</w:t>
            </w:r>
          </w:p>
        </w:tc>
      </w:tr>
      <w:tr>
        <w:trPr>
          <w:trHeight w:val="230"/>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r>
      <w:tr>
        <w:trPr>
          <w:trHeight w:val="230"/>
        </w:trPr>
        <w:tc>
          <w:tcPr>
            <w:tcW w:w="8720" w:type="dxa"/>
            <w:vAlign w:val="bottom"/>
          </w:tcPr>
          <w:p>
            <w:pPr>
              <w:ind w:left="22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10,322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88,893</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96,216</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(30,515)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(20,386)</w:t>
            </w:r>
          </w:p>
        </w:tc>
      </w:tr>
      <w:tr>
        <w:trPr>
          <w:trHeight w:val="229"/>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Equity investment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(31,695)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(100,386)</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w w:val="90"/>
              </w:rPr>
              <w:t>Payments related to net-share settlement of stock-based compensation, net of proceeds from exercise of stock options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issuance of 0.50% Convertible Senior Notes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Repurchase of 0.625% Convertible Senior Notes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(233,862)</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for convertible note hedge on the 0.50% Convertible Senior Notes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(124,200)</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Termination of convertible note hedge on the 0.625% Convertible Senior Notes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109,881</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warrants related to the 0.50% Convertible Senior Notes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61,180</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Termination of warrants related to the 0.625% Convertible Senior Notes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(94,292)</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repayment of revolving credit facility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(16,398)</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original issue discount on undrawn term loan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Contingent consideration payments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(3,330)</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 attributable to continuing operations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(15,192)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197,375</w:t>
            </w:r>
          </w:p>
        </w:tc>
      </w:tr>
      <w:tr>
        <w:trPr>
          <w:trHeight w:val="223"/>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provided by continuing operations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42,006</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193,205</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cash provided by (used in) operating activities attributable to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3,330</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(66,171)</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3,330</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(66,171)</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restricted cash and restricted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45,336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127,034</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170,049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60,339</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215,385</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187,373</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25" w:right="339"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555"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The HLC Bankruptcy case was closed on July 14,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for additional information. Intercompany transactions and accounts have been eliminated.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2021 and for the three and nine months ended September 30, 2021 and 2020,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2021 are not necessarily indicative of the results to be expected for the year ending December 31, 2021, or any other period. The accompanying consolidated balance sheet as of December 31, 2020 was derived from audited financial statements included in the Company's annual report on Form 10-K for the year ended December 31, 2020 (the "2020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2020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assumptions related to the determination of stock-based compensation; and the determination of right-of-use assets and lease liabilities.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2021,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May 2021, the FASB issued ASU 2021-04 to clarify and reduce diversity in accounting for modifications or exchanges of freestanding equity-classified written call options that remain equity classified after modification or exchange. The amendments clarify that a modification of the terms or conditions or an exchange of a freestanding equity-classified written call option that remains equity classified after modification or exchange should be accounted for as an exchange of the original instrument for a new instrument. This ASU is effective for annual and interim reporting periods beginning after December 15, 2021. Early adoption is permitted, including adoption in interim periods. The amendments should be applied prospectively to modifications or exchanges occurring on or after the date of adoption. The Company adopted ASU 2021-04 in the second quarter of 2021.</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was permitted, including adoption in interim periods. Entities electing early adoption were required to adopt all amendments in the same period. Most amendments require prospective application while others are to be applied on a retrospective basis for all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periods presented or a modified retrospective basis through a cumulative-effect adjustment to retained earnings as of the beginning of the fiscal year of adoption. The Company adopted ASU 2019-12 in the first quarter of 2021. The amendments applicable to the Company required prospective application, and do not have material impacts to its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2020, the FASB issued ASU 2020-06, which simplifies the accounting for convertible instruments, amends the derivatives scope exception guidance for contracts in an entity’s own equity, and amends the related earnings-per-share guidance. This ASU is effective for annual and interim reporting periods beginning after December 15, 2021. Early adoption is permitted for fiscal years beginning after December 15, 2020, including adoption in interim periods. An entity should adopt the guidance as of the beginning of its annual fiscal year. An entity may adopt the amendments through either a modified retrospective method of transition or a fully retrospective method of transition. The Company expects the amendments to impact its convertible senior notes and warrants issued and is evaluating the impact this ASU will have on its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112,422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345,408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232,156</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26,914</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66,975</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65,436</w:t>
            </w: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33,803</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73,879</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52,841</w:t>
            </w:r>
          </w:p>
        </w:tc>
      </w:tr>
      <w:tr>
        <w:trPr>
          <w:trHeight w:val="230"/>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39,294</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92,740</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87,142</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Consumer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100,011</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233,594</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84,837</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260,714</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248,156</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498</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297,450</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220,251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840,214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687,661</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contract asset recorded within prepaid and other current assets on the consolidated balance sheets related to estimated variable consideration in the Company's Consumer business was $7.9 million and $6.4 million at September 30, 2021 and December 31, 2020, respectively.</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sheets related to upfront fees paid by consumers in the Company's Consumer business was $1.0 million and $0.7 million at September 30, 2021 and December 31, 2020, respectively. During the first nine months of 2021, the Company recognized revenue of $0.7 million that was included in the contract liability balance at December 31, 2020. During the first nine months of 2020, the Company recognized revenue of $0.6 million that was included in the contract liability balance at December 31, 2019.</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$0.4 million and $0.6 million in the third quarters of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215,277</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108</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215,385</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170,049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56"/>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1,473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1,402</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34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678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1,823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1,506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1,506</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w:t>
            </w:r>
          </w:p>
        </w:tc>
        <w:tc>
          <w:tcPr>
            <w:tcW w:w="0" w:type="dxa"/>
            <w:vAlign w:val="bottom"/>
          </w:tcPr>
          <w:p>
            <w:pPr>
              <w:spacing w:after="0"/>
              <w:rPr>
                <w:sz w:val="1"/>
                <w:szCs w:val="1"/>
                <w:color w:val="auto"/>
              </w:rPr>
            </w:pPr>
          </w:p>
        </w:tc>
      </w:tr>
      <w:tr>
        <w:trPr>
          <w:trHeight w:val="567"/>
        </w:trPr>
        <w:tc>
          <w:tcPr>
            <w:tcW w:w="610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40" w:type="dxa"/>
            <w:vAlign w:val="bottom"/>
            <w:gridSpan w:val="2"/>
          </w:tcPr>
          <w:p>
            <w:pPr>
              <w:ind w:left="340"/>
              <w:spacing w:after="0"/>
              <w:rPr>
                <w:sz w:val="20"/>
                <w:szCs w:val="20"/>
                <w:color w:val="auto"/>
              </w:rPr>
            </w:pPr>
            <w:r>
              <w:rPr>
                <w:rFonts w:ascii="Arial" w:cs="Arial" w:eastAsia="Arial" w:hAnsi="Arial"/>
                <w:sz w:val="18"/>
                <w:szCs w:val="18"/>
                <w:color w:val="auto"/>
                <w:w w:val="92"/>
              </w:rPr>
              <w:t xml:space="preserve">The balance of goodwill, net and intangible assets, net is as follows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903,227</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(483,088)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420,139</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10,142</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85,392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95,534</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128,502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goodwill at each of September 30, 2021 and December 31, 2020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6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(23,141)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2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2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30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208,100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(122,708)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6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(48,166)</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(18,560)</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2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2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0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960" w:type="dxa"/>
            <w:vAlign w:val="bottom"/>
          </w:tcPr>
          <w:p>
            <w:pPr>
              <w:spacing w:after="0"/>
              <w:rPr>
                <w:sz w:val="24"/>
                <w:szCs w:val="24"/>
                <w:color w:val="auto"/>
              </w:rPr>
            </w:pPr>
          </w:p>
        </w:tc>
        <w:tc>
          <w:tcPr>
            <w:tcW w:w="2680" w:type="dxa"/>
            <w:vAlign w:val="bottom"/>
          </w:tcPr>
          <w:p>
            <w:pPr>
              <w:jc w:val="right"/>
              <w:ind w:right="83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2021,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Amortization Expense</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2022</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25,256</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6,747</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29"/>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85,392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28, 2020, the Company acquired an equity interest in Stash Financial, Inc. (“Stash”) for $80.0 million. On January 6, 2021, the Company acquired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to the consolidated statement of operations and comprehensive income. During the first nine months of 2021, the Company recorded a gain on the investment in Stash of $40.1 million as a result of an adjustment to the fair value of the Stash equity securities based on observable market events, which is included within other income on the consolidated statement of operations and comprehensive income. As of September 30, 2021, there have been no impairments to the acquisition cost of the Stash equity securities.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18—Subsequent Event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(“Ovation”). During 2020, the Company made the final earnout payment related to the achievement of certain defined operating metrics for Ovation.</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During 2020, the Company made the final earnout payments related to the achievement of certain defined earnings targets for SnapCap.</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could make an earnout payment ranging from zero to $23.4 million based on the achievement of certain defined performance targets for QuoteWizard during the final earnout period ending October 31, 2021. As of September 30, 2021, this remaining earnout payment is not expected to be made and no liability has been recorded in the accompanying consolidated balance sheet.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15—Fair Value Measurements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62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QuoteWizard</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(8,249)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Ovation</w:t>
            </w:r>
          </w:p>
        </w:tc>
        <w:tc>
          <w:tcPr>
            <w:tcW w:w="780" w:type="dxa"/>
            <w:vAlign w:val="bottom"/>
          </w:tcPr>
          <w:p>
            <w:pPr>
              <w:spacing w:after="0"/>
              <w:rPr>
                <w:sz w:val="19"/>
                <w:szCs w:val="19"/>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29"/>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SnapCap</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(196)</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6,658</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(8,249)</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differences in the actual contingent consideration payments will be recorded in operating income in the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7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64,932</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14,951</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7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3,727</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7,401</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7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3,333</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8,579</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11,741</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114,664</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101,196</w:t>
            </w:r>
          </w:p>
        </w:tc>
        <w:tc>
          <w:tcPr>
            <w:tcW w:w="0" w:type="dxa"/>
            <w:vAlign w:val="bottom"/>
          </w:tcPr>
          <w:p>
            <w:pPr>
              <w:spacing w:after="0"/>
              <w:rPr>
                <w:sz w:val="1"/>
                <w:szCs w:val="1"/>
                <w:color w:val="auto"/>
              </w:rPr>
            </w:pPr>
          </w:p>
        </w:tc>
      </w:tr>
      <w:tr>
        <w:trPr>
          <w:trHeight w:val="580"/>
        </w:trPr>
        <w:tc>
          <w:tcPr>
            <w:tcW w:w="6100" w:type="dxa"/>
            <w:vAlign w:val="bottom"/>
          </w:tcPr>
          <w:p>
            <w:pPr>
              <w:spacing w:after="0"/>
              <w:rPr>
                <w:sz w:val="20"/>
                <w:szCs w:val="20"/>
                <w:color w:val="auto"/>
              </w:rPr>
            </w:pPr>
            <w:r>
              <w:rPr>
                <w:rFonts w:ascii="Arial" w:cs="Arial" w:eastAsia="Arial" w:hAnsi="Arial"/>
                <w:sz w:val="18"/>
                <w:szCs w:val="18"/>
                <w:b w:val="1"/>
                <w:bCs w:val="1"/>
                <w:color w:val="auto"/>
              </w:rPr>
              <w:t>NOTE 10—SHAREHOLDERS' EQUITY</w:t>
            </w: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gridSpan w:val="2"/>
          </w:tcPr>
          <w:p>
            <w:pPr>
              <w:ind w:left="340"/>
              <w:spacing w:after="0"/>
              <w:rPr>
                <w:sz w:val="20"/>
                <w:szCs w:val="20"/>
                <w:color w:val="auto"/>
              </w:rPr>
            </w:pPr>
            <w:r>
              <w:rPr>
                <w:rFonts w:ascii="Arial" w:cs="Arial" w:eastAsia="Arial" w:hAnsi="Arial"/>
                <w:sz w:val="18"/>
                <w:szCs w:val="18"/>
                <w:color w:val="auto"/>
                <w:w w:val="92"/>
              </w:rPr>
              <w:t xml:space="preserve">Basic and diluted income per share was determined based on the following share data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2540" w:type="dxa"/>
            <w:vAlign w:val="bottom"/>
            <w:gridSpan w:val="3"/>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615"/>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740" w:type="dxa"/>
            <w:vAlign w:val="bottom"/>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13,268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13,194</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12,992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74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74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74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74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b w:val="1"/>
                <w:bCs w:val="1"/>
                <w:color w:val="auto"/>
              </w:rPr>
              <w:t>13,268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13,797</w:t>
            </w:r>
          </w:p>
        </w:tc>
        <w:tc>
          <w:tcPr>
            <w:tcW w:w="5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third quarter of 2021, as well as the third quarter and first nine months of 2020, the Company had losses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0.4 million shares related to potentially dilutive securities were excluded from the calculation of diluted loss per share for the third quarter of 2021 because their inclusion would have been anti-dilutive. Approximately 1.3 million and 1.1 million shares related to potentially dilutive securities were excluded from the calculation of diluted loss per share for the third quarter and first nine months of 2020, respectively.</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third quarter of 2021, the weighted average shares that were anti-dilutive, and therefore excluded from the calculation of diluted income per share, included options to purchase 0.9 million shares of common stock and 0.2 million restricted stock units. For the first nine months of 2021, the weighted average shares that were anti-dilutive included options to purchase 0.4 million shares of common stock and 0.1 million restricted stock units.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third quarter and first nine months of 2020, the weighted average shares that were anti-dilutive included options to purchase 0.1 million and 0.2 million shares of common stock, respectively.</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convertible notes and the warrants issued by the Company could be converted into the Company’s common stock, subject to certain contingencies. </w:t>
      </w:r>
      <w:r>
        <w:rPr>
          <w:rFonts w:ascii="Arial" w:cs="Arial" w:eastAsia="Arial" w:hAnsi="Arial"/>
          <w:sz w:val="16"/>
          <w:szCs w:val="16"/>
          <w:i w:val="1"/>
          <w:iCs w:val="1"/>
          <w:color w:val="auto"/>
        </w:rPr>
        <w:t xml:space="preserve">See </w:t>
      </w:r>
      <w:r>
        <w:rPr>
          <w:rFonts w:ascii="Arial" w:cs="Arial" w:eastAsia="Arial" w:hAnsi="Arial"/>
          <w:sz w:val="16"/>
          <w:szCs w:val="16"/>
          <w:color w:val="auto"/>
        </w:rPr>
        <w:t>Note 13—Debt for additional information. Shares of the Company's common stock associated with the 0.625% Convertible Senior Notes due June 1,</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excluded from the calculation of diluted shares for the third quarter of 2021 as they were anti-dilutive since the conversion price of the notes was greater than the average market price of the Company’s common stock during the period. Shares of the Company's common stock associated with the warrants issued by the Company in 2017 were excluded from the calculation of diluted shares for the third quarter and first nine months of 2021 as they were anti-dilutive since the strike price of the warrants was greater than the average market price of the Company's common stock during these periods. Shares of the Company's common stock associated with the 0.50% Convertible Senior Notes due July 15, 2025 and the warrants issued by the Company in 2020 were excluded from the calculation of diluted shares for all periods presented, as they were anti-dilutive since the conversion price of the notes and the strike price of the warrants were greater than the average market price of the Company's common stock during these periods.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third quarter of 2021, the Company implemented an employee stock purchase plan, which did not have a material impact to the calculation of diluted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11—Stock-Based Compensation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each of February 2018 and February 2019, the board of directors authorized and the Company announced the repurchase of up to $100.0 million and $150.0 million, respectively, of LendingTree's common stock. There were no repurchases of the Company's common stock during the first nine months of 2021 and 2020. At September 30, 2021, approximately $179.7 million of the previous authorizations to repurchase common stock remain available.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7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5,583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7"/>
              </w:rPr>
              <w:t>38,658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development</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6,332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146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14,161</w:t>
            </w:r>
          </w:p>
        </w:tc>
        <w:tc>
          <w:tcPr>
            <w:tcW w:w="780" w:type="dxa"/>
            <w:vAlign w:val="bottom"/>
            <w:tcBorders>
              <w:bottom w:val="single" w:sz="8" w:color="auto"/>
            </w:tcBorders>
            <w:gridSpan w:val="3"/>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51,804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39,236</w:t>
            </w:r>
          </w:p>
        </w:tc>
        <w:tc>
          <w:tcPr>
            <w:tcW w:w="0" w:type="dxa"/>
            <w:vAlign w:val="bottom"/>
          </w:tcPr>
          <w:p>
            <w:pPr>
              <w:spacing w:after="0"/>
              <w:rPr>
                <w:sz w:val="1"/>
                <w:szCs w:val="1"/>
                <w:color w:val="auto"/>
              </w:rPr>
            </w:pPr>
          </w:p>
        </w:tc>
      </w:tr>
      <w:tr>
        <w:trPr>
          <w:trHeight w:val="513"/>
        </w:trPr>
        <w:tc>
          <w:tcPr>
            <w:tcW w:w="520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ind w:left="340"/>
              <w:spacing w:after="0"/>
              <w:rPr>
                <w:sz w:val="20"/>
                <w:szCs w:val="20"/>
                <w:color w:val="auto"/>
              </w:rPr>
            </w:pPr>
            <w:r>
              <w:rPr>
                <w:rFonts w:ascii="Arial" w:cs="Arial" w:eastAsia="Arial" w:hAnsi="Arial"/>
                <w:sz w:val="18"/>
                <w:szCs w:val="18"/>
                <w:color w:val="auto"/>
                <w:w w:val="93"/>
              </w:rPr>
              <w:t>A summary of changes in outstanding stock options is as follows: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920" w:type="dxa"/>
            <w:vAlign w:val="bottom"/>
            <w:gridSpan w:val="3"/>
            <w:vMerge w:val="restart"/>
          </w:tcPr>
          <w:p>
            <w:pPr>
              <w:jc w:val="center"/>
              <w:ind w:right="251"/>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3"/>
          </w:tcPr>
          <w:p>
            <w:pPr>
              <w:jc w:val="center"/>
              <w:ind w:right="251"/>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Number of Options</w:t>
            </w:r>
          </w:p>
        </w:tc>
        <w:tc>
          <w:tcPr>
            <w:tcW w:w="1920" w:type="dxa"/>
            <w:vAlign w:val="bottom"/>
            <w:gridSpan w:val="3"/>
          </w:tcPr>
          <w:p>
            <w:pPr>
              <w:jc w:val="center"/>
              <w:ind w:right="271"/>
              <w:spacing w:after="0" w:line="135"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297"/>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871"/>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Term</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7"/>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3"/>
          </w:tcPr>
          <w:p>
            <w:pPr>
              <w:jc w:val="center"/>
              <w:ind w:right="251"/>
              <w:spacing w:after="0"/>
              <w:rPr>
                <w:sz w:val="20"/>
                <w:szCs w:val="20"/>
                <w:color w:val="auto"/>
              </w:rPr>
            </w:pPr>
            <w:r>
              <w:rPr>
                <w:rFonts w:ascii="Arial" w:cs="Arial" w:eastAsia="Arial" w:hAnsi="Arial"/>
                <w:sz w:val="14"/>
                <w:szCs w:val="14"/>
                <w:b w:val="1"/>
                <w:bCs w:val="1"/>
                <w:i w:val="1"/>
                <w:iCs w:val="1"/>
                <w:color w:val="auto"/>
                <w:w w:val="89"/>
              </w:rPr>
              <w:t>(per option)</w:t>
            </w:r>
          </w:p>
        </w:tc>
        <w:tc>
          <w:tcPr>
            <w:tcW w:w="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2021</w:t>
            </w:r>
          </w:p>
        </w:tc>
        <w:tc>
          <w:tcPr>
            <w:tcW w:w="14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924,710</w:t>
            </w:r>
          </w:p>
        </w:tc>
        <w:tc>
          <w:tcPr>
            <w:tcW w:w="600" w:type="dxa"/>
            <w:vAlign w:val="bottom"/>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w w:val="94"/>
              </w:rPr>
              <w:t>111.82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(b)</w:t>
            </w:r>
          </w:p>
        </w:tc>
        <w:tc>
          <w:tcPr>
            <w:tcW w:w="1460" w:type="dxa"/>
            <w:vAlign w:val="bottom"/>
            <w:gridSpan w:val="2"/>
          </w:tcPr>
          <w:p>
            <w:pPr>
              <w:jc w:val="right"/>
              <w:ind w:right="19"/>
              <w:spacing w:after="0"/>
              <w:rPr>
                <w:sz w:val="20"/>
                <w:szCs w:val="20"/>
                <w:color w:val="auto"/>
              </w:rPr>
            </w:pPr>
            <w:r>
              <w:rPr>
                <w:rFonts w:ascii="Arial" w:cs="Arial" w:eastAsia="Arial" w:hAnsi="Arial"/>
                <w:sz w:val="18"/>
                <w:szCs w:val="18"/>
                <w:color w:val="auto"/>
              </w:rPr>
              <w:t>70,968</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w w:val="94"/>
              </w:rPr>
              <w:t>241.84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(156,113)</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(13,063)</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w w:val="94"/>
              </w:rPr>
              <w:t>261.62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94"/>
              </w:rPr>
              <w:t>371.25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September 30, 2021</w:t>
            </w: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b w:val="1"/>
                <w:bCs w:val="1"/>
                <w:color w:val="auto"/>
              </w:rPr>
              <w:t>826,467</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94"/>
              </w:rPr>
              <w:t>140.38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50,380</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September 30, 2021</w:t>
            </w:r>
          </w:p>
        </w:tc>
        <w:tc>
          <w:tcPr>
            <w:tcW w:w="14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547,177</w:t>
            </w:r>
          </w:p>
        </w:tc>
        <w:tc>
          <w:tcPr>
            <w:tcW w:w="6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72.09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50,380</w:t>
            </w:r>
          </w:p>
        </w:tc>
        <w:tc>
          <w:tcPr>
            <w:tcW w:w="0" w:type="dxa"/>
            <w:vAlign w:val="bottom"/>
          </w:tcPr>
          <w:p>
            <w:pPr>
              <w:spacing w:after="0"/>
              <w:rPr>
                <w:sz w:val="1"/>
                <w:szCs w:val="1"/>
                <w:color w:val="auto"/>
              </w:rPr>
            </w:pPr>
          </w:p>
        </w:tc>
      </w:tr>
      <w:tr>
        <w:trPr>
          <w:trHeight w:val="904"/>
        </w:trPr>
        <w:tc>
          <w:tcPr>
            <w:tcW w:w="520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$139.83 on the last trading day of the quarter ended September 30, 2021 and the exercise price, multiplied by the number of shares covered by in-the-money options) that would have been received by the option holder had the option holder exercised these options on September 30, 2021.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nine months ended September 30, 2021, the Company granted stock options to certain employees and members of the board of directors with a weighted average grant date fair value per share of $129.21, calculated using the Black-Scholes option pricing model, which vesting periods include (a) immediate vesting on grant date (b) earlier of one year from grant date and the Company's annual meeting of stockholders for 2022 and (c) three years from grant date.</w:t>
      </w:r>
    </w:p>
    <w:p>
      <w:pPr>
        <w:spacing w:after="0" w:line="132"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72"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96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5.00 - 6.00</w:t>
            </w:r>
          </w:p>
        </w:tc>
        <w:tc>
          <w:tcPr>
            <w:tcW w:w="0" w:type="dxa"/>
            <w:vAlign w:val="bottom"/>
          </w:tcPr>
          <w:p>
            <w:pPr>
              <w:spacing w:after="0"/>
              <w:rPr>
                <w:sz w:val="1"/>
                <w:szCs w:val="1"/>
                <w:color w:val="auto"/>
              </w:rPr>
            </w:pPr>
          </w:p>
        </w:tc>
      </w:tr>
      <w:tr>
        <w:trPr>
          <w:trHeight w:val="229"/>
        </w:trPr>
        <w:tc>
          <w:tcPr>
            <w:tcW w:w="5960" w:type="dxa"/>
            <w:vAlign w:val="bottom"/>
            <w:vMerge w:val="continue"/>
            <w:shd w:val="clear" w:color="auto" w:fill="CCEEFF"/>
          </w:tcPr>
          <w:p>
            <w:pPr>
              <w:spacing w:after="0"/>
              <w:rPr>
                <w:sz w:val="19"/>
                <w:szCs w:val="19"/>
                <w:color w:val="auto"/>
              </w:rPr>
            </w:pP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9"/>
        </w:trPr>
        <w:tc>
          <w:tcPr>
            <w:tcW w:w="596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4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53 - 59%</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999999"/>
            </w:tcBorders>
          </w:tcPr>
          <w:p>
            <w:pPr>
              <w:ind w:left="68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44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0.59 - 1.07%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980" w:hanging="324"/>
        <w:spacing w:after="0" w:line="263"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9"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all stock options granted in 2021,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2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with Market</w:t>
            </w:r>
          </w:p>
        </w:tc>
        <w:tc>
          <w:tcPr>
            <w:tcW w:w="300" w:type="dxa"/>
            <w:vAlign w:val="bottom"/>
          </w:tcPr>
          <w:p>
            <w:pPr>
              <w:spacing w:after="0"/>
              <w:rPr>
                <w:sz w:val="11"/>
                <w:szCs w:val="11"/>
                <w:color w:val="auto"/>
              </w:rPr>
            </w:pPr>
          </w:p>
        </w:tc>
        <w:tc>
          <w:tcPr>
            <w:tcW w:w="140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2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5"/>
                <w:szCs w:val="15"/>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2021</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September 30, 2021</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September 30, 2021</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$139.83 on the last trading day of the quarter ended September 30, 2021 and the exercise price, multiplied by the number of shares covered by in-the-money options) that would have been received by the option holder had the option holder exercised these options on September 30, 2021. The intrinsic value changes based on the market value of the Company's common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maximum of 1,169,349 shares may be earned for achieving superior performance up to 167% of the target number of shares. As of September 30, 2021, performance-based nonqualified stock options with a market condition of 481,669 had been earned, which have a vest date of September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194,686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289.82</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230,785</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(79,325)</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(45,848)</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266.99</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2021</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300,298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238.28</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560" w:type="dxa"/>
            <w:vAlign w:val="bottom"/>
          </w:tcPr>
          <w:p>
            <w:pPr>
              <w:spacing w:after="0"/>
              <w:rPr>
                <w:sz w:val="24"/>
                <w:szCs w:val="24"/>
                <w:color w:val="auto"/>
              </w:rPr>
            </w:pPr>
          </w:p>
        </w:tc>
        <w:tc>
          <w:tcPr>
            <w:tcW w:w="3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6,328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2021</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6,328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20" w:type="dxa"/>
            <w:vAlign w:val="bottom"/>
            <w:gridSpan w:val="2"/>
          </w:tcPr>
          <w:p>
            <w:pPr>
              <w:ind w:left="340"/>
              <w:spacing w:after="0"/>
              <w:rPr>
                <w:sz w:val="20"/>
                <w:szCs w:val="20"/>
                <w:color w:val="auto"/>
              </w:rPr>
            </w:pPr>
            <w:r>
              <w:rPr>
                <w:rFonts w:ascii="Arial" w:cs="Arial" w:eastAsia="Arial" w:hAnsi="Arial"/>
                <w:sz w:val="18"/>
                <w:szCs w:val="18"/>
                <w:color w:val="auto"/>
                <w:w w:val="91"/>
              </w:rPr>
              <w:t>A summary of changes in outstanding nonvested restricted stock awards ("RSAs") with performance conditions is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34"/>
        </w:trPr>
        <w:tc>
          <w:tcPr>
            <w:tcW w:w="756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Awards</w:t>
            </w:r>
          </w:p>
        </w:tc>
        <w:tc>
          <w:tcPr>
            <w:tcW w:w="20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23,804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(17,853)</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2021</w:t>
            </w:r>
          </w:p>
        </w:tc>
        <w:tc>
          <w:tcPr>
            <w:tcW w:w="1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5,951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905"/>
        </w:trPr>
        <w:tc>
          <w:tcPr>
            <w:tcW w:w="7560" w:type="dxa"/>
            <w:vAlign w:val="bottom"/>
          </w:tcPr>
          <w:p>
            <w:pPr>
              <w:ind w:left="5540"/>
              <w:spacing w:after="0"/>
              <w:rPr>
                <w:sz w:val="20"/>
                <w:szCs w:val="20"/>
                <w:color w:val="auto"/>
              </w:rPr>
            </w:pPr>
            <w:r>
              <w:rPr>
                <w:rFonts w:ascii="Arial" w:cs="Arial" w:eastAsia="Arial" w:hAnsi="Arial"/>
                <w:sz w:val="18"/>
                <w:szCs w:val="18"/>
                <w:color w:val="auto"/>
              </w:rPr>
              <w:t>17</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2021</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26,674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2021</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September 30, 2021, performance-based restricted stock awards with a market condition of 29,601 had been earned, which have a vest date of September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third quarter of 2021, the Company implemented an employee stock purchase plan ("ESPP"), under which a total of 262,731 shares of the Company's common stock have been reserved for issuance.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No shares were issued under the ESPP during the third quarter of 2021.</w:t>
      </w:r>
    </w:p>
    <w:p>
      <w:pPr>
        <w:spacing w:after="0" w:line="5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nine months ended September 30, 2021, the Company granted employee stock purchase rights to certain employees with a grant date fair value per share of $42.39,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264"/>
        </w:trPr>
        <w:tc>
          <w:tcPr>
            <w:tcW w:w="5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37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0.33 years</w:t>
            </w:r>
          </w:p>
        </w:tc>
      </w:tr>
      <w:tr>
        <w:trPr>
          <w:trHeight w:val="230"/>
        </w:trPr>
        <w:tc>
          <w:tcPr>
            <w:tcW w:w="584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37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r>
      <w:tr>
        <w:trPr>
          <w:trHeight w:val="229"/>
        </w:trPr>
        <w:tc>
          <w:tcPr>
            <w:tcW w:w="58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Borders>
              <w:bottom w:val="single" w:sz="8" w:color="999999"/>
            </w:tcBorders>
          </w:tcPr>
          <w:p>
            <w:pPr>
              <w:ind w:left="68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37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0.05</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3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54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r>
      <w:tr>
        <w:trPr>
          <w:trHeight w:val="183"/>
        </w:trPr>
        <w:tc>
          <w:tcPr>
            <w:tcW w:w="3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180"/>
        </w:trPr>
        <w:tc>
          <w:tcPr>
            <w:tcW w:w="3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4"/>
          </w:tcPr>
          <w:p>
            <w:pPr>
              <w:jc w:val="right"/>
              <w:ind w:right="301"/>
              <w:spacing w:after="0"/>
              <w:rPr>
                <w:sz w:val="20"/>
                <w:szCs w:val="20"/>
                <w:color w:val="auto"/>
              </w:rPr>
            </w:pPr>
            <w:r>
              <w:rPr>
                <w:rFonts w:ascii="Arial" w:cs="Arial" w:eastAsia="Arial" w:hAnsi="Arial"/>
                <w:sz w:val="14"/>
                <w:szCs w:val="14"/>
                <w:b w:val="1"/>
                <w:bCs w:val="1"/>
                <w:i w:val="1"/>
                <w:iCs w:val="1"/>
                <w:color w:val="auto"/>
                <w:w w:val="91"/>
              </w:rPr>
              <w:t>(in thousands, except percentages)</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1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7,925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455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14,866</w:t>
            </w:r>
          </w:p>
        </w:tc>
      </w:tr>
      <w:tr>
        <w:trPr>
          <w:trHeight w:val="229"/>
        </w:trPr>
        <w:tc>
          <w:tcPr>
            <w:tcW w:w="346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2260" w:type="dxa"/>
            <w:vAlign w:val="bottom"/>
            <w:tcBorders>
              <w:bottom w:val="single" w:sz="8" w:color="999999"/>
            </w:tcBorders>
          </w:tcPr>
          <w:p>
            <w:pPr>
              <w:spacing w:after="0"/>
              <w:rPr>
                <w:sz w:val="19"/>
                <w:szCs w:val="19"/>
                <w:color w:val="auto"/>
              </w:rPr>
            </w:pPr>
          </w:p>
        </w:tc>
        <w:tc>
          <w:tcPr>
            <w:tcW w:w="840" w:type="dxa"/>
            <w:vAlign w:val="bottom"/>
            <w:tcBorders>
              <w:bottom w:val="single" w:sz="8" w:color="999999"/>
            </w:tcBorders>
          </w:tcPr>
          <w:p>
            <w:pPr>
              <w:spacing w:after="0"/>
              <w:rPr>
                <w:sz w:val="19"/>
                <w:szCs w:val="19"/>
                <w:color w:val="auto"/>
              </w:rPr>
            </w:pPr>
          </w:p>
        </w:tc>
        <w:tc>
          <w:tcPr>
            <w:tcW w:w="500" w:type="dxa"/>
            <w:vAlign w:val="bottom"/>
            <w:tcBorders>
              <w:bottom w:val="single" w:sz="8" w:color="999999"/>
            </w:tcBorders>
          </w:tcPr>
          <w:p>
            <w:pPr>
              <w:ind w:left="60"/>
              <w:spacing w:after="0"/>
              <w:rPr>
                <w:sz w:val="20"/>
                <w:szCs w:val="20"/>
                <w:color w:val="auto"/>
              </w:rPr>
            </w:pPr>
            <w:r>
              <w:rPr>
                <w:rFonts w:ascii="Arial" w:cs="Arial" w:eastAsia="Arial" w:hAnsi="Arial"/>
                <w:sz w:val="18"/>
                <w:szCs w:val="18"/>
                <w:i w:val="1"/>
                <w:iCs w:val="1"/>
                <w:color w:val="auto"/>
              </w:rPr>
              <w:t>— %</w:t>
            </w:r>
          </w:p>
        </w:tc>
        <w:tc>
          <w:tcPr>
            <w:tcW w:w="280" w:type="dxa"/>
            <w:vAlign w:val="bottom"/>
            <w:tcBorders>
              <w:bottom w:val="single" w:sz="8" w:color="999999"/>
            </w:tcBorders>
          </w:tcPr>
          <w:p>
            <w:pPr>
              <w:spacing w:after="0"/>
              <w:rPr>
                <w:sz w:val="19"/>
                <w:szCs w:val="19"/>
                <w:color w:val="auto"/>
              </w:rPr>
            </w:pPr>
          </w:p>
        </w:tc>
        <w:tc>
          <w:tcPr>
            <w:tcW w:w="108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24.2 %</w:t>
            </w:r>
          </w:p>
        </w:tc>
        <w:tc>
          <w:tcPr>
            <w:tcW w:w="10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spacing w:after="0"/>
              <w:rPr>
                <w:sz w:val="19"/>
                <w:szCs w:val="19"/>
                <w:color w:val="auto"/>
              </w:rPr>
            </w:pPr>
          </w:p>
        </w:tc>
        <w:tc>
          <w:tcPr>
            <w:tcW w:w="1040" w:type="dxa"/>
            <w:vAlign w:val="bottom"/>
            <w:tcBorders>
              <w:bottom w:val="single" w:sz="8" w:color="999999"/>
            </w:tcBorders>
          </w:tcPr>
          <w:p>
            <w:pPr>
              <w:jc w:val="right"/>
              <w:ind w:right="1"/>
              <w:spacing w:after="0"/>
              <w:rPr>
                <w:sz w:val="20"/>
                <w:szCs w:val="20"/>
                <w:color w:val="auto"/>
              </w:rPr>
            </w:pPr>
            <w:r>
              <w:rPr>
                <w:rFonts w:ascii="Arial" w:cs="Arial" w:eastAsia="Arial" w:hAnsi="Arial"/>
                <w:sz w:val="18"/>
                <w:szCs w:val="18"/>
                <w:i w:val="1"/>
                <w:iCs w:val="1"/>
                <w:color w:val="auto"/>
              </w:rPr>
              <w:t>(1.9)%</w:t>
            </w:r>
          </w:p>
        </w:tc>
        <w:tc>
          <w:tcPr>
            <w:tcW w:w="500" w:type="dxa"/>
            <w:vAlign w:val="bottom"/>
            <w:tcBorders>
              <w:bottom w:val="single" w:sz="8" w:color="999999"/>
            </w:tcBorders>
          </w:tcPr>
          <w:p>
            <w:pPr>
              <w:spacing w:after="0"/>
              <w:rPr>
                <w:sz w:val="19"/>
                <w:szCs w:val="19"/>
                <w:color w:val="auto"/>
              </w:rPr>
            </w:pPr>
          </w:p>
        </w:tc>
        <w:tc>
          <w:tcPr>
            <w:tcW w:w="86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50.7 %</w:t>
            </w:r>
          </w:p>
        </w:tc>
      </w:tr>
      <w:tr>
        <w:trPr>
          <w:trHeight w:val="898"/>
        </w:trPr>
        <w:tc>
          <w:tcPr>
            <w:tcW w:w="34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third quarter and first nine months of 2021, the effective tax rate varied from the federal statutory rate of 21% in part due to an excess tax expense of $0.9 million and an excess tax benefit of $7.4 million, respectively, resulting from employee exercises of stock options and vesting of restricted stock in accordance with ASU 2016-09 and the effect of state taxes.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third quarter and first nine months of 2020, the effective tax rate varied from the federal statutory rate of 21% in part due to a tax benefit of $0.2 million and $2.0 million, respectively, recognized for excess tax benefits resulting from employee exercises of stock options and vesting of restricted stock in accordance with ASU 2016-09 and the effect of state taxes. The effective tax rate for the first nine months of 2020 was also impacted by a tax benefit of $6.1 million for the impact of the Coronavirus Aid, Relief, and Economic Security ("CARES") Act, as described below.</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the Company, including, but not limited to, modifications for net operating losses, accelerated timeframe for refunds associated with prior minimum taxes and modifications of the limitation on business interest.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revalued deferred tax assets related to net operating losses in light of the changes in the CARES Act and recorded a net tax benefit of $6.1 million during the first nine months of 2020. These deferred tax assets are being revalued, as they have been carried back to 2016 and 2017, which are tax periods prior to the Tax Cuts and Jobs Act ("TCJA") when the federal statutory tax rate was 35% versus the 21% federal statutory tax rate in effect after the enactment of the TCJA.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62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10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10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6"/>
              </w:rPr>
              <w:t>Income tax benefit (expense) - excluding excess tax (expense) benefit on stock</w:t>
            </w:r>
          </w:p>
        </w:tc>
        <w:tc>
          <w:tcPr>
            <w:tcW w:w="780" w:type="dxa"/>
            <w:vAlign w:val="bottom"/>
            <w:vMerge w:val="restart"/>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939</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CARES Act</w:t>
            </w:r>
          </w:p>
        </w:tc>
        <w:tc>
          <w:tcPr>
            <w:tcW w:w="7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Excess tax (expense) benefit on stock compensation</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(938)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7,355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from CARES Act</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455</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September 30, 2021 as the last reported sale price of the Company's common stock, for at least 20 trading days (whether or not consecutive) during the period of 30 consecutive trading days ending on June 30, 2021, was not greater than or equal to 130% of the conversion price of the 2025 Notes on each applicable trading day. Holders of the 2025 Notes are not entitled to convert the 2025 Notes during the calendar quarter ended December 31, 2021 as the last reported sale price of the Company's common stock, for at least 20 trading days (whether or not consecutive) during the period of 30 consecutive trading days ending on September 30, 2021, was not greater than or equal to 130% of the conversion price of the 2025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1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nine months of 2021, the Company recorded interest expense on the 2025 Notes of $20.3 million which consisted of $2.2 million associated with the 0.50% coupon rate, $16.4 million associated with the accretion of the debt discount, and $1.7 million associated with the amortization of the debt issuance costs. In the first nine months of 2020, the Company recorded interest expense on the 2025 Notes of $4.9 million which consisted of $0.5 million associated with the 0.50% coupon rate, $4.0 million associated with the accretion of the debt discount, and $0.4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the fair value of the 2025 Notes is estimated to be approximately $500.5 million using the Level 1 observable input of the last quoted market price for the quarter ended September 30,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non-current liability in the September 30, 2021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575,000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93,591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110,110</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9,418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471,991</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453,834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 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immediately preceding calendar quarter is greater than or equal to 130% of the conversion price on each applicable trading day;</w:t>
      </w:r>
    </w:p>
    <w:p>
      <w:pPr>
        <w:spacing w:after="0" w:line="171" w:lineRule="exact"/>
        <w:rPr>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2022 Notes were not entitled to convert the 2022 Notes during the calendar quarter ended September 30, 2021 as the last reported sale price of the Company's common stock, for at least 20 trading days (whether or not consecutive) during the period of 30 consecutive trading days ending on June 30, 2021, was not greater than or equal to 130% of the conversion price of the 2022 Notes on each applicable trading day. Holders of the 2022 Notes are not entitled to convert the 2022 Notes during the calendar quarter ended December 31, 2021 as the last reported sale price of the Company's common stock, for at least 20 trading days (whether or not consecutive) during the period of 30 consecutive trading days ending on September 30, 2021, was not greater than or equal to 130% of the conversion price of the 2022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first nine months of 2021, the Company recorded interest expense on the 2022 Notes of $7.1 million which consisted of $0.8 million associated with the 0.625% coupon rate, $5.6 million associated with the accretion of the debt discount, and $0.7 million associated with the amortization of the debt issuance costs. In the first nine months of 2020, the Company recorded interest expense on the 2022 Notes of $10.7 million which consisted of $1.3 million associated with the 0.625% coupon rate, $8.4 million associated with the accretion of the debt discount, and $1.0 million associated with the amortization of the debt issuance costs. The debt discount is being amortized over the term of the debt.</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the fair value of the 2022 Notes is estimated to be approximately $167.3 million using the Level 1 observable input of the last quoted market price for the quarter ended September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current liability in the September 30, 2021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169,659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169,690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5,182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163,856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157,578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 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to the extent the loans thereunder will be drawn. The delayed draw commitments under the Term Loan Facility will be available until June 1, 2022. The proceeds of the Revolving Facility can be used to finance working capital, for general corporate purposes and any other purpose not prohibited by the Credit Agreement. The proceeds of the Term Loan Facility can be used to settle the Company’s 2022 Notes, including related fees, costs and expenses, and up to $80.0 million may be used for general corporate purposes and any other purposes not prohibited by the Credit Agreement. The Credit Facility replaces the Company's $500.0 million five-year senior secured revolving credit facility (the "Amended Revolving Credit Facility") which was entered into on December 10, 2019. As of September 30, 2021, the Company had no borrowings outstanding under the Credit Facility and at December 31, 2020, the Company had no borrowings outstanding under the Amended Revolving Credit Facility.</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full amount of the Revolving Facility will be available on a same-day basis, with respect to base rate loans and upon advance notice with respect to LIBO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September 30, 2021 and December 31, 2020, the Company had outstanding one letter of credit issued in the amount of $0.2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Credit Facility bear interest at annual rates that, at the Company’s option, will be either:</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dollar deposits for the applicable interest period and (ii) an applicable percentage of 2.25% to 2.75% for loans under the Revolving Facility and 3.75% to 4.00% for loans under the Term Loan Facility, in each case, based on a first lien net leverage ratio.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on the Company’s borrowings is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September 30, 2021.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Credit Facility requires the Company and certain of its subsidiaries to pledge as collateral, subject to certain customary exclusions, substantially all of their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With respect to the Term Loan Facility, the Company is required to pay an unused commitment fee quarterly in arrears on the difference between committed amounts and amounts actually borrowed under the Term Loan Facility equal to an applicable LIBO rate plus an applicable percentage of 3.75% to 4.00% per annum based on a first lien net leverage ratio.</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recognized $1.1 million in additional interest expense in the third quarter of 2021 due to the write-off of certain unamortized debt issuance costs associated with the Amended Revolving Credit Facility. In addition to the remaining unamortized debt issuance costs associated with the Amended Revolving Credit Facility, debt issuance costs of $2.8 million related to the Revolving Facility are being amortized to interest expense over the life of the Revolving Facility. Debt issuance costs of $3.5 million related to the Term Loan Facility and the original issue discount of $2.5 million paid on the undrawn term loan facility are being amortized to interest expense over the delayed draw access period, until such time that the loans thereunder are drawn. These deferred costs are included in prepaid and other current assets and other non-current assets in the Company's consolidated balance sheet.</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first nine months of 2021, the Company recorded interest expense related to its revolving credit facilities of $3.0 million which consisted of $1.8 million in unused commitment fees and $1.2 million associated with the amortization of the debt issuance costs. In the first nine months of 2021, the Company recorded interest expense related to the Term Loan Facility of $0.7 million which consisted of $0.4 million in unused commitment fees, $0.2 million associated with the amortization of the debt issuance costs, and $0.1 million associated with the amortization of the original issue discount.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nine months of 2020, the Company recorded interest expense related to the Amended Revolving Credit Facility of $3.2 million which consisted of $1.3 million associated with borrowings bearing interest at the LIBO rate, $1.1 million in unused commitment fees, and $0.8 million associated with the amortization of the debt issuance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 of September 30, 2021, the Company had litigation settlement accruals of $0.1 million in continuing operations. As of December 31, 2020, the Company had litigation settlement accruals of $0.1 million and $0.5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17—Discontinued Operations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September 30, 2021.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Stash.</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62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05"/>
        </w:trPr>
        <w:tc>
          <w:tcPr>
            <w:tcW w:w="6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beginning of period</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8,249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33,464</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78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(196)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7,711</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consideration, end of period</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35,175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35,175</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could make an earnout payment ranging from zero to $23.4 million based on the achievement of certain defined performance targets for QuoteWizard during the final earnout period ending October 31, 2021. As of September 30, 2021, these performance targets are not expected to be achieved. As such, this remaining earnout payment is not expected to be made and no liability has been recorded in the accompanying consolidated balance sheet. The significant unobservable input used to estimate achievement of performance targets for the QuoteWizard contingent consideration is a 29.8% decrease in operating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Home segment includes the following products: purchase mortgage, refinance mortgage, home equity loans, reverse mortgage loans, and real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estate. The Consumer segment includes the following products: credit cards, personal loans, small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business loans, student loans, auto loans, deposit accounts, and other credit products such as credit repair and debt settlement. The Insurance segment consists of insurance quote products. Revenue from the resale of online advertising space to third parties in the first nine months of 2020 is included within the Other category. The Company ceased reselling online advertising space during the first quarter of 2020.</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in the first nine months of 2020 also includes the portion of cost of revenue attributable to costs paid for advertising re-sold to third parties.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112,422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84,837</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297,450</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58,227</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184,510</w:t>
            </w: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41,517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44,716</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26,610</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112,940</w:t>
            </w:r>
          </w:p>
        </w:tc>
      </w:tr>
      <w:tr>
        <w:trPr>
          <w:trHeight w:val="207"/>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15,020</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21,965</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40,126</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13,384</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4,808</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10,345</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7,419</w:t>
            </w: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(11,826)</w:t>
            </w:r>
          </w:p>
        </w:tc>
      </w:tr>
      <w:tr>
        <w:trPr>
          <w:trHeight w:val="23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(4,407)</w:t>
            </w:r>
          </w:p>
        </w:tc>
      </w:tr>
      <w:tr>
        <w:trPr>
          <w:trHeight w:val="440"/>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92,500</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220,251</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55,457</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136,393</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25,166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21,647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37,043</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83,858</w:t>
            </w: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13,220</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18,277</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33,705</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11,477</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3,535</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13,090</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6,658</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(16,117)</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(16,617)</w:t>
            </w:r>
          </w:p>
        </w:tc>
      </w:tr>
      <w:tr>
        <w:trPr>
          <w:trHeight w:val="219"/>
        </w:trPr>
        <w:tc>
          <w:tcPr>
            <w:tcW w:w="5180" w:type="dxa"/>
            <w:vAlign w:val="bottom"/>
          </w:tcPr>
          <w:p>
            <w:pPr>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(32,734)</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101"/>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345,408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233,594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260,714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840,214</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225,884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130,877</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168,024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525,327</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119,524</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102,717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92,690</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314,887</w:t>
            </w:r>
          </w:p>
        </w:tc>
        <w:tc>
          <w:tcPr>
            <w:tcW w:w="0" w:type="dxa"/>
            <w:vAlign w:val="bottom"/>
          </w:tcPr>
          <w:p>
            <w:pPr>
              <w:spacing w:after="0"/>
              <w:rPr>
                <w:sz w:val="1"/>
                <w:szCs w:val="1"/>
                <w:color w:val="auto"/>
              </w:rPr>
            </w:pP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42,849</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63,816</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114,926</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39,142</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12,969</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32,967</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(8,249)</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16,060</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(31,881)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40,072</w:t>
            </w:r>
          </w:p>
        </w:tc>
        <w:tc>
          <w:tcPr>
            <w:tcW w:w="0" w:type="dxa"/>
            <w:vAlign w:val="bottom"/>
          </w:tcPr>
          <w:p>
            <w:pPr>
              <w:spacing w:after="0"/>
              <w:rPr>
                <w:sz w:val="1"/>
                <w:szCs w:val="1"/>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24,251</w:t>
            </w:r>
          </w:p>
        </w:tc>
        <w:tc>
          <w:tcPr>
            <w:tcW w:w="0" w:type="dxa"/>
            <w:vAlign w:val="bottom"/>
          </w:tcPr>
          <w:p>
            <w:pPr>
              <w:spacing w:after="0"/>
              <w:rPr>
                <w:sz w:val="1"/>
                <w:szCs w:val="1"/>
                <w:color w:val="auto"/>
              </w:rPr>
            </w:pPr>
          </w:p>
        </w:tc>
      </w:tr>
      <w:tr>
        <w:trPr>
          <w:trHeight w:val="467"/>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101"/>
              <w:spacing w:after="0"/>
              <w:rPr>
                <w:sz w:val="20"/>
                <w:szCs w:val="20"/>
                <w:color w:val="auto"/>
              </w:rPr>
            </w:pPr>
            <w:r>
              <w:rPr>
                <w:rFonts w:ascii="Arial" w:cs="Arial" w:eastAsia="Arial" w:hAnsi="Arial"/>
                <w:sz w:val="14"/>
                <w:szCs w:val="14"/>
                <w:b w:val="1"/>
                <w:bCs w:val="1"/>
                <w:color w:val="auto"/>
                <w:w w:val="93"/>
              </w:rPr>
              <w:t>Nine Months Ended September 30, 2020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248,156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687,661</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cost of revenue and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132,353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121,271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150,458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406,257</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99,803</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84,148</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97,698</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281,404</w:t>
            </w:r>
          </w:p>
        </w:tc>
        <w:tc>
          <w:tcPr>
            <w:tcW w:w="0" w:type="dxa"/>
            <w:vAlign w:val="bottom"/>
          </w:tcPr>
          <w:p>
            <w:pPr>
              <w:spacing w:after="0"/>
              <w:rPr>
                <w:sz w:val="1"/>
                <w:szCs w:val="1"/>
                <w:color w:val="auto"/>
              </w:rPr>
            </w:pPr>
          </w:p>
        </w:tc>
      </w:tr>
      <w:tr>
        <w:trPr>
          <w:trHeight w:val="146"/>
        </w:trPr>
        <w:tc>
          <w:tcPr>
            <w:tcW w:w="5180" w:type="dxa"/>
            <w:vAlign w:val="bottom"/>
          </w:tcPr>
          <w:p>
            <w:pPr>
              <w:ind w:left="120"/>
              <w:spacing w:after="0" w:line="146" w:lineRule="exact"/>
              <w:rPr>
                <w:sz w:val="20"/>
                <w:szCs w:val="20"/>
                <w:color w:val="auto"/>
              </w:rPr>
            </w:pPr>
            <w:r>
              <w:rPr>
                <w:rFonts w:ascii="Arial" w:cs="Arial" w:eastAsia="Arial" w:hAnsi="Arial"/>
                <w:sz w:val="16"/>
                <w:szCs w:val="16"/>
                <w:color w:val="auto"/>
              </w:rPr>
              <w:t>Cost of revenue (exclusive of cost of advertising re-sold to third parties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39,850</w:t>
            </w:r>
          </w:p>
        </w:tc>
        <w:tc>
          <w:tcPr>
            <w:tcW w:w="0" w:type="dxa"/>
            <w:vAlign w:val="bottom"/>
          </w:tcPr>
          <w:p>
            <w:pPr>
              <w:spacing w:after="0"/>
              <w:rPr>
                <w:sz w:val="1"/>
                <w:szCs w:val="1"/>
                <w:color w:val="auto"/>
              </w:rPr>
            </w:pPr>
          </w:p>
        </w:tc>
      </w:tr>
      <w:tr>
        <w:trPr>
          <w:trHeight w:val="209"/>
        </w:trPr>
        <w:tc>
          <w:tcPr>
            <w:tcW w:w="5180" w:type="dxa"/>
            <w:vAlign w:val="bottom"/>
          </w:tcPr>
          <w:p>
            <w:pPr>
              <w:ind w:left="120"/>
              <w:spacing w:after="0"/>
              <w:rPr>
                <w:sz w:val="20"/>
                <w:szCs w:val="20"/>
                <w:color w:val="auto"/>
              </w:rPr>
            </w:pPr>
            <w:r>
              <w:rPr>
                <w:rFonts w:ascii="Arial" w:cs="Arial" w:eastAsia="Arial" w:hAnsi="Arial"/>
                <w:sz w:val="16"/>
                <w:szCs w:val="16"/>
                <w:color w:val="auto"/>
              </w:rPr>
              <w:t>included above)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58,958</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94,276</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10,463</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40,603</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7,711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(2,916)</w:t>
            </w: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(29,315)</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A portion of the purchase price received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HLC agreed to retain certain liability for losses on previously sold loans.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related bankruptcy and legal proceedings against the Company are included in discontinued operations in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HLC’s voluntary petition under the Bankruptcy Code does not represent an event of default under the Company’s Credit Agreement dated as of September 15, 2021, the Company’s indenture dated May 31, 2017 with respect to the Company’s 0.625% Convertible Senior Notes due 2022, or the Company’s indenture dated July 24, 2020 with respect to the Company’s 0.50% Convertible Senior Notes due 2025.</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its bankruptcy, HLC indicated that it believed that it had claims against HLC’s sole shareholder, LendingTree, LLC, and certain of its officers and directors, relating to the declaration of a dividend by HLC in January 2016 of $40.0 million.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entered into a settlement agreement in the amount of $36.0 million for the release of any and all claims against the Company defendants by HLC, including the dividend claim. The bankruptcy court held a hearing on July 16, 2020 on the motion to approve the settlement to which no objections were made, and approved the settlement the same day. The $36.0 million settlement payment was made in the third quarter of 2020.</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ResCap Liquidating Trust v. Home Loan Center, Inc., Case No. 14-cv-1716 (U.S. Dist. Ct., Minn.), </w:t>
      </w:r>
      <w:r>
        <w:rPr>
          <w:rFonts w:ascii="Arial" w:cs="Arial" w:eastAsia="Arial" w:hAnsi="Arial"/>
          <w:sz w:val="16"/>
          <w:szCs w:val="16"/>
          <w:color w:val="auto"/>
        </w:rPr>
        <w:t>successor to</w:t>
      </w:r>
      <w:r>
        <w:rPr>
          <w:rFonts w:ascii="Arial" w:cs="Arial" w:eastAsia="Arial" w:hAnsi="Arial"/>
          <w:sz w:val="16"/>
          <w:szCs w:val="16"/>
          <w:i w:val="1"/>
          <w:iCs w:val="1"/>
          <w:color w:val="auto"/>
        </w:rPr>
        <w:t xml:space="preserve"> Residential Funding Company, LLC v Home Loan Center, Inc., No. 13-cv-3451 (U.S. Dist. Ct., Minn.). </w:t>
      </w:r>
      <w:r>
        <w:rPr>
          <w:rFonts w:ascii="Arial" w:cs="Arial" w:eastAsia="Arial" w:hAnsi="Arial"/>
          <w:sz w:val="16"/>
          <w:szCs w:val="16"/>
          <w:color w:val="auto"/>
        </w:rPr>
        <w:t>On or about December 16, 2013, Home Loan Center, Inc. was served in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filed for bankruptcy protection in May 2012. Plaintiff alleged that, after RFC filed for Chapter 11 protection, hundreds of proofs of claim were filed, many of which mirrored the litigation filed against RFC prior to its bankruptcy.</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HLC’s filing under the Bankruptcy Code discussed above in Home Loan Center, Inc. Bankruptcy Filing created an automatic stay of enforcement of the judgment entered against HLC by the U.S. District Court in Minnesota. On August 27, 2019, plaintiff filed a lawsuit captioned </w:t>
      </w:r>
      <w:r>
        <w:rPr>
          <w:rFonts w:ascii="Arial" w:cs="Arial" w:eastAsia="Arial" w:hAnsi="Arial"/>
          <w:sz w:val="16"/>
          <w:szCs w:val="16"/>
          <w:i w:val="1"/>
          <w:iCs w:val="1"/>
          <w:color w:val="auto"/>
        </w:rPr>
        <w:t>ResCap Liquidating</w:t>
      </w:r>
      <w:r>
        <w:rPr>
          <w:rFonts w:ascii="Arial" w:cs="Arial" w:eastAsia="Arial" w:hAnsi="Arial"/>
          <w:sz w:val="16"/>
          <w:szCs w:val="16"/>
          <w:color w:val="auto"/>
        </w:rPr>
        <w:t xml:space="preserve"> </w:t>
      </w:r>
      <w:r>
        <w:rPr>
          <w:rFonts w:ascii="Arial" w:cs="Arial" w:eastAsia="Arial" w:hAnsi="Arial"/>
          <w:sz w:val="16"/>
          <w:szCs w:val="16"/>
          <w:i w:val="1"/>
          <w:iCs w:val="1"/>
          <w:color w:val="auto"/>
        </w:rPr>
        <w:t>Trust v. LendingTree, LLC, et al., Case No. 19-cv-2360 (U.S. Dist. Ct., Minn.)</w:t>
      </w:r>
      <w:r>
        <w:rPr>
          <w:rFonts w:ascii="Arial" w:cs="Arial" w:eastAsia="Arial" w:hAnsi="Arial"/>
          <w:sz w:val="16"/>
          <w:szCs w:val="16"/>
          <w:color w:val="auto"/>
        </w:rPr>
        <w:t>, seeking to hold the Company liable for the judgment against HLC, under</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 of liability, agency and alter ego theories. On June 17, 2020, the Company entered into a settlement agreement with ResCap, pursuant to which, the Company agreed to, among other things, pay ResCap $58.5 million, less any amounts ResCap receives in the HLC bankruptcy, in exchange for, among other things, ResCap releasing any and all claims against the Company, and the Company’s directors and officers, including any claims asserted in ResCap v. LendingTree. Pursuant to the settlement agreement, the Company was responsible for the difference of $58.5 million minus the amount that ResCap received through the HLC Bankruptcy. In the third and fourth quarters of 2020, the Company made payments of $26.5 million and $6.4 million, respectively, to the ResCap Liquidating Trust, and the ResCap Liquidating Trust, in turn, assigned its allowed claims against HLC to the Company. In the second quarter of 2021, the Company received a refund of $8.6 million related to these amounts, from the final distributions in the HLC Bankruptcy on account of the allowed claims that the ResCap Liquidating Trust had assigned to the Company.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Lehman Brothers Holdings Inc. v. 1st Advantage Mortgage, LLC et al., Case No. 08-13555 (SCC), Adversary Proceeding No. 16-01342 (SCC) (Bankr. S.D.N.Y.). </w:t>
      </w:r>
      <w:r>
        <w:rPr>
          <w:rFonts w:ascii="Arial" w:cs="Arial" w:eastAsia="Arial" w:hAnsi="Arial"/>
          <w:sz w:val="18"/>
          <w:szCs w:val="18"/>
          <w:color w:val="auto"/>
        </w:rPr>
        <w:t>In February 2016, Lehman Brothers Holdings, Inc. (“LBHI”) filed an Adversary Complaint against HLC and approximately 149 other</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(the "Complaint"). On December 4, 2019, LBHI filed a $44.7 million proof of claim in HLC’s bankruptcy seeking recovery for the claims asserted in the lawsuit.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HLC’s filing under the Bankruptcy Code discussed above in Home Loan Center, Inc. Bankruptcy Filing created an automatic stay of this proceeding. On June 11, 2020, LBHI filed a lawsuit captioned </w:t>
      </w:r>
      <w:r>
        <w:rPr>
          <w:rFonts w:ascii="Arial" w:cs="Arial" w:eastAsia="Arial" w:hAnsi="Arial"/>
          <w:sz w:val="18"/>
          <w:szCs w:val="18"/>
          <w:i w:val="1"/>
          <w:iCs w:val="1"/>
          <w:color w:val="auto"/>
        </w:rPr>
        <w:t>Lehman Brothers Holdings Inc. v. LendingTree, LLC, et al., Case No. 20-cv-01351 (U.S. Dist. Ct.,</w:t>
      </w:r>
      <w:r>
        <w:rPr>
          <w:rFonts w:ascii="Arial" w:cs="Arial" w:eastAsia="Arial" w:hAnsi="Arial"/>
          <w:sz w:val="18"/>
          <w:szCs w:val="18"/>
          <w:color w:val="auto"/>
        </w:rPr>
        <w:t xml:space="preserve"> </w:t>
      </w:r>
      <w:r>
        <w:rPr>
          <w:rFonts w:ascii="Arial" w:cs="Arial" w:eastAsia="Arial" w:hAnsi="Arial"/>
          <w:sz w:val="18"/>
          <w:szCs w:val="18"/>
          <w:i w:val="1"/>
          <w:iCs w:val="1"/>
          <w:color w:val="auto"/>
        </w:rPr>
        <w:t>Minn.), transferred to Case No. 08-13555 (SCC), Adversary Proceeding No. 21-01107 (SCC) (Bankr. S.D.N.Y.)</w:t>
      </w:r>
      <w:r>
        <w:rPr>
          <w:rFonts w:ascii="Arial" w:cs="Arial" w:eastAsia="Arial" w:hAnsi="Arial"/>
          <w:sz w:val="18"/>
          <w:szCs w:val="18"/>
          <w:color w:val="auto"/>
        </w:rPr>
        <w:t>, seeking to hold the Company liable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allowed bankruptcy claim of $13.3 million. In July 2021, the Company reached a settlement with LBHI, which payment was made in the third quarter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components of net (loss) income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1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6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1,201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w:t>
            </w:r>
          </w:p>
        </w:tc>
      </w:tr>
      <w:tr>
        <w:trPr>
          <w:trHeight w:val="230"/>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 income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8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166</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(25,550)</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legal proceedings against LendingTree, Inc. or LendingTree, LLC that arose due to the LendingTree Loans Business or the HLC bankruptcy filing.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2021, the Company entered into a stock transfer agreement with third parties to sell a portion of its Stash equity securities for $46.3 million. The Company sold $35.3 million in October and will close on an additional $11.0 million in December 2021. During the fourth quarter of 2021, the Company will record a realized gain of $27.9 million based on the sale of Stash equity securities under the stock transfer agreement. Additionally, we anticipate net unrealized gains of $55.3 million as a result of an adjustment to the fair value of the Stash equity securities still held by the Company based on observable market events.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2020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discussion under the heading "Discontinued Operations," the analysis within Management's Discussion and Analysis of Financial Condition and Results of Operations reflects our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affected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Of our three reportable segments, the Consumer segment has been most impacted. The impact to our Home and Insurance segments was much less substantial and these segments recovered by the end of 2020. While forecasting the timeline of full recovery for the Consumer segment remains challenging, the momentum of recovery has increased in each quarter subsequent to the onset of the COVID-19 pandemic. We are encouraged by the progress made, and continue to view the Consumer segment with optimism over the medium to long term.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February 28, 2020, we acquired an equity interest in Stash Financial, Inc. (“Stash”) for $80.0 million. On January 6, 2021, we acquired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In October 2021, we entered into a stock transfer agreement with third parties to sell a portion of our Stash equity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and Note 18—Subsequent Event for additional information on the equity interest in Stash.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contractually commenced in April 2021.</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refinancings and, accordingly, lenders receive more organic mortgage lead volume. Due to lower lender demand, our revenue earned per consumer typically decreases, but with correspondingly lower selling and marketing costs.</w:t>
      </w:r>
    </w:p>
    <w:p>
      <w:pPr>
        <w:spacing w:after="0" w:line="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generally increased from a monthly average of 2.68% in December 2020 to a monthly average of 2.90% in September 2021. On a quarterly basis, 30-year mortgage interest rates in the third quarter of 2021 averaged 2.87%, compared to 2.95% in the third quarter of 2020 and 3.00% in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74295</wp:posOffset>
            </wp:positionV>
            <wp:extent cx="5057775" cy="3232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57775"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remained relatively consistent at 55% of total mortgage origination dollars in the third quarter of 2021 compared to 56% in the second quarter of 2021. In the third quarter of 2021, total refinance origination dollars decreased 15% from the second quarter of 2021 and decreased 31% from the third quarter of 2020. Industry-wide mortgage origination dollars in the third quarter of 2021 decreased 13% from the second quarter of 2021 and decreased 21% from the third quarter of 2020.</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2021, the MBA projected 30-year mortgage interest rates to increase during 2021, to an average 3.1% for the year. According to MBA projections, the mix of mortgage origination dollars is expected to move back towards purchase mortgages with the refinance share representing approximately 59% for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According to Fannie Mae data, existing-home sales increased 2% in the third quarter of 2021 compared to the second quarter of 2021, and decreased 3% compared to the third quarter of 2020. Fannie Mae predicts an overall increase in existing-home sales of approximately 6% in 2021 compared to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6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840" w:type="dxa"/>
            <w:vAlign w:val="bottom"/>
          </w:tcPr>
          <w:p>
            <w:pPr>
              <w:jc w:val="right"/>
              <w:ind w:right="424"/>
              <w:spacing w:after="0" w:line="13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6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840" w:type="dxa"/>
            <w:vAlign w:val="bottom"/>
          </w:tcPr>
          <w:p>
            <w:pPr>
              <w:jc w:val="right"/>
              <w:ind w:right="444"/>
              <w:spacing w:after="0" w:line="13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44"/>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gridSpan w:val="5"/>
          </w:tcPr>
          <w:p>
            <w:pPr>
              <w:jc w:val="right"/>
              <w:ind w:right="264"/>
              <w:spacing w:after="0"/>
              <w:rPr>
                <w:sz w:val="20"/>
                <w:szCs w:val="20"/>
                <w:color w:val="auto"/>
              </w:rPr>
            </w:pPr>
            <w:r>
              <w:rPr>
                <w:rFonts w:ascii="Arial" w:cs="Arial" w:eastAsia="Arial" w:hAnsi="Arial"/>
                <w:sz w:val="13"/>
                <w:szCs w:val="13"/>
                <w:b w:val="1"/>
                <w:bCs w:val="1"/>
                <w:i w:val="1"/>
                <w:iCs w:val="1"/>
                <w:color w:val="auto"/>
              </w:rPr>
              <w:t>(Dollars 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Home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112,422</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78,859</w:t>
            </w:r>
          </w:p>
        </w:tc>
        <w:tc>
          <w:tcPr>
            <w:tcW w:w="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33,563</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345,408</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232,156</w:t>
            </w:r>
          </w:p>
        </w:tc>
        <w:tc>
          <w:tcPr>
            <w:tcW w:w="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113,252</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Consumer</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100,011</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48,377</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51,634</w:t>
            </w:r>
          </w:p>
        </w:tc>
        <w:tc>
          <w:tcPr>
            <w:tcW w:w="700" w:type="dxa"/>
            <w:vAlign w:val="bottom"/>
          </w:tcPr>
          <w:p>
            <w:pPr>
              <w:jc w:val="right"/>
              <w:spacing w:after="0"/>
              <w:rPr>
                <w:sz w:val="20"/>
                <w:szCs w:val="20"/>
                <w:color w:val="auto"/>
              </w:rPr>
            </w:pPr>
            <w:r>
              <w:rPr>
                <w:rFonts w:ascii="Arial" w:cs="Arial" w:eastAsia="Arial" w:hAnsi="Arial"/>
                <w:sz w:val="15"/>
                <w:szCs w:val="15"/>
                <w:color w:val="auto"/>
              </w:rPr>
              <w:t>107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233,594</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205,419</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28,175</w:t>
            </w:r>
          </w:p>
        </w:tc>
        <w:tc>
          <w:tcPr>
            <w:tcW w:w="680" w:type="dxa"/>
            <w:vAlign w:val="bottom"/>
          </w:tcPr>
          <w:p>
            <w:pPr>
              <w:jc w:val="right"/>
              <w:spacing w:after="0"/>
              <w:rPr>
                <w:sz w:val="20"/>
                <w:szCs w:val="20"/>
                <w:color w:val="auto"/>
              </w:rPr>
            </w:pPr>
            <w:r>
              <w:rPr>
                <w:rFonts w:ascii="Arial" w:cs="Arial" w:eastAsia="Arial" w:hAnsi="Arial"/>
                <w:sz w:val="15"/>
                <w:szCs w:val="15"/>
                <w:color w:val="auto"/>
              </w:rPr>
              <w:t>14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Insurance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84,837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92,500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(7,663)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260,714</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248,156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12,558</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515</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(335)</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(65)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1,930</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(1,432)</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(74) %</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297,450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220,251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77,199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35 %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840,214</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687,661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152,553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22 %</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5"/>
                <w:szCs w:val="15"/>
                <w:color w:val="auto"/>
              </w:rPr>
              <w:t>Costs and expenses: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4"/>
              </w:rPr>
              <w:t>Cost of revenue (exclusive of depreciation and amortization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15,020</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13,220</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1,800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42,849</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40,936</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1,913</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shown separately below)</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Selling and marketing expense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206,475</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154,670</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51,805</w:t>
            </w:r>
          </w:p>
        </w:tc>
        <w:tc>
          <w:tcPr>
            <w:tcW w:w="700" w:type="dxa"/>
            <w:vAlign w:val="bottom"/>
          </w:tcPr>
          <w:p>
            <w:pPr>
              <w:jc w:val="right"/>
              <w:spacing w:after="0"/>
              <w:rPr>
                <w:sz w:val="20"/>
                <w:szCs w:val="20"/>
                <w:color w:val="auto"/>
              </w:rPr>
            </w:pPr>
            <w:r>
              <w:rPr>
                <w:rFonts w:ascii="Arial" w:cs="Arial" w:eastAsia="Arial" w:hAnsi="Arial"/>
                <w:sz w:val="15"/>
                <w:szCs w:val="15"/>
                <w:color w:val="auto"/>
              </w:rPr>
              <w:t>33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589,143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464,129</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125,014</w:t>
            </w:r>
          </w:p>
        </w:tc>
        <w:tc>
          <w:tcPr>
            <w:tcW w:w="680" w:type="dxa"/>
            <w:vAlign w:val="bottom"/>
          </w:tcPr>
          <w:p>
            <w:pPr>
              <w:jc w:val="right"/>
              <w:spacing w:after="0"/>
              <w:rPr>
                <w:sz w:val="20"/>
                <w:szCs w:val="20"/>
                <w:color w:val="auto"/>
              </w:rPr>
            </w:pPr>
            <w:r>
              <w:rPr>
                <w:rFonts w:ascii="Arial" w:cs="Arial" w:eastAsia="Arial" w:hAnsi="Arial"/>
                <w:sz w:val="15"/>
                <w:szCs w:val="15"/>
                <w:color w:val="auto"/>
              </w:rPr>
              <w:t>27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40,126</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33,705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6,421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114,926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94,276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20,650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Product development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13,384</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11,477</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1,907</w:t>
            </w:r>
          </w:p>
        </w:tc>
        <w:tc>
          <w:tcPr>
            <w:tcW w:w="700" w:type="dxa"/>
            <w:vAlign w:val="bottom"/>
          </w:tcPr>
          <w:p>
            <w:pPr>
              <w:jc w:val="right"/>
              <w:spacing w:after="0"/>
              <w:rPr>
                <w:sz w:val="20"/>
                <w:szCs w:val="20"/>
                <w:color w:val="auto"/>
              </w:rPr>
            </w:pPr>
            <w:r>
              <w:rPr>
                <w:rFonts w:ascii="Arial" w:cs="Arial" w:eastAsia="Arial" w:hAnsi="Arial"/>
                <w:sz w:val="15"/>
                <w:szCs w:val="15"/>
                <w:color w:val="auto"/>
              </w:rPr>
              <w:t>17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39,142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33,252</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5,890</w:t>
            </w:r>
          </w:p>
        </w:tc>
        <w:tc>
          <w:tcPr>
            <w:tcW w:w="680" w:type="dxa"/>
            <w:vAlign w:val="bottom"/>
          </w:tcPr>
          <w:p>
            <w:pPr>
              <w:jc w:val="right"/>
              <w:spacing w:after="0"/>
              <w:rPr>
                <w:sz w:val="20"/>
                <w:szCs w:val="20"/>
                <w:color w:val="auto"/>
              </w:rPr>
            </w:pPr>
            <w:r>
              <w:rPr>
                <w:rFonts w:ascii="Arial" w:cs="Arial" w:eastAsia="Arial" w:hAnsi="Arial"/>
                <w:sz w:val="15"/>
                <w:szCs w:val="15"/>
                <w:color w:val="auto"/>
              </w:rPr>
              <w:t>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1,273</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10,463</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2,506</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Amortization of intangibles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10,345</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13,090</w:t>
            </w:r>
          </w:p>
        </w:tc>
        <w:tc>
          <w:tcPr>
            <w:tcW w:w="140" w:type="dxa"/>
            <w:vAlign w:val="bottom"/>
          </w:tcPr>
          <w:p>
            <w:pPr>
              <w:spacing w:after="0"/>
              <w:rPr>
                <w:sz w:val="17"/>
                <w:szCs w:val="17"/>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(2,745)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(21)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32,967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40,603</w:t>
            </w:r>
          </w:p>
        </w:tc>
        <w:tc>
          <w:tcPr>
            <w:tcW w:w="140" w:type="dxa"/>
            <w:vAlign w:val="bottom"/>
          </w:tcPr>
          <w:p>
            <w:pPr>
              <w:spacing w:after="0"/>
              <w:rPr>
                <w:sz w:val="17"/>
                <w:szCs w:val="17"/>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(7,636)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contingent consideration</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(6,854)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(15,960)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(207) %</w:t>
            </w:r>
          </w:p>
        </w:tc>
        <w:tc>
          <w:tcPr>
            <w:tcW w:w="0" w:type="dxa"/>
            <w:vAlign w:val="bottom"/>
          </w:tcPr>
          <w:p>
            <w:pPr>
              <w:spacing w:after="0"/>
              <w:rPr>
                <w:sz w:val="1"/>
                <w:szCs w:val="1"/>
                <w:color w:val="auto"/>
              </w:rPr>
            </w:pP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47</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47</w:t>
            </w:r>
          </w:p>
        </w:tc>
        <w:tc>
          <w:tcPr>
            <w:tcW w:w="700" w:type="dxa"/>
            <w:vAlign w:val="bottom"/>
          </w:tcPr>
          <w:p>
            <w:pPr>
              <w:jc w:val="right"/>
              <w:spacing w:after="0"/>
              <w:rPr>
                <w:sz w:val="20"/>
                <w:szCs w:val="20"/>
                <w:color w:val="auto"/>
              </w:rPr>
            </w:pPr>
            <w:r>
              <w:rPr>
                <w:rFonts w:ascii="Arial" w:cs="Arial" w:eastAsia="Arial" w:hAnsi="Arial"/>
                <w:sz w:val="15"/>
                <w:szCs w:val="15"/>
                <w:color w:val="auto"/>
              </w:rPr>
              <w:t>100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190</w:t>
            </w:r>
          </w:p>
        </w:tc>
        <w:tc>
          <w:tcPr>
            <w:tcW w:w="140" w:type="dxa"/>
            <w:vAlign w:val="bottom"/>
          </w:tcPr>
          <w:p>
            <w:pPr>
              <w:spacing w:after="0"/>
              <w:rPr>
                <w:sz w:val="17"/>
                <w:szCs w:val="17"/>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(143)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(75) %</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Litigation settlements and contingencies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1,343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costs and expenses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290,031</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236,368</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53,663</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23 %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824,154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690,577</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133,577</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19 %</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7,419</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(16,117)</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23,536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146 %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16,060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(2,916)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18,976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651 %</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5"/>
                <w:szCs w:val="15"/>
                <w:color w:val="auto"/>
              </w:rPr>
              <w:t>Other (expense) income, net: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 net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(11,826)</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(16,617)</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(4,791)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(31,881)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(26,406)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5,475</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 income</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 %</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40,072</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40,065</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6"/>
              </w:rPr>
              <w:t>n/a</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income before income taxes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(4,407)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(32,734)</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(28,327)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24,251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(29,315)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53,566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183 %</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benefit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7,925</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(7,924)</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(100)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14,866</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(14,411)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(97) %</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 income from continuing operations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(4,406)</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(24,809)</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(20,403)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24,706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(14,449)</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39,155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271 %</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(Loss) income from discontinued operations, net of tax</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(220)</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(133) %</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(3,516)</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(25,550)</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(22,034)</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(86) %</w:t>
            </w:r>
          </w:p>
        </w:tc>
        <w:tc>
          <w:tcPr>
            <w:tcW w:w="0" w:type="dxa"/>
            <w:vAlign w:val="bottom"/>
          </w:tcPr>
          <w:p>
            <w:pPr>
              <w:spacing w:after="0"/>
              <w:rPr>
                <w:sz w:val="1"/>
                <w:szCs w:val="1"/>
                <w:color w:val="auto"/>
              </w:rPr>
            </w:pPr>
          </w:p>
        </w:tc>
      </w:tr>
      <w:tr>
        <w:trPr>
          <w:trHeight w:val="207"/>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(loss) income and comprehensive (loss) income</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(4,460)</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(24,643)</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(20,183)</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(82)%</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21,190</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(39,999)</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61,189</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153 %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increased in the third quarter of 2021 compared to the third quarter of 2020 due to increases in our Consumer and Home segments, partially offset by decreases in our Insurance segment and Other category. Revenue increased in the first nine months of 2021 compared to the first nine months of 2020 due to increases in our Home, Consumer and Insurance segments, partially offset by a decrease in our Other category.</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$51.6 million in the third quarter of 2021 from the third quarter of 2020, or 107%, primarily due to increases in our personal loans, credit cards, and small business loans products. Revenue from our Consumer segment increased $28.2 million in the first nine months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2021 from the first nine months of 2020, or 14%, primarily due to increases in our personal loans and small business loans products.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our personal loans product increased $21.3 million to $33.8 million in the third quarter of 2021 from $12.5 million in the third quarter of 2020, or 170%, due to an increase in the number of consumers completing request forms as well as an increase in revenue earned per consumer. Revenue from our personal loans product increased $21.1 million to $73.9 million in the first nine months of 2021 from $52.8 million in the first nine months of 2020, or 40%, primarily due to an increase in revenue earned per consumer, partially offset by a decrease in the number of consumers completing request forms.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Revenue from our credit cards product increased $20.3 million in the third quarter of 2021 compared to the third quarter of 2020, due to an increase in the number of approvals and an increase in revenue earned per approval. Revenue from our small business loans product increased $11.4 million in the third quarter of 2021 compared to the third quarter of 2020, and increased $12.5 million in the first nine months of 2021 compared to the first nine months of 2020, due to loosening underwriting standards and improved flow of capital, as well as an increase in revenue earned per consumer.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ongoing COVID-19 pandemic is anticipated to continue to impact our Consumer product revenues in the near-term.</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Home segment includes the following products: purchase mortgage, refinance mortgage, home equity loans, reverse mortgage loans, and real estate. Revenue from our Home segment increased $33.6 million in the third quarter of 2021 from the third quarter of 2020, or 43%, primarily due to increases in revenue from our refinance mortgage, purchase mortgage, and home equity loans products. Revenue from our Home segment increased $113.3 million in the first nine months of 2021 from the first nine months of 2020, or 49%, primarily due to increases in revenue from those same products. Revenue from our refinance mortgage product increased $12.6 million in the third quarter of 2021 compared to the third quarter of 2020, and increased $77.3 million in the first nine months of 2021 compared to the first nine months of 2020, due to an increase in revenue earned per consumer, partially offset by a decrease in the number of consumers completing request forms. Revenue from our home equity loans product increased $11.9 million in the third quarter of 2021 compared to the third quarter of 2020, and increased $21.8 million in the first nine months of 2021 compared to the first nine months of 2020. Revenue from our purchase mortgage product increased $9.1 million in the third quarter of 2021 compared to the third quarter of 2020, and increased $14.6 million in the first nine months of 2021 compared to the first nine months of 2020. Revenue from our home equity loans product and our purchase mortgage product increased due to a shift in both lender and consumer focus away from refinance products as well as an increase in revenue earned per consumer.</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our Insurance segment decreased $7.7 million to $84.8 million in the third quarter of 2021 from $92.5 million in the third quarter of 2020, or 8%, due to a decrease in revenue earned per consumer, partially offset by an increase in the number of consumers seeking insurance coverage. Revenue from our Insurance segment increased $12.6 million to $260.7 million in the first nine months of 2021 from $248.2 million in the first nine months of 2020, or 5%, due to an increase in the number of consumers seeking insurance coverage, partially offset by a decrease in revenue earned per consumer.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the Other category decreased $1.4 million in the first nine months of 2021 compared to the first nine months of 2020, primarily as we ceased reselling online advertising space during the first quarter of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increased in the third quarter of 2021 from the third quarter of 2020, primarily due to an increase in compensation and benefits of $1.3 million. Cost of revenue increased in the first nine months of 2021 from the first nine months of 2020, primarily due to an increase in compensation and benefits of $3.1 million, partially offset by a $2.3 million decrease in credit card fees.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decreased to 5% in the third quarter and first nine months of 2021 compared to 6% in the third quarter and first nine months of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marketing expense increased in the third quarter and first nine months of 2021 compared to the third quarter and first nine months of 2020 primarily due to the increases in advertising and promotional expense discussed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left="542"/>
              <w:spacing w:after="0"/>
              <w:rPr>
                <w:sz w:val="20"/>
                <w:szCs w:val="20"/>
                <w:color w:val="auto"/>
              </w:rPr>
            </w:pPr>
            <w:r>
              <w:rPr>
                <w:rFonts w:ascii="Arial" w:cs="Arial" w:eastAsia="Arial" w:hAnsi="Arial"/>
                <w:sz w:val="14"/>
                <w:szCs w:val="14"/>
                <w:b w:val="1"/>
                <w:bCs w:val="1"/>
                <w:color w:val="auto"/>
                <w:w w:val="93"/>
              </w:rPr>
              <w:t>Three Months Ended September 30,</w:t>
            </w: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060" w:type="dxa"/>
            <w:vAlign w:val="bottom"/>
          </w:tcPr>
          <w:p>
            <w:pPr>
              <w:jc w:val="right"/>
              <w:ind w:right="642"/>
              <w:spacing w:after="0" w:line="13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24"/>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040" w:type="dxa"/>
            <w:vAlign w:val="bottom"/>
          </w:tcPr>
          <w:p>
            <w:pPr>
              <w:jc w:val="right"/>
              <w:ind w:right="622"/>
              <w:spacing w:after="0" w:line="13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20" w:type="dxa"/>
            <w:vAlign w:val="bottom"/>
            <w:gridSpan w:val="5"/>
          </w:tcPr>
          <w:p>
            <w:pPr>
              <w:jc w:val="right"/>
              <w:ind w:right="321"/>
              <w:spacing w:after="0"/>
              <w:rPr>
                <w:sz w:val="20"/>
                <w:szCs w:val="20"/>
                <w:color w:val="auto"/>
              </w:rPr>
            </w:pPr>
            <w:r>
              <w:rPr>
                <w:rFonts w:ascii="Arial" w:cs="Arial" w:eastAsia="Arial" w:hAnsi="Arial"/>
                <w:sz w:val="13"/>
                <w:szCs w:val="13"/>
                <w:b w:val="1"/>
                <w:bCs w:val="1"/>
                <w:i w:val="1"/>
                <w:iCs w:val="1"/>
                <w:color w:val="auto"/>
              </w:rPr>
              <w:t>(Dollars in thousands)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Online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185,214</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136,496</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48,718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527,073</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405,993</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121,080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Broadcast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2,662</w:t>
            </w:r>
          </w:p>
        </w:tc>
        <w:tc>
          <w:tcPr>
            <w:tcW w:w="200" w:type="dxa"/>
            <w:vAlign w:val="bottom"/>
          </w:tcPr>
          <w:p>
            <w:pPr>
              <w:spacing w:after="0"/>
              <w:rPr>
                <w:sz w:val="18"/>
                <w:szCs w:val="18"/>
                <w:color w:val="auto"/>
              </w:rPr>
            </w:pPr>
          </w:p>
        </w:tc>
        <w:tc>
          <w:tcPr>
            <w:tcW w:w="1060" w:type="dxa"/>
            <w:vAlign w:val="bottom"/>
          </w:tcPr>
          <w:p>
            <w:pPr>
              <w:jc w:val="right"/>
              <w:ind w:right="262"/>
              <w:spacing w:after="0"/>
              <w:rPr>
                <w:sz w:val="20"/>
                <w:szCs w:val="20"/>
                <w:color w:val="auto"/>
              </w:rPr>
            </w:pPr>
            <w:r>
              <w:rPr>
                <w:rFonts w:ascii="Arial" w:cs="Arial" w:eastAsia="Arial" w:hAnsi="Arial"/>
                <w:sz w:val="16"/>
                <w:szCs w:val="16"/>
                <w:color w:val="auto"/>
              </w:rPr>
              <w:t>403</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12,140</w:t>
            </w:r>
          </w:p>
        </w:tc>
        <w:tc>
          <w:tcPr>
            <w:tcW w:w="20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Arial" w:cs="Arial" w:eastAsia="Arial" w:hAnsi="Arial"/>
                <w:sz w:val="16"/>
                <w:szCs w:val="16"/>
                <w:color w:val="auto"/>
              </w:rPr>
              <w:t>(5,259)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301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12,891</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9,588</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3,303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advertising expense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191,547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142,125</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49,422</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35 %</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546,845</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427,721</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119,124</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adjusted our advertising expenditures in the third quarter and first nine months of 2021 compared to the third quarter and first nine months of 2020 in response to changes in Network Partner demand on our marketplace as a result of the ongoing COVID-19 pandemic discussed above. We will continue to adjust selling and marketing expenditures dynamically in relation to this and in response to anticipated revenue opportunities.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increased in the third quarter of 2021 compared to the third quarter of 2020, primarily due to increases in compensation and benefits of $4.3 million and technology expense of $1.3 million. General and administrative expense increased in the first nine months of 2021 compared to the first nine months of 2020, primarily due to increases in compensation and benefits, technology expense, and facilities expense of $14.5 million, $3.6 million, and $2.4 million,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13% in the third quarter of 2021 compared to 15% in the third quarter of 2020, and remained consistent at 14% in both the first nine months of 2021 and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third quarter and first nine months of 2021 compared to the third quarter and first nine months of 2020 as we continued to invest in internal development of new and enhanced features, functionality and business opportunities that we believe will enable us to better and more fully serve consumers and Network Partners.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increase in depreciation expense in the third quarter and first nine months of 2021 compared to the third quarter and first nine months of 2020 was primarily the result of depreciation on assets related to our new corporate office, which lease contractually commenced in the second quarter of 2021.</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amortization of intangibles in the third quarter and first nine months of 2021 compared to the third quarter and first nine months of 2020 was due to certain intangible assets associated with our recent business acquisitions becoming fully amortized.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third quarter and first nine months of 2021, we recorded contingent consideration gains of $0.2 million and $8.2 million, respectively, due to adjustments in the estimated fair value of the remaining earnout payment related to the QuoteWizard acquisition.</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third quarter and first nine months of 2020, we recorded aggregate contingent consideration expense of $6.7 million and $7.7 million, respectively, due to adjustments in the estimated fair value of the earnout payments related to our recent acquisitions. For the third quarter of 2020, the contingent consideration expense for the QuoteWizard and Ovation acquisitions was $6.6 million and $0.1 million, respectively. For the first nine months of 2020, the contingent consideration expense for the QuoteWizard, Ovation and SnapCap acquisitions was $6.4 million, $1.3 million and $0.1 million,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expense decreased in the third quarter of 2021 compared to the third quarter of 2020, primarily due to a loss on debt extinguishment of $7.8 million recognized upon the partial repurchase of the 0.625% Convertible Senior Notes due June 1, 2022 (the “2022 Notes”) in July 2020.</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expense increased in the first nine months of 2021 compared to the first nine months of 2020 primarily due to the issuance of the 0.50% Convertible Senior Notes due July 15, 2025 (the “2025 Notes”) as well as the partial repurchase of the 2022 Notes in July 2020. Interest expense was recognized on the 2025 Notes during the entire first nine months of 2021, compared to a partial period of the first nine months of 2020. This incremental interest expense was partially offset by lower interest expense on the 2022 Notes in the first nine months of 2021 compared to the first nine months of 2020 as a result of the July 2020 partial repurchase of the notes. The overall increase was further offset by the loss on debt extinguishment of $7.8 million recognized in July 2020, noted above.</w:t>
      </w:r>
    </w:p>
    <w:p>
      <w:pPr>
        <w:spacing w:after="0" w:line="84" w:lineRule="exact"/>
        <w:rPr>
          <w:sz w:val="20"/>
          <w:szCs w:val="20"/>
          <w:color w:val="auto"/>
        </w:rPr>
      </w:pPr>
    </w:p>
    <w:p>
      <w:pPr>
        <w:ind w:left="340" w:right="1840"/>
        <w:spacing w:after="0" w:line="438"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13—Debt for additional information on the issuance of the 2025 Notes and the partial repurchase of the 2022 Notes.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Other income</w:t>
      </w:r>
    </w:p>
    <w:p>
      <w:pPr>
        <w:spacing w:after="0" w:line="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the first nine months of 2021, other income primarily consists of a $40.1 million gain on our investment in Stash as a result of an adjustment to the fair value based on observable market events.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7—Equity Investment for additional information on the equity interest in Stash.</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third quarter and first nine months of 2021, the effective tax rate varied from the federal statutory rate of 21% in part due to an excess tax expense of $0.9 million and an excess tax benefit of $7.4 million, respectively, resulting from employee exercises of stock options and vesting of restricted stock in accordance with ASU 2016-09 and the effect of state taxes.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third quarter and first nine months of 2020, the effective tax rate varied from the federal statutory rate of 21% in part due to a tax benefit of $0.2 million and $2.0 million, respectively, recognized for excess tax benefits resulting from employee exercises of stock options and vesting of restricted stock in accordance with ASU 2016-09 and the effect of state taxes. The effective tax rate for the first nine months of 2020 was also impacted by a tax benefit of $6.1 million for the impact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the Coronavirus Aid, Relief, and Economic Security ("CARES") Act.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12—Income Taxes for additional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116" w:lineRule="exact"/>
        <w:rPr>
          <w:sz w:val="20"/>
          <w:szCs w:val="20"/>
          <w:color w:val="auto"/>
        </w:rPr>
      </w:pPr>
    </w:p>
    <w:p>
      <w:pPr>
        <w:ind w:left="340" w:right="1180"/>
        <w:spacing w:after="0" w:line="41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17—Discontinued Operations to the consolidated financial statements included elsewhere in this report for more information.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Segment Profit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left="522"/>
              <w:spacing w:after="0"/>
              <w:rPr>
                <w:sz w:val="20"/>
                <w:szCs w:val="20"/>
                <w:color w:val="auto"/>
              </w:rPr>
            </w:pPr>
            <w:r>
              <w:rPr>
                <w:rFonts w:ascii="Arial" w:cs="Arial" w:eastAsia="Arial" w:hAnsi="Arial"/>
                <w:sz w:val="14"/>
                <w:szCs w:val="14"/>
                <w:b w:val="1"/>
                <w:bCs w:val="1"/>
                <w:color w:val="auto"/>
                <w:w w:val="93"/>
              </w:rPr>
              <w:t>Three Months Ended September 30,</w:t>
            </w: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060" w:type="dxa"/>
            <w:vAlign w:val="bottom"/>
          </w:tcPr>
          <w:p>
            <w:pPr>
              <w:jc w:val="right"/>
              <w:ind w:right="642"/>
              <w:spacing w:after="0" w:line="13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24"/>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1"/>
                <w:szCs w:val="11"/>
                <w:color w:val="auto"/>
              </w:rPr>
            </w:pPr>
          </w:p>
        </w:tc>
        <w:tc>
          <w:tcPr>
            <w:tcW w:w="7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040" w:type="dxa"/>
            <w:vAlign w:val="bottom"/>
          </w:tcPr>
          <w:p>
            <w:pPr>
              <w:jc w:val="right"/>
              <w:ind w:right="622"/>
              <w:spacing w:after="0" w:line="13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gridSpan w:val="5"/>
          </w:tcPr>
          <w:p>
            <w:pPr>
              <w:jc w:val="right"/>
              <w:ind w:right="341"/>
              <w:spacing w:after="0"/>
              <w:rPr>
                <w:sz w:val="20"/>
                <w:szCs w:val="20"/>
                <w:color w:val="auto"/>
              </w:rPr>
            </w:pPr>
            <w:r>
              <w:rPr>
                <w:rFonts w:ascii="Arial" w:cs="Arial" w:eastAsia="Arial" w:hAnsi="Arial"/>
                <w:sz w:val="13"/>
                <w:szCs w:val="13"/>
                <w:b w:val="1"/>
                <w:bCs w:val="1"/>
                <w:i w:val="1"/>
                <w:iCs w:val="1"/>
                <w:color w:val="auto"/>
              </w:rPr>
              <w:t>(Dollars in thousands)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16,351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119,524</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99,803</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19,721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44,716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21,647</w:t>
            </w:r>
          </w:p>
        </w:tc>
        <w:tc>
          <w:tcPr>
            <w:tcW w:w="200" w:type="dxa"/>
            <w:vAlign w:val="bottom"/>
          </w:tcPr>
          <w:p>
            <w:pPr>
              <w:spacing w:after="0"/>
              <w:rPr>
                <w:sz w:val="18"/>
                <w:szCs w:val="18"/>
                <w:color w:val="auto"/>
              </w:rPr>
            </w:pPr>
          </w:p>
        </w:tc>
        <w:tc>
          <w:tcPr>
            <w:tcW w:w="1060" w:type="dxa"/>
            <w:vAlign w:val="bottom"/>
          </w:tcPr>
          <w:p>
            <w:pPr>
              <w:jc w:val="right"/>
              <w:ind w:right="262"/>
              <w:spacing w:after="0"/>
              <w:rPr>
                <w:sz w:val="20"/>
                <w:szCs w:val="20"/>
                <w:color w:val="auto"/>
              </w:rPr>
            </w:pPr>
            <w:r>
              <w:rPr>
                <w:rFonts w:ascii="Arial" w:cs="Arial" w:eastAsia="Arial" w:hAnsi="Arial"/>
                <w:sz w:val="16"/>
                <w:szCs w:val="16"/>
                <w:color w:val="auto"/>
              </w:rPr>
              <w:t>23,069</w:t>
            </w:r>
          </w:p>
        </w:tc>
        <w:tc>
          <w:tcPr>
            <w:tcW w:w="66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102,717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84,148</w:t>
            </w:r>
          </w:p>
        </w:tc>
        <w:tc>
          <w:tcPr>
            <w:tcW w:w="180" w:type="dxa"/>
            <w:vAlign w:val="bottom"/>
          </w:tcPr>
          <w:p>
            <w:pPr>
              <w:spacing w:after="0"/>
              <w:rPr>
                <w:sz w:val="18"/>
                <w:szCs w:val="18"/>
                <w:color w:val="auto"/>
              </w:rPr>
            </w:pP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18,569</w:t>
            </w: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(10,433)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92,690</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95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112,940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83,858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29,082</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35 %</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314,887</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281,404</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33,483</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 Segment Information in the notes to the consolidated financial statements for additional information on segments and a reconciliation of segment profit to pre-tax income from continuing operations.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Consumer segment profit increased $23.1 million in the third quarter of 2021 from the third quarter of 2020, and increased $18.6 million in the first nine months of 2021 from the first nine months of 2020, primarily due to an increase in revenue, partially offset by a corresponding increase in selling and marketing expense. We continue to build momentum in the Consumer segment amid increased demand from both consumers and our Network Partners. Lender demand in our personal loans product is strong, with new lenders joining our marketplace during the third quarter of 2021. While consumer demand for our personal loans product has been relatively muted in part due to government stimulus programs, we expect demand to return to pre-pandemic levels as consumer savings balances begin to normalize. Credit card issuer budgets and payouts continue to increase; however, the profitability of our credit card product remains constrained as we continue to re-invest incremental revenue into the product to capture wallet share. Within our small business loans product, our concierge business continues to be 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important growth driver following the conclusion of the Paycheck Protection Program. Our student loans product benefited from the annual in-school lending season, but remains constrained due to reduced lender budgets. While demand for student loan refinancing has decreased with the moratorium on federal student loan payments extended to January 2022, we expect demand to return once the moratorium concludes. We continue to view the Consumer segment with optimism and are pleased with the pace of its recovery.</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Home segment profit increased $16.4 million in the third quarter of 2021 from the third quarter of 2020, and increased $19.7 million in the first nine months of 2021 from the first nine months of 2020, primarily due to an increase in revenue, partially offset by a corresponding increase in selling and marketing expense. While refinance activity decelerates from the peak experienced earlier this year, the Home segment continues to perform well as we are an integral part of our Network Partners' marketing model. Mortgage revenue per lead increased 78%, and home equity revenue per lead increased 79%, in the third quarter of 2021 compared to the third quarter of 2020. While there is uncertainty over the interest rate environment and corresponding impact to refinance activity, we are confident in our market-leading position, key partner status, and flexible business model.</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Insurance segment profit decreased $10.4 million in the third quarter of 2021 from the third quarter of 2020, primarily due to a decrease in revenue and an increase in selling and marketing expense. Insurance segment profit decreased $5.0 million in the first nine months of 2021 from the first nine months of 2020, primarily due to an increase in selling and marketing expense, partially offset by an increase in revenue. The Insurance segment experienced challenging market factors in the third quarter of 2021. Personal lines insurance carriers are experiencing rising loss costs as the economy reopens and drivers return to the road. Higher catastrophe losses from major storms have also pressured carrier earnings, resulting in an industry-wide reduction in carrier marketing budgets. We view these factors as transitory and are optimistic that the Insurance segment will return to historic earnings and growth in the near term. Our investments in other insurance categories, including our Medicare agency, property and casualty agency, and in-dealership automobile product, continue to make significant progress and provide diversification benefits. Our inbound channel continued to deliver record performance and we observed significant growth in the home category as we increasingly leverage our presence in the mortgage industry.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24,706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(14,449)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10,345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32,967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40,603</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4,808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12,969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10,463</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1,251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2,651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17,074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51,804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39,236</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1,366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11,826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31,881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26,406</w:t>
            </w:r>
          </w:p>
        </w:tc>
      </w:tr>
      <w:tr>
        <w:trPr>
          <w:trHeight w:val="230"/>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w:t>
            </w: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40,997</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109,975</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97,402</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we had $215.3 million of cash and cash equivalents, compared to $169.9 million of cash and cash equivalents as of December 31, 2020.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first quarter of 2021, we acquired additional equity interest in Stash for $1.2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to the consolidated financial statements included elsewhere in this report for additional information on the equity interest in Stash.</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ongoing COVID-19 pandemic on our liquidity and capital resources. We expect our cashflow from operating activities to be negatively impacted by the economic recession.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to the extent the loans thereunder will be drawn. The delayed draw commitments under the Term Loan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Facility will be available until June 1, 2022. The proceeds of the Revolving Facility can be used to finance working capital, for general corporate purposes and any other purpose not prohibited by the Credit Agreement. The proceeds of the Term Loan Facility can be used to settle the Company’s 2022 Notes, including related fees, costs and expenses, and up to $80.0 million may be used for general corporate purposes and any other purposes not prohibited by the Credit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28, 2021, we have outstanding a $0.2 million letter of credit under the Revolving Facility, and the remaining borrowing capacity is $199.8 million. No term loans have been drawn under the Term Loan Facility as of October 28,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Nine Months Ended</w:t>
      </w:r>
    </w:p>
    <w:p>
      <w:pPr>
        <w:jc w:val="center"/>
        <w:ind w:left="87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r>
      <w:tr>
        <w:trPr>
          <w:trHeight w:val="181"/>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0"/>
              </w:rPr>
              <w:t>88,893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96,216</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center"/>
              <w:ind w:left="97"/>
              <w:spacing w:after="0"/>
              <w:rPr>
                <w:sz w:val="20"/>
                <w:szCs w:val="20"/>
                <w:color w:val="auto"/>
              </w:rPr>
            </w:pPr>
            <w:r>
              <w:rPr>
                <w:rFonts w:ascii="Arial" w:cs="Arial" w:eastAsia="Arial" w:hAnsi="Arial"/>
                <w:sz w:val="18"/>
                <w:szCs w:val="18"/>
                <w:color w:val="auto"/>
                <w:w w:val="92"/>
              </w:rPr>
              <w:t>(31,695)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(100,386)</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center"/>
              <w:ind w:left="97"/>
              <w:spacing w:after="0"/>
              <w:rPr>
                <w:sz w:val="20"/>
                <w:szCs w:val="20"/>
                <w:color w:val="auto"/>
              </w:rPr>
            </w:pPr>
            <w:r>
              <w:rPr>
                <w:rFonts w:ascii="Arial" w:cs="Arial" w:eastAsia="Arial" w:hAnsi="Arial"/>
                <w:sz w:val="18"/>
                <w:szCs w:val="18"/>
                <w:color w:val="auto"/>
                <w:w w:val="92"/>
              </w:rPr>
              <w:t>(15,192)</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197,375</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attributable to continuing operations decreased in the first nine months of 2021 from the first nine months of 2020 primarily due to unfavorable changes in accounts receivable, partially offset by favorable changes in accounts payable, accrued expenses and other current liabilities, and income taxes receivable.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2021 of $31.7 million consisted of capital expenditures of $30.5 million primarily related to internally developed software and leasehold improvements for our new principal corporate offices, as well as the purchase of an additional $1.2 million equity interest in Stash, described above.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2020 of $100.4 million consisted of the initial purchase of an $80.0 million equity interest in Stash and capital expenditures of $20.4 million primarily related to internally developed software and leasehold improvements for our new principal corporate offices.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financing activities attributable to continuing operations in the first nine months of 2021 of $15.2 million consisted primarily of $6.7 million in withholding taxes paid upon surrender of shares to satisfy obligations on equity awards, net of proceeds from the exercise of stock options, as well as $6.0 million for the payment of debt issuance costs and $2.5 million paid for the original issue discount on the undrawn Term Loan Facility.</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nine months of 2020 of $197.4 million consisted primarily of $575.0 million of gross proceeds from the issuance of the 2025 Notes, partially offset by $233.9 million paid to repurchase a portion of the 2022 Notes, a net $47.4 million paid for convertible note hedge and warrant transactions, $75.0 million of net repayments on our revolving credit facility, and $16.4 million for the payment of debt issuance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Credit Facility, if any. As of October 28, 2021, there were no borrowings under the Credit Facility.</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2021,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2021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2020 Annual Report and updated that information in Note 14—Contingencies and Note 17—Discontinued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2020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2021, no shares of common stock were repurchased under the stock repurchase program. As of </w:t>
      </w:r>
      <w:r>
        <w:rPr>
          <w:rFonts w:ascii="Arial" w:cs="Arial" w:eastAsia="Arial" w:hAnsi="Arial"/>
          <w:sz w:val="15"/>
          <w:szCs w:val="15"/>
          <w:color w:val="auto"/>
        </w:rPr>
        <w:t>October 22, 2021</w:t>
      </w:r>
      <w:r>
        <w:rPr>
          <w:rFonts w:ascii="Arial" w:cs="Arial" w:eastAsia="Arial" w:hAnsi="Arial"/>
          <w:sz w:val="16"/>
          <w:szCs w:val="16"/>
          <w:color w:val="auto"/>
        </w:rPr>
        <w:t>, approximately $179.7 million remains authorized for share repurchase.</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LendingTree Seventh Amended and Restated 2008 Stock Plan approved by our stockholders on June 9, 2021 allows, and the LendingTree 2017 Inducement Grant Plan terminated by us in April 2021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2021, 10,920 shares were purchased related to these obligations under the LendingTree Seventh Amended and Restated 2008 Stock Plan and 127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Company's purchases of equity securities during the quarter ended September 30,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540" w:type="dxa"/>
            <w:vAlign w:val="bottom"/>
          </w:tcPr>
          <w:p>
            <w:pPr>
              <w:jc w:val="center"/>
              <w:ind w:left="188"/>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9"/>
        </w:trPr>
        <w:tc>
          <w:tcPr>
            <w:tcW w:w="3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7/1/2021 - 7/31/2021</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8/1/2021 - 8/31/2021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9/1/2021 - 9/30/2021</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11,047</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171.50</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179,673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311" w:lineRule="auto"/>
        <w:tabs>
          <w:tab w:leader="none" w:pos="6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July 2021, August 2021 and September 2021, 1,037 shares, 7,142 shares and 2,868 shares, respectively (totaling 11,047 shares), were purchased to satisfy federal and state withholding obligations of our employees upon the settlement of restricted stock units and restricted stock awards, all in accordance with our Seventh Amended and Restated 2008 Stock Plan and 2017 Inducement Grant Plan, as described above.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 See the narrative disclosure above the table for further description of our publicly announced stock repurchase program.</w:t>
      </w: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Exhibit</w:t>
            </w:r>
          </w:p>
        </w:tc>
        <w:tc>
          <w:tcPr>
            <w:tcW w:w="60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gridSpan w:val="9"/>
          </w:tcPr>
          <w:p>
            <w:pPr>
              <w:ind w:left="258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Location</w:t>
            </w:r>
          </w:p>
        </w:tc>
      </w:tr>
      <w:tr>
        <w:trPr>
          <w:trHeight w:val="40"/>
        </w:trPr>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r:id="rId67">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06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August 25,</w:t>
            </w:r>
          </w:p>
        </w:tc>
      </w:tr>
      <w:tr>
        <w:trPr>
          <w:trHeight w:val="229"/>
        </w:trPr>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w:t>
            </w:r>
          </w:p>
        </w:tc>
        <w:tc>
          <w:tcPr>
            <w:tcW w:w="7140" w:type="dxa"/>
            <w:vAlign w:val="bottom"/>
            <w:gridSpan w:val="10"/>
          </w:tcPr>
          <w:p>
            <w:pPr>
              <w:spacing w:after="0" w:line="189" w:lineRule="exact"/>
              <w:rPr>
                <w:rFonts w:ascii="Arial" w:cs="Arial" w:eastAsia="Arial" w:hAnsi="Arial"/>
                <w:sz w:val="18"/>
                <w:szCs w:val="18"/>
                <w:color w:val="0000FF"/>
              </w:rPr>
            </w:pPr>
            <w:hyperlink r:id="rId68">
              <w:r>
                <w:rPr>
                  <w:rFonts w:ascii="Arial" w:cs="Arial" w:eastAsia="Arial" w:hAnsi="Arial"/>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Arial" w:cs="Arial" w:eastAsia="Arial" w:hAnsi="Arial"/>
                <w:sz w:val="16"/>
                <w:szCs w:val="16"/>
                <w:color w:val="auto"/>
              </w:rPr>
              <w:t>Report on Form 8-K filed November</w:t>
            </w:r>
          </w:p>
        </w:tc>
      </w:tr>
      <w:tr>
        <w:trPr>
          <w:trHeight w:val="230"/>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15, 2017</w:t>
            </w: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10.1</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r:id="rId69">
              <w:r>
                <w:rPr>
                  <w:rFonts w:ascii="Arial" w:cs="Arial" w:eastAsia="Arial" w:hAnsi="Arial"/>
                  <w:sz w:val="18"/>
                  <w:szCs w:val="18"/>
                  <w:color w:val="0000FF"/>
                </w:rPr>
                <w:t>Credit Agreement, dated as of September 15, 2021</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2"/>
              </w:rPr>
              <w:t>Exhibit 99.1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06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September</w:t>
            </w:r>
          </w:p>
        </w:tc>
      </w:tr>
      <w:tr>
        <w:trPr>
          <w:trHeight w:val="229"/>
        </w:trPr>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16, 2021</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31.1</w:t>
            </w:r>
          </w:p>
        </w:tc>
        <w:tc>
          <w:tcPr>
            <w:tcW w:w="7140" w:type="dxa"/>
            <w:vAlign w:val="bottom"/>
            <w:gridSpan w:val="10"/>
          </w:tcPr>
          <w:p>
            <w:pPr>
              <w:spacing w:after="0" w:line="189"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Certification of the Chief Executive Officer pursuant to Rule 13a-14(a) or Rule 15d-14(a) of the</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Securities Exchange Act of 1934 as adopted pursuant to Section 302 of the Sarbanes-Oxley Act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7120" w:type="dxa"/>
            <w:vAlign w:val="bottom"/>
            <w:gridSpan w:val="9"/>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of 2002.</w:t>
              </w:r>
            </w:hyperlink>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tcBorders>
              <w:bottom w:val="single" w:sz="8" w:color="CCEEFF"/>
            </w:tcBorders>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95"/>
              </w:rPr>
            </w:pPr>
            <w:hyperlink w:anchor="page49">
              <w:r>
                <w:rPr>
                  <w:rFonts w:ascii="Arial" w:cs="Arial" w:eastAsia="Arial" w:hAnsi="Arial"/>
                  <w:sz w:val="18"/>
                  <w:szCs w:val="18"/>
                  <w:color w:val="0000FF"/>
                  <w:w w:val="95"/>
                </w:rPr>
                <w:t>Certification of the Chief Financial Officer pursuant to Rule 13a-14(a) or Rule 15d-14(a) of the</w:t>
              </w:r>
            </w:hyperlink>
          </w:p>
        </w:tc>
        <w:tc>
          <w:tcPr>
            <w:tcW w:w="29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shd w:val="clear" w:color="auto" w:fill="CCEEFF"/>
          </w:tcPr>
          <w:p>
            <w:pPr>
              <w:spacing w:after="0"/>
              <w:rPr>
                <w:sz w:val="13"/>
                <w:szCs w:val="13"/>
                <w:color w:val="auto"/>
              </w:rPr>
            </w:pPr>
          </w:p>
        </w:tc>
        <w:tc>
          <w:tcPr>
            <w:tcW w:w="7140" w:type="dxa"/>
            <w:vAlign w:val="bottom"/>
            <w:gridSpan w:val="10"/>
            <w:shd w:val="clear" w:color="auto" w:fill="CCEEFF"/>
          </w:tcPr>
          <w:p>
            <w:pPr>
              <w:spacing w:after="0" w:line="15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Securities Exchange Act of 1934 as adopted pursuant to Section 302 of the Sarbanes-Oxley Act</w:t>
              </w:r>
            </w:hyperlink>
          </w:p>
        </w:tc>
        <w:tc>
          <w:tcPr>
            <w:tcW w:w="2940" w:type="dxa"/>
            <w:vAlign w:val="bottom"/>
            <w:shd w:val="clear" w:color="auto" w:fill="CCEEFF"/>
          </w:tcPr>
          <w:p>
            <w:pPr>
              <w:spacing w:after="0"/>
              <w:rPr>
                <w:sz w:val="13"/>
                <w:szCs w:val="13"/>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of 2002.</w:t>
              </w:r>
            </w:hyperlink>
          </w:p>
        </w:tc>
        <w:tc>
          <w:tcPr>
            <w:tcW w:w="652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32.1</w:t>
            </w:r>
          </w:p>
        </w:tc>
        <w:tc>
          <w:tcPr>
            <w:tcW w:w="7140" w:type="dxa"/>
            <w:vAlign w:val="bottom"/>
            <w:gridSpan w:val="10"/>
          </w:tcPr>
          <w:p>
            <w:pPr>
              <w:spacing w:after="0" w:line="189"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the Chief Executive Officer pursuant to 18 U.S.C. Section 1350 as adopted</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pursuant to Section 906 of the Sarbanes-Oxley Act of 2002.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32.2</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Certification of the Chief Financial Officer pursuant to 18 U.S.C. Section 1350 as adopted</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708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pursuant to Section 906 of the Sarbanes-Oxley 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60" w:type="dxa"/>
            <w:vAlign w:val="bottom"/>
          </w:tcPr>
          <w:p>
            <w:pPr>
              <w:jc w:val="right"/>
              <w:ind w:right="51"/>
              <w:spacing w:after="0" w:line="176" w:lineRule="exact"/>
              <w:rPr>
                <w:sz w:val="20"/>
                <w:szCs w:val="20"/>
                <w:color w:val="auto"/>
              </w:rPr>
            </w:pPr>
            <w:r>
              <w:rPr>
                <w:rFonts w:ascii="Arial" w:cs="Arial" w:eastAsia="Arial" w:hAnsi="Arial"/>
                <w:sz w:val="18"/>
                <w:szCs w:val="18"/>
                <w:color w:val="auto"/>
              </w:rPr>
              <w:t>101.INS</w:t>
            </w:r>
          </w:p>
        </w:tc>
        <w:tc>
          <w:tcPr>
            <w:tcW w:w="7140" w:type="dxa"/>
            <w:vAlign w:val="bottom"/>
            <w:gridSpan w:val="10"/>
          </w:tcPr>
          <w:p>
            <w:pPr>
              <w:spacing w:after="0" w:line="176"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tcPr>
          <w:p>
            <w:pPr>
              <w:ind w:left="60"/>
              <w:spacing w:after="0" w:line="176" w:lineRule="exact"/>
              <w:rPr>
                <w:sz w:val="20"/>
                <w:szCs w:val="20"/>
                <w:color w:val="auto"/>
              </w:rPr>
            </w:pPr>
            <w:r>
              <w:rPr>
                <w:rFonts w:ascii="Arial" w:cs="Arial" w:eastAsia="Arial" w:hAnsi="Arial"/>
                <w:sz w:val="18"/>
                <w:szCs w:val="18"/>
                <w:color w:val="auto"/>
              </w:rPr>
              <w:t>†††</w:t>
            </w:r>
          </w:p>
        </w:tc>
      </w:tr>
      <w:tr>
        <w:trPr>
          <w:trHeight w:val="229"/>
        </w:trPr>
        <w:tc>
          <w:tcPr>
            <w:tcW w:w="1160" w:type="dxa"/>
            <w:vAlign w:val="bottom"/>
          </w:tcPr>
          <w:p>
            <w:pPr>
              <w:spacing w:after="0"/>
              <w:rPr>
                <w:sz w:val="19"/>
                <w:szCs w:val="19"/>
                <w:color w:val="auto"/>
              </w:rPr>
            </w:pPr>
          </w:p>
        </w:tc>
        <w:tc>
          <w:tcPr>
            <w:tcW w:w="7140" w:type="dxa"/>
            <w:vAlign w:val="bottom"/>
            <w:gridSpan w:val="10"/>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tcPr>
          <w:p>
            <w:pPr>
              <w:spacing w:after="0"/>
              <w:rPr>
                <w:sz w:val="19"/>
                <w:szCs w:val="19"/>
                <w:color w:val="auto"/>
              </w:rPr>
            </w:pP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101.SCH</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101.CAL</w:t>
            </w:r>
          </w:p>
        </w:tc>
        <w:tc>
          <w:tcPr>
            <w:tcW w:w="71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101.DEF</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101.LAB</w:t>
            </w:r>
          </w:p>
        </w:tc>
        <w:tc>
          <w:tcPr>
            <w:tcW w:w="71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101.PRE</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ind w:left="1160" w:hanging="414"/>
        <w:spacing w:after="0" w:line="22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6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both"/>
        <w:ind w:firstLine="8"/>
        <w:spacing w:after="0" w:line="263" w:lineRule="auto"/>
        <w:tabs>
          <w:tab w:leader="none" w:pos="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3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14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0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14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49" w:lineRule="exact"/>
        <w:rPr>
          <w:sz w:val="20"/>
          <w:szCs w:val="20"/>
          <w:color w:val="auto"/>
        </w:rPr>
      </w:pPr>
    </w:p>
    <w:p>
      <w:pPr>
        <w:ind w:left="340" w:right="260" w:hanging="332"/>
        <w:spacing w:after="0" w:line="334" w:lineRule="auto"/>
        <w:tabs>
          <w:tab w:leader="none" w:pos="3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2021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28, 2021</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 Trent Ziegler, certify, pursuant to 18 U.S.C. Section 1350, as adopted pursuant to Section 906 of the Sarbanes-Oxley Act of 2002, that to my knowledge:</w:t>
      </w:r>
    </w:p>
    <w:p>
      <w:pPr>
        <w:spacing w:after="0" w:line="127" w:lineRule="exact"/>
        <w:rPr>
          <w:sz w:val="20"/>
          <w:szCs w:val="20"/>
          <w:color w:val="auto"/>
        </w:rPr>
      </w:pPr>
    </w:p>
    <w:p>
      <w:pPr>
        <w:ind w:left="340" w:right="260" w:hanging="332"/>
        <w:spacing w:after="0" w:line="334" w:lineRule="auto"/>
        <w:tabs>
          <w:tab w:leader="none" w:pos="3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2021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28, 2021</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67" Type="http://schemas.openxmlformats.org/officeDocument/2006/relationships/hyperlink" Target="http://www.sec.gov/Archives/edgar/data/1434621/000110465908054882/a08-22125_1ex3d1.htm" TargetMode="External"/><Relationship Id="rId68" Type="http://schemas.openxmlformats.org/officeDocument/2006/relationships/hyperlink" Target="http://www.sec.gov/Archives/edgar/data/1434621/000143462117000080/fourthamendedandrestatedby.htm" TargetMode="External"/><Relationship Id="rId69" Type="http://schemas.openxmlformats.org/officeDocument/2006/relationships/hyperlink" Target="http://www.sec.gov/Archives/edgar/data/1434621/000095010321014050/dp157935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2021-10-28T15:52:55Z</dcterms:created>
  <dcterms:modified xsi:type="dcterms:W3CDTF">2021-10-28T15:52:55Z</dcterms:modified>
</cp:coreProperties>
</file>