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1"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55" w:lineRule="exact"/>
        <w:rPr>
          <w:sz w:val="24"/>
          <w:szCs w:val="24"/>
          <w:color w:val="auto"/>
        </w:rPr>
      </w:pPr>
    </w:p>
    <w:p>
      <w:pPr>
        <w:ind w:left="620"/>
        <w:spacing w:after="0"/>
        <w:rPr>
          <w:sz w:val="20"/>
          <w:szCs w:val="20"/>
          <w:color w:val="auto"/>
        </w:rPr>
      </w:pPr>
      <w:r>
        <w:rPr>
          <w:rFonts w:ascii="Arial" w:cs="Arial" w:eastAsia="Arial" w:hAnsi="Arial"/>
          <w:sz w:val="14"/>
          <w:szCs w:val="14"/>
          <w:b w:val="1"/>
          <w:bCs w:val="1"/>
          <w:color w:val="auto"/>
        </w:rPr>
        <w:t>(Mark One)</w:t>
      </w:r>
    </w:p>
    <w:p>
      <w:pPr>
        <w:ind w:left="1120" w:hanging="349"/>
        <w:spacing w:after="0" w:line="231" w:lineRule="auto"/>
        <w:tabs>
          <w:tab w:leader="none" w:pos="11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ANNUAL REPORT 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1160" w:hanging="389"/>
        <w:spacing w:after="0"/>
        <w:tabs>
          <w:tab w:leader="none" w:pos="11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139" w:lineRule="exact"/>
        <w:rPr>
          <w:sz w:val="24"/>
          <w:szCs w:val="24"/>
          <w:color w:val="auto"/>
        </w:rPr>
      </w:pPr>
    </w:p>
    <w:p>
      <w:pPr>
        <w:ind w:left="398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9" w:lineRule="exact"/>
        <w:rPr>
          <w:sz w:val="24"/>
          <w:szCs w:val="24"/>
          <w:color w:val="auto"/>
        </w:rPr>
      </w:pPr>
    </w:p>
    <w:p>
      <w:pPr>
        <w:sectPr>
          <w:pgSz w:w="11900" w:h="16838" w:orient="portrait"/>
          <w:cols w:equalWidth="0" w:num="2">
            <w:col w:w="6400" w:space="720"/>
            <w:col w:w="4120"/>
          </w:cols>
          <w:pgMar w:left="320" w:top="225"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No. 001-34063</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0"/>
          <w:szCs w:val="10"/>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5080</wp:posOffset>
            </wp:positionV>
            <wp:extent cx="113982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982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LendingTree,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25" w:right="339" w:bottom="1440" w:gutter="0" w:footer="0" w:header="0"/>
          <w:type w:val="continuous"/>
        </w:sectPr>
      </w:pPr>
    </w:p>
    <w:p>
      <w:pPr>
        <w:spacing w:after="0" w:line="51" w:lineRule="exact"/>
        <w:rPr>
          <w:sz w:val="24"/>
          <w:szCs w:val="24"/>
          <w:color w:val="auto"/>
        </w:rPr>
      </w:pPr>
    </w:p>
    <w:p>
      <w:pPr>
        <w:ind w:left="28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26-2414818</w:t>
      </w:r>
    </w:p>
    <w:p>
      <w:pPr>
        <w:spacing w:after="0" w:line="59" w:lineRule="exact"/>
        <w:rPr>
          <w:sz w:val="24"/>
          <w:szCs w:val="24"/>
          <w:color w:val="auto"/>
        </w:rPr>
      </w:pPr>
    </w:p>
    <w:p>
      <w:pPr>
        <w:sectPr>
          <w:pgSz w:w="11900" w:h="16838" w:orient="portrait"/>
          <w:cols w:equalWidth="0" w:num="2">
            <w:col w:w="6980" w:space="720"/>
            <w:col w:w="3540"/>
          </w:cols>
          <w:pgMar w:left="320" w:top="225" w:right="339" w:bottom="1440" w:gutter="0" w:footer="0" w:header="0"/>
          <w:type w:val="continuous"/>
        </w:sectPr>
      </w:pPr>
    </w:p>
    <w:p>
      <w:pPr>
        <w:ind w:left="12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5"/>
          <w:szCs w:val="15"/>
          <w:color w:val="auto"/>
        </w:rPr>
        <w:t>(I.R.S. Employer Identification No.)</w:t>
      </w:r>
    </w:p>
    <w:p>
      <w:pPr>
        <w:spacing w:after="0" w:line="130" w:lineRule="exact"/>
        <w:rPr>
          <w:sz w:val="24"/>
          <w:szCs w:val="24"/>
          <w:color w:val="auto"/>
        </w:rPr>
      </w:pPr>
    </w:p>
    <w:p>
      <w:pPr>
        <w:sectPr>
          <w:pgSz w:w="11900" w:h="16838" w:orient="portrait"/>
          <w:cols w:equalWidth="0" w:num="2">
            <w:col w:w="6200" w:space="720"/>
            <w:col w:w="4320"/>
          </w:cols>
          <w:pgMar w:left="320" w:top="225" w:right="3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1415 Vantage Park Dr., Suite 700, Charlotte, North Carolina 28203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5"/>
        </w:trPr>
        <w:tc>
          <w:tcPr>
            <w:tcW w:w="2220" w:type="dxa"/>
            <w:vAlign w:val="bottom"/>
          </w:tcPr>
          <w:p>
            <w:pPr>
              <w:spacing w:after="0"/>
              <w:rPr>
                <w:sz w:val="16"/>
                <w:szCs w:val="16"/>
                <w:color w:val="auto"/>
              </w:rPr>
            </w:pPr>
          </w:p>
        </w:tc>
        <w:tc>
          <w:tcPr>
            <w:tcW w:w="2780" w:type="dxa"/>
            <w:vAlign w:val="bottom"/>
            <w:gridSpan w:val="2"/>
          </w:tcPr>
          <w:p>
            <w:pPr>
              <w:jc w:val="center"/>
              <w:ind w:right="1620"/>
              <w:spacing w:after="0"/>
              <w:rPr>
                <w:sz w:val="20"/>
                <w:szCs w:val="20"/>
                <w:color w:val="auto"/>
              </w:rPr>
            </w:pPr>
            <w:r>
              <w:rPr>
                <w:rFonts w:ascii="Arial" w:cs="Arial" w:eastAsia="Arial" w:hAnsi="Arial"/>
                <w:sz w:val="16"/>
                <w:szCs w:val="16"/>
                <w:color w:val="auto"/>
                <w:w w:val="90"/>
              </w:rPr>
              <w:t>Title of each class</w:t>
            </w:r>
          </w:p>
        </w:tc>
        <w:tc>
          <w:tcPr>
            <w:tcW w:w="2020" w:type="dxa"/>
            <w:vAlign w:val="bottom"/>
            <w:gridSpan w:val="2"/>
          </w:tcPr>
          <w:p>
            <w:pPr>
              <w:jc w:val="center"/>
              <w:ind w:right="800"/>
              <w:spacing w:after="0"/>
              <w:rPr>
                <w:sz w:val="20"/>
                <w:szCs w:val="20"/>
                <w:color w:val="auto"/>
              </w:rPr>
            </w:pPr>
            <w:r>
              <w:rPr>
                <w:rFonts w:ascii="Arial" w:cs="Arial" w:eastAsia="Arial" w:hAnsi="Arial"/>
                <w:sz w:val="16"/>
                <w:szCs w:val="16"/>
                <w:color w:val="auto"/>
                <w:w w:val="93"/>
              </w:rPr>
              <w:t>Trading Symbol(s)</w:t>
            </w:r>
          </w:p>
        </w:tc>
        <w:tc>
          <w:tcPr>
            <w:tcW w:w="2860" w:type="dxa"/>
            <w:vAlign w:val="bottom"/>
            <w:gridSpan w:val="2"/>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left="519"/>
              <w:spacing w:after="0"/>
              <w:rPr>
                <w:sz w:val="20"/>
                <w:szCs w:val="20"/>
                <w:color w:val="auto"/>
              </w:rPr>
            </w:pPr>
            <w:r>
              <w:rPr>
                <w:rFonts w:ascii="Arial" w:cs="Arial" w:eastAsia="Arial" w:hAnsi="Arial"/>
                <w:sz w:val="16"/>
                <w:szCs w:val="16"/>
                <w:color w:val="auto"/>
                <w:w w:val="90"/>
              </w:rPr>
              <w:t>Common Stock, $0.01 par value per share</w:t>
            </w:r>
          </w:p>
        </w:tc>
        <w:tc>
          <w:tcPr>
            <w:tcW w:w="2020" w:type="dxa"/>
            <w:vAlign w:val="bottom"/>
            <w:gridSpan w:val="2"/>
          </w:tcPr>
          <w:p>
            <w:pPr>
              <w:jc w:val="center"/>
              <w:ind w:right="780"/>
              <w:spacing w:after="0"/>
              <w:rPr>
                <w:sz w:val="20"/>
                <w:szCs w:val="20"/>
                <w:color w:val="auto"/>
              </w:rPr>
            </w:pPr>
            <w:r>
              <w:rPr>
                <w:rFonts w:ascii="Arial" w:cs="Arial" w:eastAsia="Arial" w:hAnsi="Arial"/>
                <w:sz w:val="16"/>
                <w:szCs w:val="16"/>
                <w:color w:val="auto"/>
                <w:w w:val="93"/>
              </w:rPr>
              <w:t>TREE</w:t>
            </w:r>
          </w:p>
        </w:tc>
        <w:tc>
          <w:tcPr>
            <w:tcW w:w="2860" w:type="dxa"/>
            <w:vAlign w:val="bottom"/>
            <w:gridSpan w:val="2"/>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445"/>
        </w:trPr>
        <w:tc>
          <w:tcPr>
            <w:tcW w:w="50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8440" w:type="dxa"/>
            <w:vAlign w:val="bottom"/>
            <w:gridSpan w:val="6"/>
          </w:tcPr>
          <w:p>
            <w:pPr>
              <w:ind w:left="180"/>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4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4"/>
        </w:trPr>
        <w:tc>
          <w:tcPr>
            <w:tcW w:w="8440" w:type="dxa"/>
            <w:vAlign w:val="bottom"/>
            <w:gridSpan w:val="6"/>
          </w:tcPr>
          <w:p>
            <w:pPr>
              <w:ind w:left="180"/>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14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9"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1" w:lineRule="exact"/>
        <w:rPr>
          <w:sz w:val="24"/>
          <w:szCs w:val="24"/>
          <w:color w:val="auto"/>
        </w:rPr>
      </w:pPr>
    </w:p>
    <w:p>
      <w:pPr>
        <w:ind w:left="300"/>
        <w:spacing w:after="0" w:line="184" w:lineRule="exact"/>
        <w:tabs>
          <w:tab w:leader="none" w:pos="2440" w:val="left"/>
          <w:tab w:leader="none" w:pos="4300" w:val="left"/>
          <w:tab w:leader="none" w:pos="6460" w:val="left"/>
          <w:tab w:leader="none" w:pos="90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20" w:firstLine="162"/>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180"/>
        <w:spacing w:after="0" w:line="173" w:lineRule="exact"/>
        <w:tabs>
          <w:tab w:leader="none" w:pos="75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As of June 30, 2020, the aggregate market value of the voting common stock held by non-affiliates of the Registrant was approximately $2,298 million. For the purposes of the foregoing calculation only, all directors and executive officers of the Registrant and a single stockholder who owned in excess of 20% of the voting common stock are assumed to be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February 19, 2021, there were 13,128,360 shares of the Registrant's common stock, par value $.01 per share, outstanding.</w:t>
      </w:r>
    </w:p>
    <w:p>
      <w:pPr>
        <w:spacing w:after="0" w:line="109"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Portions of the Registrant's proxy statement for its 2021 Annual Meeting of Stockholders are incorporated by reference into Part III herein. Such proxy statement will be filed with the U.S.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24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060" w:type="dxa"/>
            <w:vAlign w:val="bottom"/>
            <w:gridSpan w:val="2"/>
          </w:tcPr>
          <w:p>
            <w:pPr>
              <w:ind w:left="380"/>
              <w:spacing w:after="0"/>
              <w:rPr>
                <w:sz w:val="20"/>
                <w:szCs w:val="20"/>
                <w:color w:val="auto"/>
              </w:rPr>
            </w:pPr>
            <w:r>
              <w:rPr>
                <w:rFonts w:ascii="Arial" w:cs="Arial" w:eastAsia="Arial" w:hAnsi="Arial"/>
                <w:sz w:val="14"/>
                <w:szCs w:val="14"/>
                <w:b w:val="1"/>
                <w:bCs w:val="1"/>
                <w:color w:val="auto"/>
              </w:rPr>
              <w:t>Page</w:t>
            </w:r>
          </w:p>
        </w:tc>
      </w:tr>
      <w:tr>
        <w:trPr>
          <w:trHeight w:val="211"/>
        </w:trPr>
        <w:tc>
          <w:tcPr>
            <w:tcW w:w="940" w:type="dxa"/>
            <w:vAlign w:val="bottom"/>
          </w:tcPr>
          <w:p>
            <w:pPr>
              <w:spacing w:after="0"/>
              <w:rPr>
                <w:sz w:val="18"/>
                <w:szCs w:val="18"/>
                <w:color w:val="auto"/>
              </w:rPr>
            </w:pPr>
          </w:p>
        </w:tc>
        <w:tc>
          <w:tcPr>
            <w:tcW w:w="9240" w:type="dxa"/>
            <w:vAlign w:val="bottom"/>
          </w:tcPr>
          <w:p>
            <w:pPr>
              <w:jc w:val="center"/>
              <w:ind w:left="1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Business</w:t>
              </w:r>
            </w:hyperlink>
          </w:p>
        </w:tc>
        <w:tc>
          <w:tcPr>
            <w:tcW w:w="104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Item 1A.</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Risk Factors</w:t>
              </w:r>
            </w:hyperlink>
          </w:p>
        </w:tc>
        <w:tc>
          <w:tcPr>
            <w:tcW w:w="1040" w:type="dxa"/>
            <w:vAlign w:val="bottom"/>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1B.</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Unresolved Staff Comments</w:t>
              </w:r>
            </w:hyperlink>
          </w:p>
        </w:tc>
        <w:tc>
          <w:tcPr>
            <w:tcW w:w="10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2.</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Properties</w:t>
              </w:r>
            </w:hyperlink>
          </w:p>
        </w:tc>
        <w:tc>
          <w:tcPr>
            <w:tcW w:w="10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3.</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Legal Proceedings</w:t>
              </w:r>
            </w:hyperlink>
          </w:p>
        </w:tc>
        <w:tc>
          <w:tcPr>
            <w:tcW w:w="10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20" w:type="dxa"/>
            <w:vAlign w:val="bottom"/>
          </w:tcPr>
          <w:p>
            <w:pPr>
              <w:spacing w:after="0"/>
              <w:rPr>
                <w:sz w:val="19"/>
                <w:szCs w:val="19"/>
                <w:color w:val="auto"/>
              </w:rPr>
            </w:pPr>
          </w:p>
        </w:tc>
      </w:tr>
      <w:tr>
        <w:trPr>
          <w:trHeight w:val="234"/>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4.</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Mine Safety Disclosures</w:t>
              </w:r>
            </w:hyperlink>
          </w:p>
        </w:tc>
        <w:tc>
          <w:tcPr>
            <w:tcW w:w="1040" w:type="dxa"/>
            <w:vAlign w:val="bottom"/>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20" w:type="dxa"/>
            <w:vAlign w:val="bottom"/>
          </w:tcPr>
          <w:p>
            <w:pPr>
              <w:spacing w:after="0"/>
              <w:rPr>
                <w:sz w:val="20"/>
                <w:szCs w:val="20"/>
                <w:color w:val="auto"/>
              </w:rPr>
            </w:pPr>
          </w:p>
        </w:tc>
      </w:tr>
      <w:tr>
        <w:trPr>
          <w:trHeight w:val="495"/>
        </w:trPr>
        <w:tc>
          <w:tcPr>
            <w:tcW w:w="940" w:type="dxa"/>
            <w:vAlign w:val="bottom"/>
          </w:tcPr>
          <w:p>
            <w:pPr>
              <w:spacing w:after="0"/>
              <w:rPr>
                <w:sz w:val="24"/>
                <w:szCs w:val="24"/>
                <w:color w:val="auto"/>
              </w:rPr>
            </w:pPr>
          </w:p>
        </w:tc>
        <w:tc>
          <w:tcPr>
            <w:tcW w:w="9240" w:type="dxa"/>
            <w:vAlign w:val="bottom"/>
          </w:tcPr>
          <w:p>
            <w:pPr>
              <w:jc w:val="center"/>
              <w:ind w:left="1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PART II</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5.</w:t>
              </w:r>
            </w:hyperlink>
          </w:p>
        </w:tc>
        <w:tc>
          <w:tcPr>
            <w:tcW w:w="9240" w:type="dxa"/>
            <w:vAlign w:val="bottom"/>
          </w:tcPr>
          <w:p>
            <w:pPr>
              <w:ind w:left="240"/>
              <w:spacing w:after="0"/>
              <w:rPr>
                <w:rFonts w:ascii="Arial" w:cs="Arial" w:eastAsia="Arial" w:hAnsi="Arial"/>
                <w:sz w:val="18"/>
                <w:szCs w:val="18"/>
                <w:b w:val="1"/>
                <w:bCs w:val="1"/>
                <w:u w:val="single" w:color="auto"/>
                <w:color w:val="0000FF"/>
                <w:w w:val="93"/>
              </w:rPr>
            </w:pPr>
            <w:hyperlink w:anchor="page35">
              <w:r>
                <w:rPr>
                  <w:rFonts w:ascii="Arial" w:cs="Arial" w:eastAsia="Arial" w:hAnsi="Arial"/>
                  <w:sz w:val="18"/>
                  <w:szCs w:val="18"/>
                  <w:b w:val="1"/>
                  <w:bCs w:val="1"/>
                  <w:u w:val="single" w:color="auto"/>
                  <w:color w:val="0000FF"/>
                  <w:w w:val="93"/>
                </w:rPr>
                <w:t>Market for Registrant's Common Equity, Related Stockholder Matters and Issuer Purchases of Equity Securities</w:t>
              </w:r>
            </w:hyperlink>
          </w:p>
        </w:tc>
        <w:tc>
          <w:tcPr>
            <w:tcW w:w="1040" w:type="dxa"/>
            <w:vAlign w:val="bottom"/>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6.</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Selected Financial Data</w:t>
              </w:r>
            </w:hyperlink>
          </w:p>
        </w:tc>
        <w:tc>
          <w:tcPr>
            <w:tcW w:w="1040" w:type="dxa"/>
            <w:vAlign w:val="bottom"/>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Item 7.</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1040" w:type="dxa"/>
            <w:vAlign w:val="bottom"/>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Item 7A.</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Quantitative and Qualitative Disclosures about Market Risk</w:t>
              </w:r>
            </w:hyperlink>
          </w:p>
        </w:tc>
        <w:tc>
          <w:tcPr>
            <w:tcW w:w="1040" w:type="dxa"/>
            <w:vAlign w:val="bottom"/>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Item 8.</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Financial Statements and Supplementary Data</w:t>
              </w:r>
            </w:hyperlink>
          </w:p>
        </w:tc>
        <w:tc>
          <w:tcPr>
            <w:tcW w:w="1040" w:type="dxa"/>
            <w:vAlign w:val="bottom"/>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2">
              <w:r>
                <w:rPr>
                  <w:rFonts w:ascii="Arial" w:cs="Arial" w:eastAsia="Arial" w:hAnsi="Arial"/>
                  <w:sz w:val="18"/>
                  <w:szCs w:val="18"/>
                  <w:b w:val="1"/>
                  <w:bCs w:val="1"/>
                  <w:u w:val="single" w:color="auto"/>
                  <w:color w:val="0000FF"/>
                </w:rPr>
                <w:t>Item 9.</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2">
              <w:r>
                <w:rPr>
                  <w:rFonts w:ascii="Arial" w:cs="Arial" w:eastAsia="Arial" w:hAnsi="Arial"/>
                  <w:sz w:val="18"/>
                  <w:szCs w:val="18"/>
                  <w:b w:val="1"/>
                  <w:bCs w:val="1"/>
                  <w:u w:val="single" w:color="auto"/>
                  <w:color w:val="0000FF"/>
                </w:rPr>
                <w:t>Changes in and Disagreements With Accountants on Accounting and Financial Disclosure</w:t>
              </w:r>
            </w:hyperlink>
          </w:p>
        </w:tc>
        <w:tc>
          <w:tcPr>
            <w:tcW w:w="1040" w:type="dxa"/>
            <w:vAlign w:val="bottom"/>
          </w:tcPr>
          <w:p>
            <w:pPr>
              <w:jc w:val="center"/>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101</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3">
              <w:r>
                <w:rPr>
                  <w:rFonts w:ascii="Arial" w:cs="Arial" w:eastAsia="Arial" w:hAnsi="Arial"/>
                  <w:sz w:val="18"/>
                  <w:szCs w:val="18"/>
                  <w:b w:val="1"/>
                  <w:bCs w:val="1"/>
                  <w:u w:val="single" w:color="auto"/>
                  <w:color w:val="0000FF"/>
                </w:rPr>
                <w:t>Item 9A.</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3">
              <w:r>
                <w:rPr>
                  <w:rFonts w:ascii="Arial" w:cs="Arial" w:eastAsia="Arial" w:hAnsi="Arial"/>
                  <w:sz w:val="18"/>
                  <w:szCs w:val="18"/>
                  <w:b w:val="1"/>
                  <w:bCs w:val="1"/>
                  <w:u w:val="single" w:color="auto"/>
                  <w:color w:val="0000FF"/>
                </w:rPr>
                <w:t>Controls and Procedures</w:t>
              </w:r>
            </w:hyperlink>
          </w:p>
        </w:tc>
        <w:tc>
          <w:tcPr>
            <w:tcW w:w="1040" w:type="dxa"/>
            <w:vAlign w:val="bottom"/>
          </w:tcPr>
          <w:p>
            <w:pPr>
              <w:jc w:val="center"/>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101</w:t>
              </w:r>
            </w:hyperlink>
          </w:p>
        </w:tc>
        <w:tc>
          <w:tcPr>
            <w:tcW w:w="20" w:type="dxa"/>
            <w:vAlign w:val="bottom"/>
          </w:tcPr>
          <w:p>
            <w:pPr>
              <w:spacing w:after="0"/>
              <w:rPr>
                <w:sz w:val="19"/>
                <w:szCs w:val="19"/>
                <w:color w:val="auto"/>
              </w:rPr>
            </w:pPr>
          </w:p>
        </w:tc>
      </w:tr>
      <w:tr>
        <w:trPr>
          <w:trHeight w:val="234"/>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3">
              <w:r>
                <w:rPr>
                  <w:rFonts w:ascii="Arial" w:cs="Arial" w:eastAsia="Arial" w:hAnsi="Arial"/>
                  <w:sz w:val="18"/>
                  <w:szCs w:val="18"/>
                  <w:b w:val="1"/>
                  <w:bCs w:val="1"/>
                  <w:u w:val="single" w:color="auto"/>
                  <w:color w:val="0000FF"/>
                </w:rPr>
                <w:t>Item 9B.</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3">
              <w:r>
                <w:rPr>
                  <w:rFonts w:ascii="Arial" w:cs="Arial" w:eastAsia="Arial" w:hAnsi="Arial"/>
                  <w:sz w:val="18"/>
                  <w:szCs w:val="18"/>
                  <w:b w:val="1"/>
                  <w:bCs w:val="1"/>
                  <w:u w:val="single" w:color="auto"/>
                  <w:color w:val="0000FF"/>
                </w:rPr>
                <w:t>Other Information</w:t>
              </w:r>
            </w:hyperlink>
          </w:p>
        </w:tc>
        <w:tc>
          <w:tcPr>
            <w:tcW w:w="1040" w:type="dxa"/>
            <w:vAlign w:val="bottom"/>
          </w:tcPr>
          <w:p>
            <w:pPr>
              <w:jc w:val="center"/>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101</w:t>
              </w:r>
            </w:hyperlink>
          </w:p>
        </w:tc>
        <w:tc>
          <w:tcPr>
            <w:tcW w:w="20" w:type="dxa"/>
            <w:vAlign w:val="bottom"/>
          </w:tcPr>
          <w:p>
            <w:pPr>
              <w:spacing w:after="0"/>
              <w:rPr>
                <w:sz w:val="20"/>
                <w:szCs w:val="20"/>
                <w:color w:val="auto"/>
              </w:rPr>
            </w:pPr>
          </w:p>
        </w:tc>
      </w:tr>
      <w:tr>
        <w:trPr>
          <w:trHeight w:val="495"/>
        </w:trPr>
        <w:tc>
          <w:tcPr>
            <w:tcW w:w="940" w:type="dxa"/>
            <w:vAlign w:val="bottom"/>
          </w:tcPr>
          <w:p>
            <w:pPr>
              <w:spacing w:after="0"/>
              <w:rPr>
                <w:sz w:val="24"/>
                <w:szCs w:val="24"/>
                <w:color w:val="auto"/>
              </w:rPr>
            </w:pPr>
          </w:p>
        </w:tc>
        <w:tc>
          <w:tcPr>
            <w:tcW w:w="9240" w:type="dxa"/>
            <w:vAlign w:val="bottom"/>
          </w:tcPr>
          <w:p>
            <w:pPr>
              <w:jc w:val="center"/>
              <w:ind w:left="30"/>
              <w:spacing w:after="0"/>
              <w:rPr>
                <w:rFonts w:ascii="Arial" w:cs="Arial" w:eastAsia="Arial" w:hAnsi="Arial"/>
                <w:sz w:val="18"/>
                <w:szCs w:val="18"/>
                <w:b w:val="1"/>
                <w:bCs w:val="1"/>
                <w:u w:val="single" w:color="auto"/>
                <w:color w:val="0000FF"/>
              </w:rPr>
            </w:pPr>
            <w:hyperlink w:anchor="page103">
              <w:r>
                <w:rPr>
                  <w:rFonts w:ascii="Arial" w:cs="Arial" w:eastAsia="Arial" w:hAnsi="Arial"/>
                  <w:sz w:val="18"/>
                  <w:szCs w:val="18"/>
                  <w:b w:val="1"/>
                  <w:bCs w:val="1"/>
                  <w:u w:val="single" w:color="auto"/>
                  <w:color w:val="0000FF"/>
                </w:rPr>
                <w:t>PART III</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Item 10.</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Directors, Executive Officers and Corporate Governance</w:t>
              </w:r>
            </w:hyperlink>
          </w:p>
        </w:tc>
        <w:tc>
          <w:tcPr>
            <w:tcW w:w="1040" w:type="dxa"/>
            <w:vAlign w:val="bottom"/>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9"/>
                <w:szCs w:val="19"/>
                <w:color w:val="auto"/>
              </w:rPr>
            </w:pPr>
          </w:p>
        </w:tc>
      </w:tr>
      <w:tr>
        <w:trPr>
          <w:trHeight w:val="229"/>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Item 11.</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Executive Compensation</w:t>
              </w:r>
            </w:hyperlink>
          </w:p>
        </w:tc>
        <w:tc>
          <w:tcPr>
            <w:tcW w:w="1040" w:type="dxa"/>
            <w:vAlign w:val="bottom"/>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Item 12.</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Security Ownership of Certain Beneficial Owners and Management and Related Stockholder Matters</w:t>
              </w:r>
            </w:hyperlink>
          </w:p>
        </w:tc>
        <w:tc>
          <w:tcPr>
            <w:tcW w:w="1040" w:type="dxa"/>
            <w:vAlign w:val="bottom"/>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9"/>
                <w:szCs w:val="19"/>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Item 13.</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Certain Relationships and Related Transactions, and Director Independence</w:t>
              </w:r>
            </w:hyperlink>
          </w:p>
        </w:tc>
        <w:tc>
          <w:tcPr>
            <w:tcW w:w="1040" w:type="dxa"/>
            <w:vAlign w:val="bottom"/>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19"/>
                <w:szCs w:val="19"/>
                <w:color w:val="auto"/>
              </w:rPr>
            </w:pPr>
          </w:p>
        </w:tc>
      </w:tr>
      <w:tr>
        <w:trPr>
          <w:trHeight w:val="234"/>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Item 14.</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Principal Accounting Fees and Services</w:t>
              </w:r>
            </w:hyperlink>
          </w:p>
        </w:tc>
        <w:tc>
          <w:tcPr>
            <w:tcW w:w="1040" w:type="dxa"/>
            <w:vAlign w:val="bottom"/>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20" w:type="dxa"/>
            <w:vAlign w:val="bottom"/>
          </w:tcPr>
          <w:p>
            <w:pPr>
              <w:spacing w:after="0"/>
              <w:rPr>
                <w:sz w:val="20"/>
                <w:szCs w:val="20"/>
                <w:color w:val="auto"/>
              </w:rPr>
            </w:pPr>
          </w:p>
        </w:tc>
      </w:tr>
      <w:tr>
        <w:trPr>
          <w:trHeight w:val="495"/>
        </w:trPr>
        <w:tc>
          <w:tcPr>
            <w:tcW w:w="940" w:type="dxa"/>
            <w:vAlign w:val="bottom"/>
          </w:tcPr>
          <w:p>
            <w:pPr>
              <w:spacing w:after="0"/>
              <w:rPr>
                <w:sz w:val="24"/>
                <w:szCs w:val="24"/>
                <w:color w:val="auto"/>
              </w:rPr>
            </w:pPr>
          </w:p>
        </w:tc>
        <w:tc>
          <w:tcPr>
            <w:tcW w:w="9240" w:type="dxa"/>
            <w:vAlign w:val="bottom"/>
          </w:tcPr>
          <w:p>
            <w:pPr>
              <w:jc w:val="center"/>
              <w:ind w:left="30"/>
              <w:spacing w:after="0"/>
              <w:rPr>
                <w:rFonts w:ascii="Arial" w:cs="Arial" w:eastAsia="Arial" w:hAnsi="Arial"/>
                <w:sz w:val="18"/>
                <w:szCs w:val="18"/>
                <w:b w:val="1"/>
                <w:bCs w:val="1"/>
                <w:u w:val="single" w:color="auto"/>
                <w:color w:val="0000FF"/>
              </w:rPr>
            </w:pPr>
            <w:hyperlink w:anchor="page104">
              <w:r>
                <w:rPr>
                  <w:rFonts w:ascii="Arial" w:cs="Arial" w:eastAsia="Arial" w:hAnsi="Arial"/>
                  <w:sz w:val="18"/>
                  <w:szCs w:val="18"/>
                  <w:b w:val="1"/>
                  <w:bCs w:val="1"/>
                  <w:u w:val="single" w:color="auto"/>
                  <w:color w:val="0000FF"/>
                </w:rPr>
                <w:t>PART IV</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5">
              <w:r>
                <w:rPr>
                  <w:rFonts w:ascii="Arial" w:cs="Arial" w:eastAsia="Arial" w:hAnsi="Arial"/>
                  <w:sz w:val="18"/>
                  <w:szCs w:val="18"/>
                  <w:b w:val="1"/>
                  <w:bCs w:val="1"/>
                  <w:u w:val="single" w:color="auto"/>
                  <w:color w:val="0000FF"/>
                </w:rPr>
                <w:t>Item 15.</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5">
              <w:r>
                <w:rPr>
                  <w:rFonts w:ascii="Arial" w:cs="Arial" w:eastAsia="Arial" w:hAnsi="Arial"/>
                  <w:sz w:val="18"/>
                  <w:szCs w:val="18"/>
                  <w:b w:val="1"/>
                  <w:bCs w:val="1"/>
                  <w:u w:val="single" w:color="auto"/>
                  <w:color w:val="0000FF"/>
                </w:rPr>
                <w:t>Exhibits, Financial Statement Schedules</w:t>
              </w:r>
            </w:hyperlink>
          </w:p>
        </w:tc>
        <w:tc>
          <w:tcPr>
            <w:tcW w:w="1040" w:type="dxa"/>
            <w:vAlign w:val="bottom"/>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103</w:t>
              </w:r>
            </w:hyperlink>
          </w:p>
        </w:tc>
        <w:tc>
          <w:tcPr>
            <w:tcW w:w="20" w:type="dxa"/>
            <w:vAlign w:val="bottom"/>
          </w:tcPr>
          <w:p>
            <w:pPr>
              <w:spacing w:after="0"/>
              <w:rPr>
                <w:sz w:val="19"/>
                <w:szCs w:val="19"/>
                <w:color w:val="auto"/>
              </w:rPr>
            </w:pPr>
          </w:p>
        </w:tc>
      </w:tr>
      <w:tr>
        <w:trPr>
          <w:trHeight w:val="234"/>
        </w:trPr>
        <w:tc>
          <w:tcPr>
            <w:tcW w:w="940" w:type="dxa"/>
            <w:vAlign w:val="bottom"/>
          </w:tcPr>
          <w:p>
            <w:pPr>
              <w:ind w:left="40"/>
              <w:spacing w:after="0"/>
              <w:rPr>
                <w:rFonts w:ascii="Arial" w:cs="Arial" w:eastAsia="Arial" w:hAnsi="Arial"/>
                <w:sz w:val="18"/>
                <w:szCs w:val="18"/>
                <w:b w:val="1"/>
                <w:bCs w:val="1"/>
                <w:u w:val="single" w:color="auto"/>
                <w:color w:val="0000FF"/>
              </w:rPr>
            </w:pPr>
            <w:hyperlink w:anchor="page109">
              <w:r>
                <w:rPr>
                  <w:rFonts w:ascii="Arial" w:cs="Arial" w:eastAsia="Arial" w:hAnsi="Arial"/>
                  <w:sz w:val="18"/>
                  <w:szCs w:val="18"/>
                  <w:b w:val="1"/>
                  <w:bCs w:val="1"/>
                  <w:u w:val="single" w:color="auto"/>
                  <w:color w:val="0000FF"/>
                </w:rPr>
                <w:t>Item 16.</w:t>
              </w:r>
            </w:hyperlink>
          </w:p>
        </w:tc>
        <w:tc>
          <w:tcPr>
            <w:tcW w:w="9240" w:type="dxa"/>
            <w:vAlign w:val="bottom"/>
          </w:tcPr>
          <w:p>
            <w:pPr>
              <w:ind w:left="240"/>
              <w:spacing w:after="0"/>
              <w:rPr>
                <w:rFonts w:ascii="Arial" w:cs="Arial" w:eastAsia="Arial" w:hAnsi="Arial"/>
                <w:sz w:val="18"/>
                <w:szCs w:val="18"/>
                <w:b w:val="1"/>
                <w:bCs w:val="1"/>
                <w:u w:val="single" w:color="auto"/>
                <w:color w:val="0000FF"/>
              </w:rPr>
            </w:pPr>
            <w:hyperlink w:anchor="page109">
              <w:r>
                <w:rPr>
                  <w:rFonts w:ascii="Arial" w:cs="Arial" w:eastAsia="Arial" w:hAnsi="Arial"/>
                  <w:sz w:val="18"/>
                  <w:szCs w:val="18"/>
                  <w:b w:val="1"/>
                  <w:bCs w:val="1"/>
                  <w:u w:val="single" w:color="auto"/>
                  <w:color w:val="0000FF"/>
                </w:rPr>
                <w:t>Form 10-K Summary</w:t>
              </w:r>
            </w:hyperlink>
          </w:p>
        </w:tc>
        <w:tc>
          <w:tcPr>
            <w:tcW w:w="1040" w:type="dxa"/>
            <w:vAlign w:val="bottom"/>
          </w:tcPr>
          <w:p>
            <w:pPr>
              <w:jc w:val="center"/>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107</w:t>
              </w:r>
            </w:hyperlink>
          </w:p>
        </w:tc>
        <w:tc>
          <w:tcPr>
            <w:tcW w:w="20" w:type="dxa"/>
            <w:vAlign w:val="bottom"/>
          </w:tcPr>
          <w:p>
            <w:pPr>
              <w:spacing w:after="0"/>
              <w:rPr>
                <w:sz w:val="20"/>
                <w:szCs w:val="20"/>
                <w:color w:val="auto"/>
              </w:rPr>
            </w:pPr>
          </w:p>
        </w:tc>
      </w:tr>
      <w:tr>
        <w:trPr>
          <w:trHeight w:val="1424"/>
        </w:trPr>
        <w:tc>
          <w:tcPr>
            <w:tcW w:w="94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annual report on Form 10-K for the fiscal year ended December 31, 2020 (the "Annual Report") contains "forward-looking statements" within the meaning of the Securities Act of 1933, as amended, and the Securities Exchange Act of 1934, as amended.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6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over 800 partners (which we refer to as "Network Partners") in one simple search, and choose the option that best fits their financial needs. Services include mortgage loans, mortgage refinances,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7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and insurance business, we charge other kinds of fees, such as closed loan or closed sale fees. In addition to our primary consumer request data referral business, we also match consumers with Network Partners by offering consumers the ability to click from our website to a Network Partner’s website or by calls for which Network Partners pay either front-end or back-end fees.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My LendingTree platform, which provides a relationship-based consumer experience, rather than just a transaction-based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 recently,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28, 2020, we acquired an equity interest in Stash Financial, Inc. (“Stash”).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Combining ValuePenguin’s high-quality content and search engine optimization capability with proprietary technology and insurance carrier network from QuoteWizard.com, LLC ("QuoteWizard") (discussed below) enables us to provide immense value to insurance carriers and agents. This strategic acquisition positions us to achieve further scale in the insurance space as well as the broader financial services industry.</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31, 2018, we acquired QuoteWizard.com,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2018, we acquired Student Loan Hero, Inc. (“Student Loan Hero”), a personal finance website dedicated to helping student loan borrowers manage their student debt. Student Loan Hero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we acquired Ovation Credit Services, Inc. (“Ovation”), a leading provider of credit services with a strong customer service reputation. Ovation utilizes a proprietary software application that facilitates the credit repair process and is integrated directly with certain credit reporting agencies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reporting agency relationships and customized software platform enable us to help more consumers achieve their financial goals through the LendingTree platform.</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 our three reportable segments, the Consumer segment has been most impacted as unsecured credit and the flow of capital in certain areas of the market have contracted. The impact to our Home and Insurance segments was much less substantial and these segments recovered by the end of 2020. While forecasting the timeline of full recovery for the Consumer segment remains challenging, the momentum of recovery has increased in each quarter subsequent to the onset of the COVID-19 pandemic. We are encouraged by the progress made, and continue to view the Consumer segment with optimism over the medium to long term.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Our Consumer segment includes the following products: credit cards, personal loans, small business loans, student loans, auto loans, deposit accounts, and other credit products such as credit repair and debt settlement. Our Insurance segment consists of insurance quote products. Revenue within the Other category includes revenue from the resale of online advertising space to third parties and revenue from home improvement referrals. We ceased offering home improvement referrals during the first quarter of 2019 and ceased reselling online advertising space during the first quarter of 2020.</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Segment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320,992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277,935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319,176</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Consumer</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253,198</w:t>
            </w:r>
          </w:p>
        </w:tc>
        <w:tc>
          <w:tcPr>
            <w:tcW w:w="4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515,037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395,615</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333,765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284,792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31,369</w:t>
            </w:r>
          </w:p>
        </w:tc>
      </w:tr>
      <w:tr>
        <w:trPr>
          <w:trHeight w:val="236"/>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2,035</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28,839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18,705</w:t>
            </w:r>
          </w:p>
        </w:tc>
      </w:tr>
      <w:tr>
        <w:trPr>
          <w:trHeight w:val="237"/>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909,990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1,106,603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764,865</w:t>
            </w: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LendingTree does not charge consumers for the use of our services, except for credit repair services. Revenues from our Home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and 2019, one Network Partner, Progressive Casualty Insurance, accounted for 15% and 12%, respectively, of total consolidated revenue, all of which was recorded within our Insurance segment. For the year ended December 31, 2018, no Network Partners accounted for more than 10% of total consolidated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 Segment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72" w:lineRule="exact"/>
        <w:rPr>
          <w:sz w:val="20"/>
          <w:szCs w:val="20"/>
          <w:color w:val="auto"/>
        </w:rPr>
      </w:pPr>
    </w:p>
    <w:p>
      <w:pPr>
        <w:ind w:left="660" w:hanging="328"/>
        <w:spacing w:after="0" w:line="282" w:lineRule="auto"/>
        <w:tabs>
          <w:tab w:leader="none" w:pos="65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Request. </w:t>
      </w:r>
      <w:r>
        <w:rPr>
          <w:rFonts w:ascii="Arial" w:cs="Arial" w:eastAsia="Arial" w:hAnsi="Arial"/>
          <w:sz w:val="18"/>
          <w:szCs w:val="18"/>
          <w:color w:val="auto"/>
        </w:rPr>
        <w:t>Consumers complete a single request form with information regarding the type of mortgage loan product they are seeking,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jc w:val="both"/>
        <w:ind w:left="660" w:hanging="328"/>
        <w:spacing w:after="0" w:line="314" w:lineRule="auto"/>
        <w:tabs>
          <w:tab w:leader="none" w:pos="65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Consumer Request Form Matching and Transmission. </w:t>
      </w:r>
      <w:r>
        <w:rPr>
          <w:rFonts w:ascii="Arial" w:cs="Arial" w:eastAsia="Arial" w:hAnsi="Arial"/>
          <w:sz w:val="16"/>
          <w:szCs w:val="16"/>
          <w:color w:val="auto"/>
        </w:rPr>
        <w:t>Our proprietary systems and technology match a given consumer's request form data,</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33" w:lineRule="exact"/>
        <w:rPr>
          <w:rFonts w:ascii="Arial" w:cs="Arial" w:eastAsia="Arial" w:hAnsi="Arial"/>
          <w:sz w:val="16"/>
          <w:szCs w:val="16"/>
          <w:b w:val="1"/>
          <w:bCs w:val="1"/>
          <w:color w:val="auto"/>
        </w:rPr>
      </w:pPr>
    </w:p>
    <w:p>
      <w:pPr>
        <w:ind w:left="660" w:hanging="328"/>
        <w:spacing w:after="0" w:line="282" w:lineRule="auto"/>
        <w:tabs>
          <w:tab w:leader="none" w:pos="65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Partners that receive a consumer request form evaluate the information contained in it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make a conditional loan offer.</w:t>
      </w:r>
    </w:p>
    <w:p>
      <w:pPr>
        <w:spacing w:after="0" w:line="53" w:lineRule="exact"/>
        <w:rPr>
          <w:rFonts w:ascii="Arial" w:cs="Arial" w:eastAsia="Arial" w:hAnsi="Arial"/>
          <w:sz w:val="18"/>
          <w:szCs w:val="18"/>
          <w:b w:val="1"/>
          <w:bCs w:val="1"/>
          <w:color w:val="auto"/>
        </w:rPr>
      </w:pPr>
    </w:p>
    <w:p>
      <w:pPr>
        <w:jc w:val="both"/>
        <w:ind w:left="660" w:hanging="328"/>
        <w:spacing w:after="0" w:line="289" w:lineRule="auto"/>
        <w:tabs>
          <w:tab w:leader="none" w:pos="65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Communication of a Conditional Offer. </w:t>
      </w:r>
      <w:r>
        <w:rPr>
          <w:rFonts w:ascii="Arial" w:cs="Arial" w:eastAsia="Arial" w:hAnsi="Arial"/>
          <w:sz w:val="17"/>
          <w:szCs w:val="17"/>
          <w:color w:val="auto"/>
        </w:rPr>
        <w:t>All matched Network Partners and any conditional offers are presented to the consumer upon</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consumer request form. Consumers can return to the site and view their offer(s) at any time by logging in to their My LendingTree profile. Additionally, matched lenders and offers are also sent to the email address associated with the consumer request.</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offer consumers other mortgage products such as: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alternative matching process, which provides them with lender contact information rather than conditional offers from Network Partners.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"rate table" loan marketplace, where consumers can enter their loan and credit profile and dynamically view real-time rates or other relevant information from lenders without entering their contact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Home lending products on our online marketplace include the following:</w:t>
      </w:r>
    </w:p>
    <w:p>
      <w:pPr>
        <w:spacing w:after="0" w:line="117" w:lineRule="exact"/>
        <w:rPr>
          <w:sz w:val="20"/>
          <w:szCs w:val="20"/>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offer real estate brokerage services, through which consumers are matched with local realtors who can assist them in their home purchase or sale efforts. We generate revenue from real estate brokerage services through match fees paid to us by real estate brokers participating in our online marketplace.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Consumer lending products on our online marketplace include information, tools and access to multiple conditional loan offers for the following:</w:t>
      </w:r>
    </w:p>
    <w:p>
      <w:pPr>
        <w:spacing w:after="0" w:line="129"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home mortgages.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Student loans, which includes both new loans to finance an education and related expenses, as well as refinancing of existing loans. During the third quarter of 2018, we purchased Student Loan Hero, a personal finance website dedicated to helping student loan borrowers manage their student debt, enhancing this product.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Non-lending Consumer products also includes information, tools and access to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accounts, through which consumers can access depository deals and analysis covering all major deposit product categories.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repair, through which consumers can obtain assistance improving their credit profiles, in order to expand and improve loan and other financial product opportunities available to them. During the second quarter of 2018, we purchased Ovation, a leading provider of credit services with a strong customer service reputation, enhancing this product.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from credit repair and debt relief services through subscription fees from consumers that enroll in our credit repair product, or a fee for a customer referral to a service provider partner or through a fee at the time a consumer enrolls in a program with one of our Network Partners.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Insurance segment includes information, tools and access to insurance quote products, including automobile, home, health and Medicare, through which consumers are matched with insurance lead aggregators to obtain insurance offers. We enhanced our insurance products by acquiring QuoteWizard, one of the largest insurance comparison marketplaces in the growing online insurance advertising market, in the fourth quarter of 2018. We also purchased ValuePenguin, a personal finance website that offers consumers objective analysis on a variety of financial topics from insurance to credit cards, in the first quarter of 2019.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products not included in the Home, Consumer and Insurance segments includes:</w:t>
      </w:r>
    </w:p>
    <w:p>
      <w:pPr>
        <w:spacing w:after="0" w:line="117"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Home improvement services, through which consumers had the opportunity to research and find home improvement professional services. Effective in the first quarter of 2019, we no longer offer home improvement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earned through resale of online advertising space to third parties is also classified in other products. Effective in the first quarter of 2020, we no longer resell online advertising space.</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related recession as well as the economic conditions related to the COVID-19 pandemic, have impacted customary seasonal trends.</w:t>
      </w:r>
    </w:p>
    <w:p>
      <w:pPr>
        <w:spacing w:after="0" w:line="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anticipate revenue in our newer products, primarily within the Consumer segment,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We were originally incorporated in the state of Delaware in June 1996 and commenced nationwide operations in July 1998.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2003, IAC/InterActiveCorp ("IAC") acquired LendingTree, LLC, which at the time of the acquisition was known as LendingTree,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acquisition, in December 2004, IAC converted LendingTree, Inc. to a Delaware limited liability company, LendingTree, LLC.</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2015, we changed our name from Tree.com, Inc. to LendingTree,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62" w:lineRule="exact"/>
        <w:rPr>
          <w:sz w:val="20"/>
          <w:szCs w:val="20"/>
          <w:color w:val="auto"/>
        </w:rPr>
      </w:pPr>
    </w:p>
    <w:p>
      <w:pPr>
        <w:jc w:val="both"/>
        <w:ind w:left="660" w:hanging="328"/>
        <w:spacing w:after="0" w:line="27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6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limitations on fees charged by mortgage lenders, and requirements related to mortgage disclosures;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Federal and state laws relating to offering of credit repair services to consumers, including such laws that impose restrictions on the usage and storage of consumer credit information such as the Credit Repair Organizations Act ("CROA") and the Fair Credit Reporting Act; and</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Gramm-Leach-Bliley Act (“GLBA”) and the California Consumer Privacy Act ("CCPA"), which impact how we collect, use, store, share and otherwise process personal information of consumers and other individuals.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we develop or identify new or improved proprietary technologies, we seek patent protection in the United States and abroad, as appropriate. As of December 31, 2020, we own one issued U.S. patent related to the system and method for collecting financial information over a global communications network, which expires in 2032.</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2020, we own 35 trademarks and service marks registered with the United States Patent and Trademark Office. These registrations can typically be renewed at 10-year intervals.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reserve and register domain names when and where we deem appropriate. As of December 31, 2020, we own approximately 1,600 registered domain names. We also have agreements with third parties that provide for the licensing of patented, copyrighted and other proprietary technology used in our business.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will significantly depend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committed to investing in our employees, and nurturing an entrepreneurial and dynamic work environment. We achieve this through dedication to our core principles which include: building truly outstanding products, being open and 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spacing w:after="0" w:line="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December 31, 2020, we had 1,303 employees, of which approximately 1,289 are full-time and 14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make available, free of charge through our website, our reports on Forms 10-K, 10-Q and 8-K, our proxy statement for the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code of business conduct and ethics, which applies to all employees, including all executive officers and senior financial officers and directors, is posted on the investor relations section of our website.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 or in public filings to the extent required by the applicable rules.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33"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has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conditions in the primary and secondary mortgage markets, as well as the general economy, could have a material adverse effect on our business, financial condition and results of operations.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relationships with our Network Partners and any adverse changes in these relationships could adversely affect our business, financial condition and results of operations.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revenue growth in 2019 and 2018 was driven by our credit card product.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revenue growth in 2020, 2019 and 2018 has been driven by our insurance leads business through our acquisition of QuoteWizard, which was completed in October 2018.</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portion of our revenue growth in recent years has been driven by personal loan offerings.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intended benefits of acquisitions may not be realized and acquisitions or strategic investments that we pursue may not be successful and could disrupt our business and harm our financial condition.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manage our growth effectively, our business and results of operations could be harmed.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and if we are unable to attract, retain, develop and motivate well-qualified employees, our business and results of operations could be harmed.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total revenue is derived from one Network Partner, and our results from operations could be adversely affected and stockholder value harmed if we lose significant business from this Network Partner.</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 market conditions have adversely affected the mortgage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lack of geographic diversity exposes us to risk.</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relating to the bankruptcy of our Home Loan Center, Inc. subsidiary, including risks of claims against us and our operating subsidiaries.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become subject to intellectual property disputes, which are costly and may subject us to significant liability and increased costs of doing business.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in effective tax rates or adverse outcomes resulting from examination of our income or other tax returns could adversely affect our operating results and financial condition.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ordinary course of business, we are party to litigation involving contract, intellectual property and a variety of other claims, which could adversely affect our business and financial condition.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operating results, quarter to quarter earnings and other factors may result in significant decreases in the price of our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holder of our common stock owns a substantial portion of our outstanding common stock, which concentrates voting control and limits your ability to influence corporate matters.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results fluctuate as a result of seasonality, which may make it difficult to predict our future performance and may adversely affect our common stock price.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conditional conversion feature of our outstanding convertible senior notes, if triggered, may adversely affect our financial condition and operating results.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hedge and warrant transactions may affect the value of the Notes and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our business, and the ultimate impact on our business, financial condition and results of operations will depend on future developments, which are highly uncertain and cannot be predicted, including the scope and duration of the pandemic and actions taken by governmental authorities in response to the pandemic.</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has negatively impacted the global economy, disrupted global supply chains, created significant volatility and disruption in financial markets, and increased unemployment levels. In addition, the pandemic has resulted in temporary closures of many businesses and the institution of various lockdown orders and sheltering in place requirements in many states and communities. As a result, the demand for our products, in particular in our Consumer segment, has been and may continue to be significantly impacted. Within our Consumer segment we have seen reductions in near-term lender demand for our services, reflecting those lenders' uncertainty over the length and depth of the economic recession as well as the effect of governmental actions such as the temporary suspension of interest accrual and payments on student debt owned by the federal government. Our business operations may also be disrupted if significant portions of our workforce are unable to work effectively, including because of illness, quarantines, government actions, or other restrictions in connection with the pandemic. The extent to which the COVID-19 pandemic impacts our business, financial condition and results of operations, as well as our regulatory capital and liquidity ratios, will depend on future developments, which are highly uncertain and cannot be predicted, including the scope and duration of the pandemic and actions taken by governmental authorities and other third parties in response to the pandemic.</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have a material adverse effect on our business, financial condition and results of operations.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Constraints in the primary and secondary mortgage markets in the past have had, and may in the future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may experience a decline in demand for their offerings due to decreased consumer demand as a result of the conditions described above, now or in the future.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relationships with our Network Partners and any adverse changes in these relationships could adversely affect our business, financial condition and results of operations.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meet certain metrics required by Network Partners, then our business and financial results may be harmed.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In addition, if our online advertisements are not able to reach certain consumers due to consumers' use of ad-blocking software or other ad-blocking capabilities,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growth in 2019 and 2018 was driven by our credit card product.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card product offering is subject to particular risks: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conditions in the economy may affect credit card issuers and their willingness to issue new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card issuers and other advertisers in the business verticals in which we operate may be unwilling to advertise on our websites or mobile applications;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application approval rates by credit card issuer customers;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and its effect on our website traffic, click-through rates, advertising rates, revenue, margins, and market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competitive service to credit card issuers and to consumers using our online offerings and other platforms;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card issuers may determine that the online digital marketing channel is no longer a viable marketing platform for generating new credit card customers;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CompareCards and to effectively leverage the LendingTree brand with the CompareCards brand;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our credit card product is impacted by the risks described above, then our results of operations and future growth prospects could be materially and adversely affected.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revenue growth in 2020, 2019 and 2018 has been driven by our insurance leads business through our acquisition of QuoteWizard, which was completed in October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QuoteWizard acquisition poses risks for our ongoing operations, including, among others: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conditions in the economy may affect insurance carriers and their willingness to issue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covered losses among insurance carriers may increase beyond normal and budgeted levels which could cause a reduction in demand for leads;</w:t>
      </w:r>
    </w:p>
    <w:p>
      <w:pPr>
        <w:spacing w:after="0" w:line="140"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carriers and other advertisers in the business verticals in which we or QuoteWizard operate may be unwilling to advertise on our or QuoteWizard’s websites or mobile applications;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publishers may determine they no longer want QuoteWizard as an advertising partner;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underwriting approval rates by insurance carrier customers;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and its effect on our or QuoteWizard’s website traffic, click-through rates, advertising rates, revenue, margins, and market share;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media may rise at a faster pace than QuoteWizard's monetization of traffic;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provide competitive service to insurance carriers and to consumers using QuoteWizard’s and our online offerings and other platforms;</w:t>
      </w:r>
    </w:p>
    <w:p>
      <w:pPr>
        <w:spacing w:after="0" w:line="140"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carriers may determine that the online digital marketing channel is no longer a viable marketing platform for generating new insurance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regulatory agencies may hinder or disallow the operation of QuoteWizard's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government regulations and/or laws that affect the ability of private insurance carriers to market products directly to the consumer;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government regulations and/or laws that would replace private insurance programs with government run programs;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QuoteWizard and to effectively leverage the LendingTree brand with the QuoteWizard brand;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employees of QuoteWizard;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 business acquired in the acquisition may not continue to perform as well as anticipated; and</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assumed liabilities associated with QuoteWizard’s historical operations, including liabilities arising from privacy and security regulations or security breaches.</w:t>
      </w:r>
    </w:p>
    <w:p>
      <w:pPr>
        <w:spacing w:after="0" w:line="6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If the QuoteWizard business is impacted by the risks described above, then our results of operations and future growth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 portion of our revenue growth in recent years has been driven by personal loan offerings.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emergence of the COVID-19 pandemic, revenue from personal loan offerings was responsible for a significant portion of the growth in the Consumer segment revenue over the last few years.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personal consumer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adverse changes in relationships with our Network Partners, or failure to meet certain metrics required by Network Partners, could adversely affect our business. Network Partners affiliated with our marketplaces are not precluded from offering products and services outside of our marketplaces, or obtaining products and services from our competitors.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campaigns or other traditional methods of distribution, such as referral arrangements, physical store-front operations or broker agreements. Network Partners may also offer loans, insurance and other financial products and services to prospective customers online directly, through one or more online competitors of our businesses,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products are new to the market and may fail to achieve or maintain customer acceptance and profitability.</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launched a number of new products over the last several years. We do not have as much experience with these new products as with the other more mature products. Accordingly, new products may be subject to greater risks than our more mature products.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new products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Implementing, at an acceptable cost, product features offered by our competitors and/or expected by consumers, lenders and lead purchasers;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by consumers, lenders and lead purchasers;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Network Partners.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insurer and/or lead purchaser needs, including the emergence of new computing devices and more sophisticated online services, we may lose market share and revenue and our business could suffer.</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voice assistants,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or if consumers and customers respond negatively to changes, we may lose market share, which could materially and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improve our products and services in ways that forego short-term gains.</w:t>
      </w:r>
    </w:p>
    <w:p>
      <w:pPr>
        <w:spacing w:after="0" w:line="117"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acquisitions may not be realized.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acquisitions pose risks for our ongoing operations, including, among others:</w:t>
      </w:r>
    </w:p>
    <w:p>
      <w:pPr>
        <w:spacing w:after="0" w:line="117"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to the integration of the businesses acquired in the acquisition;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retain key employees of businesses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fully integrate the businesses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 businesses acquired in the acquisition may not perform as well as anticipated;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advertisers in the business verticals in which we or the acquired businesses operate may be unwilling to advertise on our websites or mobile applications;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and its effect on our or the acquired businesses' website traffic, click-through rates, submitted consumer requests, advertising rates, revenue, margins, and market share;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the acquired businesses and to effectively leverage the LendingTree brand with the newly acquired brands;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assumed liabilities associated with the historical operations of the acquired businesses, including as a result of privacy regulations or data breaches.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acquisitions or strategic investments that we pursue may not be successful and could disrupt our business and harm our financial condition.</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consider or undertake strategic acquisitions of, or material investments in, businesses, products or technologies, such as our February 2020 acquisition of an equity interest in Stash. We may not be able to identify suitable acquisition or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Amended Revolving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and results of operations could be harmed.</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experienced rapid and significant growth in our headcount and operations, including as a result of acquisitions,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business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develop and motivate well-qualified employees, our business and results of operations could be harmed.</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our success has depended, continues to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Partners participating on our other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is derived from one Network Partner, and our results from operations could be adversely affected and stockholder value harmed if we lose significant business from this Network Partner.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and 2019, one Network Partner accounted for 15% and 12%, respectively, of total consolidated revenue. If this significant Network Partner were to cease purchasing consumer requests and we were unable to replace the associated demand, the loss could have a material adverse effect on our results of operations in the short term and potentially also the longer term. Also, if this Network Partner reduces its volume of consumer requests for any reason,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incurred operating losses from continuing operations at times in our history, and although we were profitable in 2019 and 2018, we have an accumulated deficit of $640.9 million at December 31, 2020. If we fail to maintain or grow our revenue and manage our expenses, we may incur significant losses in the future and not be able to maintain profitability.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Revolving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December 10, 2019, our wholly-owned subsidiary LendingTree, LLC entered into an amended and restated $500.0 million five-year senior secured revolving credit facility (the "Amended Revolving Credit Facility"), which amended and restated our previous $350.0 million five-year senior secured revolving credit facility (the “2017 Revolving Credit Facility”). This Amended Revolving Credit Facility matures on December 10, 2024. Borrowings under the Amended Revolving Credit Facility can be used to finance working capital needs, capital expenditures, and general corporate purposes, including to finance permitted acquisitions. As of February 26, 2021, there were no borrowings under the Amended Revolving Credit Facility.</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Amended Revolving Credit Facility contains a restrictive financial covenant, which limits the total consolidated debt to an EBITDA ratio. In addition, the Amended Revolving Credit Facility contains customary affirmative and negative covenants, including, subject to certain exceptions, restrictions on our ability to, among other things:</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hedging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certain other transactions without the prior consent of the lenders.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21, 2020, we entered into a temporary amendment to the Amended Revolving Credit Facility to provide for certain covenant relief, primarily to facilitate the issuance of new convertible notes, the repurchase of a portion of existing convertible notes, and to pay down existing borrowings under the credit facility. Among other things, the amendment amends the existing credit agreement to temporarily replace the total consolidated debt to EBITDA ratio covenant with a consolidated liquidity covenant requiring us to maintain unrestricted cash and cash equivalents in the United States plus amounts available and permitted to be drawn under the Amended Revolving Credit Facility to be no less than $200.0 million, as well as impose additional limitations on certain restricted payments during such temporary period. These amendments shall apply from the effective date through the fiscal quarter ending June 30, 2021, unless terminated in advance by us.</w:t>
      </w:r>
    </w:p>
    <w:p>
      <w:pPr>
        <w:spacing w:after="0" w:line="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event of default occurs or if we otherwise fail to comply with any of the negative or affirmative covenants of the Amended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Amended Revolving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in the notes to the consolidated financial statements included elsewhere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While conditions in the housing markets have improved since 2013, the failure to sustain such improvements could have adverse effects on us and our mortgage Network Partners. Further, our business could be adversely affected by the actions and commercial soundness of other businesses in the financial services sector, including our non-lender lead purchasers. As a result, defaults by, or even rumors or questions about, one or more of these entities, or the financial services industry generally, have in the past, and may in the future, lead to market-wide liquidity problems and could lead to disruptions in the financial technology industry. Any such disruption could have a material and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 support services office in India, our operations are geographically limited to and dependent upon the economic condition of the United States. As a result of this geographical concentration, we are more vulnerable to downturns or other conditions that affect the U.S. economy. We may choose to expand our operations in order to increase our geographic diversity, and if we do, such expansion would place increased responsibilities on our management, divert resources from other operations and expose us to new risks of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success depends, in part, on our ability to maintain the integrity of our systems and infrastructures, including websites, information and related systems, call centers and distribution and fulfillment facilities. System interruption and the lack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may occur, and could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which could result in state and/or federal litigation and related financial liabilities, as well as criminal penalties or civil liabilities, regulatory actions from state and/or federal governmental authorities, and significant fines, orders, sanctions, litigation and claims against us by consumers or third parties and related indemnification obligations. Actual or perceived security breaches or failures could also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and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6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and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relating to the bankruptcy of our Home Loan Center, Inc. subsidiary, including risks of claims against us and our operating subsidiaries.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subsidiary Home Loan Center, Inc. ("HLC") filed a voluntary petition for relief under Chapter 11 of the United States Bankruptcy Code (the "Bankruptcy Code"), in order to preserve assets for the benefit of all creditors of HLC. In September 2019, the Bankruptcy Court converted the bankruptcy to Chapter 7 of the Bankruptcy Code and appointed a Trustee to liquidate HLC's assets. We refer to HLC’s filing and the subsequent process under the Bankruptcy Code as the HLC bankruptcy.</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HLC has indicated that it believes it has claims against HLC’s sole shareholder, our operating subsidiary LendingTree, LLC, and certain of its officers and directors, relating to the declaration of a dividend by HLC in January 2016 of $40.0 million. We believe the declaration of the dividend was proper, that the amounts paid to LendingTree, LLC following such declaration are not subject to recovery by HLC and that any claims by HLC relating to the dividend declaration are without merit. During 2020, LendingTree, LLC and HLC entered into a settlement agreement in the amount of $36.0 million for the release of any and all claims against company defendants by HLC, including the dividend claim.</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As a result of its filings with the Bankruptcy Court, certain creditors have, and it is possible that certain other creditors will, assert claims directly against our company or one or more of our wholly-owned subsidiaries not included as debtors in the HLC bankruptcy, which we refer to as non-debtor parties, on various legal theories. While we are not aware of a basis for any material claims of this nature, any such assertions of claims by HLC creditors may require significant effort, resources and money to defend and could result in losses to us. Moreover, our management may be required to spend a significant amount of time and effort dealing with the HLC bankruptcy, which could have an adverse impact on our ability to execute our business plan and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21—Discontinued Operations to the consolidated financial statements included elsewhere in this annual report for a discussion of the accounting for HLC’s bankruptcy filing.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often time-consuming and expensive to resolve and they may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divert management’s time and attention. Our technologies may not be able to withstand any third-party claims against their use. 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redesign or rebrand the allegedly infringing products or services to avoid infringement, misappropriation or violation, which could be costly, time-consuming or impossible.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Patent litigation tends to be particularly protracted and expensive.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22, 2017, former President Trump signed into law the Tax Cuts and Jobs Act (“TCJA”), comprehensive tax legislation which significantly reformed the Internal Revenue Code of 1986, as amended. This tax legislation significantly reduced the U.S. statutory corporate tax rate and made broad and complex changes to the U.S. tax code in the period of enactment and will continue to impact the income tax adjustments of prospective reporting periods. The Company recorded a provisional net tax expense of $9.1 million in the fourth quarter of 2017, which was subject to adjustment in the remeasurement period of up to one year following the December 2017 enactment, as provided by Staff Accounting Bulletin No. 118 (“SAB 118”). During the fourth quarter of the year ended December 31, 2018, the Company finalized the computations of the income tax effects of the Act. As such, in accordance with SAB 118, the Company's accounting for the effects of the Act was deemed complete. The Company did not significantly adjust provisional amounts recorded in the prior year and the SAB 118 measurement period subsequently ended on December 22, 2018.</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impact of the changes in tax legislation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(such as the recent U.S. tax legislation), rules or regulatory or judicial interpretations;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pre-tax consolidated federal net operating losses (“NOLs”) of $179.5 million. The federal NOLs no longer expire under the TCJA. Our NOLs will be available to offset taxable income subject to the limitations found in Internal Revenue Code Sections 382 and 383. In addition, we have state NOLs of approximately $519.5 million at December 31, 2020, that will expire at various times between 2021 and 2040. If we experience one or more ownership changes in the future as a result of future transactions in our stock, our ability to utilize NOLs could be limited. Our ability to use our NOLs was limited on an annual basis by the TCJA. This limitation was deferred for tax years 2019 and 2020 by the 2020 Coronavirus Aid, Relief, and Economic Security ("CARES") 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been granted one U.S. patent and from time to time we may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6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legal proceedings and claims involving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administrative fines or proceedings against us or our businesses by governmental agencies and/or litigation by consumers, which could materially and adversely affect our business, financial condition and results of operations and our brand.</w:t>
      </w:r>
    </w:p>
    <w:p>
      <w:pPr>
        <w:spacing w:after="0" w:line="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and various state telemarketing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spacing w:after="0" w:line="5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 federal, state and in some instances, local laws regulate secured and unsecured lending, and insurance brokerage activities, and certain solicitation activities related to registered investment advisors, which impacts our marketplace, partners and consumers. These laws generally regulate the manner in which lending and lending-related activities, and insurance brokerage activities, and solicitation activities related to registered investment advisors are marketed or made available, including advertising and other consumer disclosures, payments for services and record 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w:t>
      </w:r>
    </w:p>
    <w:p>
      <w:pPr>
        <w:spacing w:after="0" w:line="6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Various federal, state and, in some instances, local, laws also prohibit unfair, deceptive and abusive marketing and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4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mortgage origination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financial statements may be harmed by improper conduct by our business partners.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vicarious liability or a negative impact on our reputation and business.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and state or federal licensure or registration is required to undertake solicitation activities involving registered investment advisors. Compliance with these requirements may render it more difficult for us and our Network Partners to operate or may raise our internal costs or the costs of our Network Partners, which may be passed on to 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financial statements for prior periods and a decline in the market price of our stock.</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our current internal controls and any new controls we implement may become inadequate because of changes in conditions in our business or information technology systems or changes in the applicable laws, regulations and standards. We have also recently acquired, and may acquire in future, companies that were not subject to the Sarbanes-Oxley regulations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exposed to liabilities under the Foreign Corrupt Practices Act (FCPA), which could have a material adverse effect on our business.</w:t>
      </w:r>
    </w:p>
    <w:p>
      <w:pPr>
        <w:spacing w:after="0" w:line="14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such as the GLBA and the CCPA, that are intended to protect the privacy of personal information that is collected, used, stored, disclosed, transferred and otherwise processed in or from the governing jurisdiction. Some countries, including India,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6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CFPB and FTC, have adopted, or are considering adopting, laws and regulations concerning personal information and data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may be subject to the GLBA, which restricts certain collection, processing, storage, use and disclosure by covered companies of certain personal information, requires notice to individuals of privacy practices and provides individuals with certain rights to prevent the use and disclosure of certain non-public or otherwise legally protected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was amended in September 2018 and November 2019, and it is possible that further amendments will be enacted, but even in its current form it remains unclear how various provisions of the CCPA will be interpreted and enforced. The recent passage of the California Privacy Rights Act (“CPRA”) will bring additional compliance obligations. State laws are changing rapidly and there is discussion in Congress of a new federal data protection and privacy law to which we would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7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security breaches involving certain personal information, which could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consumers or other counterparties of a security breach. Although we may have contractual protections with our external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failure or perceived failure by us or our Network Partners or external service providers to comply with our posted privacy policies or with any applicable federal, state or similar foreign laws, regulations, standards, certifications or orders relating to data privacy,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mobile carriers and their partners could negatively affect our business.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w:t>
      </w:r>
    </w:p>
    <w:p>
      <w:pPr>
        <w:spacing w:after="0" w:line="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Fluctuations in our operating results, quarter to quarter earnings and other factors may result in significant decreases in the price of our common stock.</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price for our common stock has been volatile, as the trading volume has fluctuated and may continue to fluctuate, causing significant price variations to occur. From when we became a publicly-traded company to as of December 31, 2020,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8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introductions of new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rapid technological change, frequent new product introductions and evolving industry standards;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quarterly operating and financial results or our projected operating and financial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Partners or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preferred or common stock we may issue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by stockholders, including "activist" investors;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customers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one or more large, well-established technology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systems, data center and internet failures, breaches and service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the short selling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threatened or actual ligation;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estimated fair value of contingent consideration related to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also be aware that price volatility may be greater if the public float and trading volume of our common stock are low. These factors may result in short-term or long-term negative pressure on the value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inaccurate or unfavorable research about our business, our stock price and trading volume could decline.</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One holder of our common stock owns a substantial portion of our outstanding common stock, which concentrates voting control and limits your ability to influence corporate matters.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February 19, 2021, Douglas Lebda, our Chairman and Chief Executive Officer, beneficially owned approximately 16% of our outstanding common stock. Additionally, Mr. Lebda holds restricted stock unit awards representing 11,294 shares and options to purchase a maximum of 1,326,676 shares that are not included in beneficial ownership because Mr. Lebda does not have the right to acquire them within 60 days. If these restricted stock units were to settle and these options were exercisable, they would represent additional beneficial ownership of approximately 7% of our outstanding common stock.</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Therefore, for the foreseeable future, Mr. Lebda will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may not necessarily align with the interests of our other stockholders. Mr. Lebda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certificate of incorporation and/or amended and restated bylaws include provisions that:</w:t>
      </w:r>
    </w:p>
    <w:p>
      <w:pPr>
        <w:spacing w:after="0" w:line="16"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have not declared or paid a cash dividend on our common stock during the eight most recent fiscal years. We have no current intention to declare or pay cash dividends on our common stock in the foreseeable future. In addition, the Amended Revolving Credit Facility contains certain restrictions on our ability to pay dividends.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15—Debt,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1. Business—Seasonality included elsewhere in this annual report for more information. Any of these seasonal trends, or the combination of them, may negatively impact the price of our common stock.</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conditional conversion feature of our outstanding convertible senior notes, if triggered, may adversely affect our financial condition and operating results.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conditional conversion feature of our 0.50% Convertible Senior Notes due July 15, 2025 (the “2025 Notes”) and 0.625% Convertible Senior Notes due June 1, 2022 (the “2022 Notes”, and, together with the 2025 Notes, the “Notes”) is triggered, holders of Notes will be entitled to convert the Notes at any time during specified periods at their option. Convertibility for each quarter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respective indentures governing the Notes, which are incorporated by reference as an exhibit to this annual report.</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respective Notes as a current rather than long-term liability, which would result in a material reduction of our net working capital.</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hedge and warrant transactions may affect the value of the Notes and our common stock.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$709.52 for the warrants associated with the 2025 Notes and $266.39 for the warrants associated with the 2022 Notes.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our convertible senior notes and warrants issued could have a material adverse effect on our reported financial results.</w:t>
      </w:r>
    </w:p>
    <w:p>
      <w:pPr>
        <w:spacing w:after="0" w:line="14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which simplifies the accounting for convertible instruments, amends the derivatives scope exception guidance for contracts in an entity’s own equity, and amends the related earnings-per-share guidance. These amendments are required to be adopted in reporting periods beginning after December 15, 2021. We expect these amendments to impact the accounting for our convertible senior notes and warrants issued. Subsequent to adoption, these amendments are expected to result in an increase to the carrying value of the debt liability, and lower dilutive earnings per share, compared to the historical method of accounting.</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limits our ability to incur additional indebtedness, these restrictions are subject to a number of qualifications and exceptions and may be amended with the consent of our lenders. Accordingly, under certain circumstances, we may incur substantial additional debt.</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indefinite-lived intangible assets become impaired, we may be required to record a significant charge to earnings.</w:t>
      </w:r>
    </w:p>
    <w:p>
      <w:pPr>
        <w:spacing w:after="0" w:line="1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charge in our financial statements during a period in which any impairment of our goodwill or indefinite-lived intangible assets is determined, negatively impacting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80"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or relocation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fair value of any contingent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charges to our operating results due to duplicative pre-merger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charges to our operating results from expenses incurred to effect the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charges to our operating results due to the expensing of certain stock awards assumed in an acquisition.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2020, 2019 and 2018, we incurred $5.3 million, $28.4 million and $10.8 million, respectively, of contingent consideration expense due to the change in estimated fair value of the earnout payments.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new corporate office is currently in the final stages of construction and will be located on approximately 176,000 square feet of office space in Charlotte, North Carolina under an approximate 15-year lease that is expected to contractually commence in the first quarter of 2021. We also have additional Charlotte offices, some of which are expected to be consolidated into our new principal executive offices.</w:t>
      </w:r>
    </w:p>
    <w:p>
      <w:pPr>
        <w:spacing w:after="0" w:line="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Primarily as a result of our acquisitions in recent years, we also operate offices in: Charleston, South Carolina; Chicago, Illinois; Denver, Colorado; Jacksonville, Florida; New York City, New York; Rancho Cordova, California; San Mateo, California; Seattle, Washington; and Makarba, India.</w:t>
      </w:r>
    </w:p>
    <w:p>
      <w:pPr>
        <w:spacing w:after="0" w:line="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Charlotte operations support all three of our segments: Home, Consumer and Insurance. Our Home segment is also supported by our San Mateo office. The Consumer segment has personnel in the Charleston, Chicago, Jacksonville, New York City, San Mateo and Makarba offices. The Insurance segment has personnel in the Denver, New York City, Rancho Cordova and Seattle offices.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17</w:t>
      </w:r>
      <w:r>
        <w:rPr>
          <w:rFonts w:ascii="Arial" w:cs="Arial" w:eastAsia="Arial" w:hAnsi="Arial"/>
          <w:sz w:val="16"/>
          <w:szCs w:val="16"/>
          <w:b w:val="1"/>
          <w:bCs w:val="1"/>
          <w:color w:val="auto"/>
        </w:rPr>
        <w:t>—</w:t>
      </w:r>
      <w:r>
        <w:rPr>
          <w:rFonts w:ascii="Arial" w:cs="Arial" w:eastAsia="Arial" w:hAnsi="Arial"/>
          <w:sz w:val="16"/>
          <w:szCs w:val="16"/>
          <w:color w:val="auto"/>
        </w:rPr>
        <w:t>Contingencies and Note 21—Discontinued Operations in the notes to the consolidated financial statements included elsewhere in this report for a discussion of our current and recently settled litigation.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"TREE". As of February 19, 2021, there were approximately 575 holders of record of our common stock.</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line graph, for the period from December 31, 2015 through December 31, 2020,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59055</wp:posOffset>
            </wp:positionV>
            <wp:extent cx="5366385" cy="4440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66385"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2020, we did not issue or sell any shares of our common stock or other equity securities in transactions that were not registered under the Securities Act.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2020, no shares of common stock were repurchased under the stock repurchase program. As of February 19, 2021, approximately $179.7 million is authorized for future share repurchases.</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2020, 6,587 shares were purchased related to these obligations under the LendingTree Sixth Amended and Restated 2008 Stock and Award Incentive Plan and 1,443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84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89"/>
        </w:trPr>
        <w:tc>
          <w:tcPr>
            <w:tcW w:w="266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Paid per Share</w:t>
            </w:r>
          </w:p>
        </w:tc>
        <w:tc>
          <w:tcPr>
            <w:tcW w:w="1840" w:type="dxa"/>
            <w:vAlign w:val="bottom"/>
          </w:tcPr>
          <w:p>
            <w:pPr>
              <w:jc w:val="center"/>
              <w:ind w:left="288"/>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179"/>
        </w:trPr>
        <w:tc>
          <w:tcPr>
            <w:tcW w:w="2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center"/>
              <w:ind w:right="24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10/1/20 - 10/31/20</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11/1/20 - 11/30/20</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317.02</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12/1/20 - 12/31/20</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311.81</w:t>
            </w: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179,673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October 2020, November 2020 and December 2020, 4,899 shares, 339 shares and 2,792 shares, respectively (totaling 8,030 shares), were purchased to satisfy federal and state withholding obligations of our employees upon the settlement of restricted stock units and restricted stock awards, all in accordance with our Sixth Amended and Restated 2008 Stock and Award Incentive Plan and 2017 Inducement Grant Plan, as described above.</w:t>
      </w:r>
    </w:p>
    <w:p>
      <w:pPr>
        <w:spacing w:after="0" w:line="78"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(loss)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 our three reportable segments, the Consumer segment has been most impacted as unsecured credit and the flow of capital in certain areas of the market have contracted. The impact to our Home and Insurance segments was much less substantial and these segments recovered by the end of 2020. While forecasting the timeline of full recovery for the Consumer segment remains challenging, the momentum of recovery has increased in each quarter subsequent to the onset of the COVID-19 pandemic. We are encouraged by the progress made, and continue to view the Consumer segment with optimism over the medium to long term.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February 28, 2020, we acquired an equity interest in Stash for $80.0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10, 2019, we acquired ValuePenguin, a personal finance website that offers consumers objective analysis on a variety of financial topics from insurance to credit cards, for $106.2 million. Combining ValuePenguin’s high-quality content and search engine optimization capability with proprietary technology and insurance carrier network from QuoteWizard enables us to provide immense value to insurance carriers and agents. This strategic acquisition positions us to achieve further scale in the insurance space as well as the broader financial services industry.</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2018, we acquired QuoteWizard, one of the largest insurance comparison marketplaces in the growing online insurance advertising market, for $299.5 million in cash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2018, we acquired Student Loan Hero for $62.7 million in cash, of which $2.3 million was recognized as severance expense in our consolidated statements of operations and comprehensive income (loss).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June 11, 2018, we acquired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reporting agencies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reporting agency relationships and customized software platform enable us to help more consumers achieve their financial goals through the LendingTree platform.</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Freddie Mac, 30-year mortgage interest rates increased from 3.95% at the end of 2017 to a monthly average of 4.87% in November 2018, but declined to 4.64% at the end of 2018. During 2019, 30-year mortgage interest rates steadily decreased from a monthly average of 4.46% in January 2019, ending at a monthly average of 3.72% in December. The declining trend continued into 2020, largely as a result of stimulus efforts in response to the COVID-19 pandemic, ending at a monthly average of 2.68% in December 2020.</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 full-year basis, 30-year mortgage interest rates decreased to an average 3.11% in 2020, compared to 3.94% and 4.54% in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48895</wp:posOffset>
            </wp:positionV>
            <wp:extent cx="5143500" cy="3274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Typically, as mortgage interest rates decline, there are more consumers in the marketplace seeking refinancings and, accordingly, the mix of mortgage origination dollars will move towards refinance mortgages. According to Mortgage Bankers Association ("MBA") data, total refinance origination dollars increased from 28% of total 2018 mortgage origination dollars to 38% in 2019, then increased further to 60% in 2020 as a result of the general trend in average mortgage interest rates. Total refinance origination dollars increased by 70% in 2019 over 2018 and by 109% in 2020 over 2019. Industry-wide mortgage origination dollars increased by 34% in 2019 over 2018 and by 59% in 2020 over 2019.</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Looking forward, the MBA is projecting 30-year mortgage interest rates to increase slightly in 2021 to an average 3.4%. According to MBA projections, the mix of mortgage origination dollars is expected to move back towards purchase mortgages with the refinance share representing just 42% for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National Association of Realtors ("NAR"), nationwide existing home sales in 2018 declined approximately 3% compared to 2017 due to limited inventory of homes for sale and rising interest rates. Existing home sales in 2019 remained consistent with 2018 levels. In 2020, existing home sales grew by 6% over 2019, fueled by increased competition for low inventory as well as an increase in first-time home buyers. The NAR expects a 15% increase in existing home sales in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2020, we issued $575.0 million aggregate principal amount of our 0.50% Convertible Senior Notes due July 15, 2025 and, in connection therewith, entered into Convertible Note Hedge and Warrant transactions with respect to our common stock.</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31, 2017, we issued $300.0 million aggregate principal amount of our 0.625% Convertible Senior Notes due June 1, 2022 and, in connection therewith, entered into Convertible Note Hedge and Warrant transactions with respect to our common stock. On July 24, 2020, a portion of the net proceeds from the issuance of the 2025 Notes was used to repurchase approximately $130.3 million principal amount of the 2022 Notes. A portion of the call spread transactions associated with the 2022 Notes was also terminated on July 24, 2020 in notional amounts corresponding to the principal amount of the 2022 Notes repurchased.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in the notes to the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May 2019, we sold these buildings to an unrelated third party for a sale price of $24.4 million.</w:t>
      </w:r>
    </w:p>
    <w:p>
      <w:pPr>
        <w:spacing w:after="0" w:line="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new corporate office is currently in the final stages of construction and will be located on approximately 176,000 square feet of office space in Charlotte, North Carolina under an approximate 15-year lease that is expected to contractually commence in the first quarter of 2021.</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For information on fiscal 2018 results and similar comparisons,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7. Management's Discussion and Analysis of Financial Condition and Results of Operations—Results of Operations for the Years ended December 31, 2019 and 2018 of our Form 10-K for the fiscal year ended December 31,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6"/>
                <w:szCs w:val="16"/>
                <w:b w:val="1"/>
                <w:bCs w:val="1"/>
                <w:color w:val="auto"/>
                <w:w w:val="98"/>
              </w:rPr>
              <w:t>Year Ended December 31,</w:t>
            </w: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6"/>
                <w:szCs w:val="16"/>
                <w:b w:val="1"/>
                <w:bCs w:val="1"/>
                <w:color w:val="auto"/>
              </w:rPr>
              <w:t>2020 vs. 2019</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3"/>
                <w:szCs w:val="13"/>
                <w:color w:val="auto"/>
              </w:rPr>
            </w:pPr>
          </w:p>
        </w:tc>
        <w:tc>
          <w:tcPr>
            <w:tcW w:w="1260" w:type="dxa"/>
            <w:vAlign w:val="bottom"/>
          </w:tcPr>
          <w:p>
            <w:pPr>
              <w:jc w:val="right"/>
              <w:ind w:right="731"/>
              <w:spacing w:after="0" w:line="158"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51"/>
              <w:spacing w:after="0" w:line="158"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791"/>
              <w:spacing w:after="0"/>
              <w:rPr>
                <w:sz w:val="20"/>
                <w:szCs w:val="20"/>
                <w:color w:val="auto"/>
              </w:rPr>
            </w:pPr>
            <w:r>
              <w:rPr>
                <w:rFonts w:ascii="Arial" w:cs="Arial" w:eastAsia="Arial" w:hAnsi="Arial"/>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320,992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277,935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43,057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253,198</w:t>
            </w:r>
          </w:p>
        </w:tc>
        <w:tc>
          <w:tcPr>
            <w:tcW w:w="3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515,037</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(261,839)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333,765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284,792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48,973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2,035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28,839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(26,804)</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909,990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1,106,603</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(196,613)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w:t>
            </w: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54,494</w:t>
            </w: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68,379</w:t>
            </w: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(13,885)</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separately below)</w:t>
            </w:r>
          </w:p>
        </w:tc>
        <w:tc>
          <w:tcPr>
            <w:tcW w:w="2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617,404</w:t>
            </w:r>
          </w:p>
        </w:tc>
        <w:tc>
          <w:tcPr>
            <w:tcW w:w="3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735,180</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(117,776)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129,101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116,847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12,254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43,636</w:t>
            </w:r>
          </w:p>
        </w:tc>
        <w:tc>
          <w:tcPr>
            <w:tcW w:w="3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39,953</w:t>
            </w:r>
          </w:p>
        </w:tc>
        <w:tc>
          <w:tcPr>
            <w:tcW w:w="300" w:type="dxa"/>
            <w:vAlign w:val="bottom"/>
          </w:tcPr>
          <w:p>
            <w:pPr>
              <w:spacing w:after="0"/>
              <w:rPr>
                <w:sz w:val="19"/>
                <w:szCs w:val="19"/>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3,683</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14,201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10,998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3,203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53,078</w:t>
            </w:r>
          </w:p>
        </w:tc>
        <w:tc>
          <w:tcPr>
            <w:tcW w:w="3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55,241</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(2,163)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28,402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(23,075)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1,026</w:t>
            </w:r>
          </w:p>
        </w:tc>
        <w:tc>
          <w:tcPr>
            <w:tcW w:w="3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(792)</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916,593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1,055,875</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(139,282)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50,728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(57,331)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16,029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(148)</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30,981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(73,508)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19,961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8,479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11,482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39,460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(62,026)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 from discontinued operations, net of tax</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(21,632)</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4,057</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17,828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(66,083)</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decreased in 2020 compared to 2019 due to decreases in our Consumer segment and Other category, partially offset by increases in our Insurance and Home segments.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$261.8 million in 2020 from 2019, or 51%, primarily due to decreases in our credit cards, personal loans, small business loans and student loans products.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credit cards product decreased $133.9 million to $77.4 million in 2020 from $211.3 million in 2019, or 63%, primarily due to the impact of economic conditions related to the COVID-19 pandemic that caused lower issuer demand, resulting in a decrease in the number of approvals and a decrease in revenue earned per approval.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our personal loans product decreased $86.2 million to $66.5 million in 2020 from $152.7 million in 2019, or 56%, primarily due to the impact of economic conditions related to the COVID-19 pandemic that caused a contraction in the flow of capital and a decrease in revenue earned per consumer.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small business loans product decreased $20.9 million in 2020 compared to 2019, due to a contraction in the flow of capital and a decrease in revenue earned per consumer. Revenue from our student loans product decreased $18.0 million in 2020 compared to 2019, due to a decrease in the number of consumers on our marketplace seeking student loans and lower demand for student loan refinancing due to the CARES Act providing temporary payment deferral relief.</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ongoing COVID-19 pandemic is anticipated to continue to impact our Consumer product revenues in the near-term due to the significant industry-wide contraction in the availability of capital for products in the Consumer segment, specifically credit cards, small business loans and personal loans, as discussed above.</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our Insurance segment increased $49.0 million to $333.8 million in 2020 from $284.8 million in 2019, or 17%, due to increases in the number of consumers seeking insurance coverage, partially offset by a decrease in revenue earned per consumer.</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reverse mortgage loans, and real estate. Revenue from our Home segment increased $43.1 million in 2020 from 2019, or 15%, primarily due to an increase in revenue from our refinance mortgage product, partially offset by decreases in our purchase mortgage and home equity loans and lines of credit products.</w:t>
      </w:r>
    </w:p>
    <w:p>
      <w:pPr>
        <w:spacing w:after="0" w:line="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 from our refinance mortgage product increased $98.3 million in 2020 compared to 2019, primarily due to an increase in the number of consumers completing request forms resulting from increased refinancing activity in a declining interest rate environment, partially offset by a decrease in revenue earned per consumer. Revenue from our purchase mortgage product and our home equity loans and lines of credit product decreased $28.8 million and $24.0 million, respectively, in 2020 compared to 2019. Revenue from our purchase mortgage and home equity loans and lines of credit products decreased due to a shift in lender focus toward refinance products as well as decreases in revenue earned per consumer.</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Other category includes revenue from the resale of online advertising space to third parties and revenue from home improvement referrals. Revenue in the Other category decreased $26.8 million in 2020 compared to 2019, as we ceased offering home improvement referrals during the first quarter of 2019 and ceased reselling online advertising space during the first quarter of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decreased in 2020 from 2019, primarily due to a $21.7 million decrease for the cost of resold advertising space, partially offset by increases in compensation and benefits, website network hosting and server fees, and credit card fees of $2.4 million, $2.3 million, and $2.1 million,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6% for each of 2020 and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selling and marketing expense in 2020 compared to 2019 was primarily due to decreases in advertising and promotional expense of $120.4 million, as discussed below. This was partially offset by an increase in compensation and benefits of $2.7 million as a result of increases in headcount.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4"/>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2380" w:type="dxa"/>
            <w:vAlign w:val="bottom"/>
            <w:gridSpan w:val="2"/>
          </w:tcPr>
          <w:p>
            <w:pPr>
              <w:jc w:val="right"/>
              <w:ind w:right="833"/>
              <w:spacing w:after="0"/>
              <w:rPr>
                <w:sz w:val="20"/>
                <w:szCs w:val="20"/>
                <w:color w:val="auto"/>
              </w:rPr>
            </w:pPr>
            <w:r>
              <w:rPr>
                <w:rFonts w:ascii="Arial" w:cs="Arial" w:eastAsia="Arial" w:hAnsi="Arial"/>
                <w:sz w:val="16"/>
                <w:szCs w:val="16"/>
                <w:b w:val="1"/>
                <w:bCs w:val="1"/>
                <w:color w:val="auto"/>
              </w:rPr>
              <w:t>2020 vs. 2019</w:t>
            </w: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54"/>
              <w:spacing w:after="0" w:line="158" w:lineRule="exact"/>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553"/>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w w:val="88"/>
              </w:rPr>
              <w:t>Change</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2"/>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539,910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653,739</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(113,829)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3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13,415</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(7,557)</w:t>
            </w: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14,423</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954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567,748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688,180</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(120,432)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decreased our advertising expenditures in 2020 compared to 2019 in response to changes in Network Partner demand on our marketplace as a result of the ongoing COVID-19 pandemic discussed above. We will continue to adjust selling and marketing expenditures dynamically in relation to this and in response to anticipated revenue opportunities.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increased in 2020 compared to 2019, primarily due to increases in professional fees, facilities expense, and technology expense of $5.7 million, $4.9 million, and $4.1 million, respectively. 2019 also benefited from a $2.7 million gain on the sale of two office buildings in Charlotte, North Carolina. This was partially offset by decreases in travel and entertainment expense of $3.8 million and employee morale of $1.7 million.</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within general and administrative expense is expected to increase in 2021, which could result in reductions in net income from continuing operations in 2021 compared to historical periods. For additional information, see Note 13—Stock-Based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increased to 14% in 2020 compared to 11% in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Product development expense increased in 2020 compared to 2019 as we continued to invest in internal development of new and enhanced features, functionality and business opportunities that we believe will enable us to better and more fully serve consumers and Network Partners.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depreciation expense in 2020 compared to 2019 was primarily the result of higher investment in internally developed software in recent years, to support the growth of our business.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2020, we recorded aggregate contingent consideration expense of $5.3 million due to adjustments in the estimated fair value of the earnout payments related to our recent acquisitions. For 2020, the net contingent consideration expense for the QuoteWizard, Ovation and SnapCap acquisitions was $4.0 million, $1.3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2019, we recorded aggregate contingent consideration expense of $28.4 million due to adjustments in the estimated fair value of the earnout payments related to our recent acquisitions. For 2019, the contingent consideration expense for the QuoteWizard and SnapCap acquisitions were $27.1 million and $2.2 million, respectively. This was partially offset by a contingent consideration gain for the DepositAccounts acquisition of $1.0 million.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expense increased in 2020 compared to 2019 due to the issuance of $575.0 million of our 2025 Notes as well as the repurchase of a portion of our existing 2022 Notes in July 2020. In 2020, interest expense of $11.5 million was recognized on the newly-issued 2025 Notes. Further, a loss on debt extinguishment of $7.8 million was recognized within interest expense upon the partial repurchase of the 2022 Notes. These increases to interest expense were partially offset by lower interest expense on the 2022 Notes subsequent to the repurchase of $130.3 million principal amount of the 2022 Notes. See Note 15—Debt for additional information on the issuance of the 2025 Notes and the partial repurchase of the 2022 Notes.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benefit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ind w:right="233"/>
              <w:spacing w:after="0"/>
              <w:rPr>
                <w:sz w:val="20"/>
                <w:szCs w:val="20"/>
                <w:color w:val="auto"/>
              </w:rPr>
            </w:pPr>
            <w:r>
              <w:rPr>
                <w:rFonts w:ascii="Arial" w:cs="Arial" w:eastAsia="Arial" w:hAnsi="Arial"/>
                <w:sz w:val="16"/>
                <w:szCs w:val="16"/>
                <w:b w:val="1"/>
                <w:bCs w:val="1"/>
                <w:color w:val="auto"/>
                <w:w w:val="91"/>
              </w:rPr>
              <w:t>Year Ended December 31,</w:t>
            </w:r>
          </w:p>
        </w:tc>
      </w:tr>
      <w:tr>
        <w:trPr>
          <w:trHeight w:val="210"/>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2019</w:t>
            </w:r>
          </w:p>
        </w:tc>
      </w:tr>
      <w:tr>
        <w:trPr>
          <w:trHeight w:val="209"/>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3"/>
          </w:tcPr>
          <w:p>
            <w:pPr>
              <w:jc w:val="center"/>
              <w:ind w:right="233"/>
              <w:spacing w:after="0"/>
              <w:rPr>
                <w:sz w:val="20"/>
                <w:szCs w:val="20"/>
                <w:color w:val="auto"/>
              </w:rPr>
            </w:pPr>
            <w:r>
              <w:rPr>
                <w:rFonts w:ascii="Arial" w:cs="Arial" w:eastAsia="Arial" w:hAnsi="Arial"/>
                <w:sz w:val="16"/>
                <w:szCs w:val="16"/>
                <w:i w:val="1"/>
                <w:iCs w:val="1"/>
                <w:color w:val="auto"/>
                <w:w w:val="89"/>
              </w:rPr>
              <w:t>(in thousands, except percentages)</w:t>
            </w:r>
          </w:p>
        </w:tc>
      </w:tr>
      <w:tr>
        <w:trPr>
          <w:trHeight w:val="23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19,961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8,479</w:t>
            </w:r>
          </w:p>
        </w:tc>
      </w:tr>
      <w:tr>
        <w:trPr>
          <w:trHeight w:val="229"/>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46.9 %</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8"/>
                <w:szCs w:val="18"/>
                <w:i w:val="1"/>
                <w:iCs w:val="1"/>
                <w:color w:val="auto"/>
                <w:w w:val="95"/>
              </w:rPr>
              <w:t>(27.4)%</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2020, the effective tax rate varied from the federal statutory rate of 21% in part due to the benefit derived from excess tax deductions from the vesting of restricted stock and exercise of stock options of $2.5 million, including state taxes. The effective tax rate for 2020 was also impacted by a tax benefit of $6.1 million for the impact of the CARES Act, as described below.</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27, 2020, President Trump signed into law the CARES Act. This legislation is an economic relief package in response to the public health and economic impacts of COVID-19 and includes various provisions that impact us, including, but not limited to, modifications for net operating losses, accelerated timeframe for refunds associated with prior minimum taxes and modifications of the limitation on business interest.</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revalued deferred tax assets related to net operating losses in light of the changes in the CARES Act and recorded a net tax benefit of $6.1 million during 2020. These deferred tax assets are being revalued, as they have been carried back to 2016 and 2017, which are tax periods prior to the TCJA when the federal statutory tax rate was 35% versus the 21% federal statutory tax rate in effect after the enactment of the TCJA.</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2019, the effective tax rate varied from the federal statutory rate of 21% primarily due to the benefit derived from excess tax deductions from the vesting of restricted stock and exercise of stock options of $17.1 million, including state taxes and the benefit of an expected 2019 federal research and development tax credit of $3.5 million, offset by expense due to incremental valuation allowance on state net operating losses of $3.9 million, primarily due to state legislative changes.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21—Discontinued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715"/>
              <w:spacing w:after="0"/>
              <w:rPr>
                <w:sz w:val="20"/>
                <w:szCs w:val="20"/>
                <w:color w:val="auto"/>
              </w:rPr>
            </w:pPr>
            <w:r>
              <w:rPr>
                <w:rFonts w:ascii="Arial" w:cs="Arial" w:eastAsia="Arial" w:hAnsi="Arial"/>
                <w:sz w:val="16"/>
                <w:szCs w:val="16"/>
                <w:b w:val="1"/>
                <w:bCs w:val="1"/>
                <w:color w:val="auto"/>
              </w:rPr>
              <w:t>2020 vs. 2019</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6"/>
                <w:szCs w:val="16"/>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6"/>
                <w:szCs w:val="16"/>
                <w:color w:val="auto"/>
              </w:rPr>
            </w:pPr>
          </w:p>
        </w:tc>
        <w:tc>
          <w:tcPr>
            <w:tcW w:w="1160" w:type="dxa"/>
            <w:vAlign w:val="bottom"/>
          </w:tcPr>
          <w:p>
            <w:pPr>
              <w:jc w:val="right"/>
              <w:ind w:right="673"/>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953"/>
              <w:spacing w:after="0"/>
              <w:rPr>
                <w:sz w:val="20"/>
                <w:szCs w:val="20"/>
                <w:color w:val="auto"/>
              </w:rPr>
            </w:pPr>
            <w:r>
              <w:rPr>
                <w:rFonts w:ascii="Arial" w:cs="Arial" w:eastAsia="Arial" w:hAnsi="Arial"/>
                <w:sz w:val="13"/>
                <w:szCs w:val="13"/>
                <w:b w:val="1"/>
                <w:bCs w:val="1"/>
                <w:i w:val="1"/>
                <w:iCs w:val="1"/>
                <w:color w:val="auto"/>
              </w:rPr>
              <w:t>(Dollars in thousands)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103,121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29,002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106,890</w:t>
            </w:r>
          </w:p>
        </w:tc>
        <w:tc>
          <w:tcPr>
            <w:tcW w:w="3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213,185</w:t>
            </w:r>
          </w:p>
        </w:tc>
        <w:tc>
          <w:tcPr>
            <w:tcW w:w="30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(106,295)</w:t>
            </w: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114,639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16,503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1,373</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(2,055)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369,473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432,318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(62,845)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See Note 22— Segment Information in the notes to the consolidated financial statements for additional information on segments and a reconciliation of segment profit to pre-tax income from continuing operations.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Consumer segment profit decreased $106.3 million during 2020, primarily due to decreases in revenue, partially offset by corresponding decreases in selling and marketing expense due to the impact of economic conditions related to the COVID-19 pandemic. While the Consumer segment was the most impacted by the COVID-19 pandemic, particularly in our credit cards, personal loans and small business loans products, recovery in the segment gained momentum throughout 2020. We are encouraged by increasing credit card issuer budgets, increasing lender demand, and sustained signs of improved consumer health and spending, while continuing to be aware of challenges in consumer demand for unsecured loans. While the timeline of full recovery for the Consumer segment remains uncertain, we continue to view the segment with optimism over the medium to long term.</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Home segment profit increased $29.0 million during 2020, primarily due to an increase in revenue resulting from increased lender capacity and competition among network lenders, as well as due to margins that have improved as 2020 progressed. In an environment of historic lows in mortgage rates and nearly historic highs in mortgage originations, lender demand increased in 2020 and persists into the new year. Lenders adding operational capacity have increasingly turned to LendingTree to help drive growth. We continue to view our leading position in the mortgage industry as a key point of competitive differentiation, and believe that the mortgage industry is still in the early stages of the shift to digital fulfillment, which has accelerated throughout 2020. We believe that our reputation, history and lender relationships position us to not only benefit from but also help drive this accelerating shift to price discovery and digital fulfillment.</w:t>
      </w:r>
    </w:p>
    <w:p>
      <w:pPr>
        <w:spacing w:after="0" w:line="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Insurance segment profit increased $16.5 million during 2020, primarily due to increases in revenue, partially offset by corresponding increases in selling and marketing expense. We are consistently innovating and identifying opportunities for diversification and growth within the Insurance industry. The rollout of our new publisher platform during 2020, which enables third-party content producers to monetize traffic through our distribution network, has increasingly contributed to segment results during the year. The build out in 2020 of our in-house agency serving property and casualty clients, which complements our existing offerings by enabling us to drive volume for insurance carriers who do not write premiums directly, shows promising unit economics and we intend to scale the number of licensed agents and the geographic coverage significantly throughout 2021. Finally, in addition to the automobile and home categories, our health insurance and Medicare categories continue to scale. The Medicare category, which we began building out in 2020, showed significant promise during our first open-enrollment period in the fourth quarter of 2020. We believe there is significant opportunity in this category, and intend to continue investing in its growth over the coming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One-time items for the year ended December 31, 2020 consisted of expenses incurred in connection with a secondary public offering of our common stock by our largest shareholder, for which we did not receive any proceeds. There are no adjustments for one-time items for the year ended December 31,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net (loss) income from continuing operations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182"/>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39,460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53,078</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55,241</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14,201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10,998</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Loss (gain) on impairments and disposal of assets</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1,160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53,733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52,167</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Costs of secondary public offering</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863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5,327</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2,217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36,300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20,271</w:t>
            </w:r>
          </w:p>
        </w:tc>
      </w:tr>
      <w:tr>
        <w:trPr>
          <w:trHeight w:val="230"/>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(19,961)</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123,704</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198,201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For information on fiscal 2018 results and similar comparisons,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Management's Discussion and Analysis of Financial Condition and Results of Operations—Financial Position, Liquidity and Capital Resources of our Form 10-K for the fiscal year ended December 31, 2019.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we had $169.9 million of cash and cash equivalents, compared to $60.2 million of cash and cash equivalents as of December 31, 2019.</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 We will continue to monitor the impact of the ongoing COVID-19 pandemic on our liquidity and capital resources. We expect our cashflow from operating activities to be negatively impacted by the economic recession.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Notable transactions affecting cash and cash equivalents during the reported periods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2020</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2020, we made litigation settlement payments of $26.5 million to the ResCap Liquidating Trust ("ResCap") and $36.0 million to the HLC bankruptcy Trustee for the matters noted in Note 21—Discontinued Operations. In October 2020, due to the timing of distributions from the HLC bankruptcy estate, we were required to make a further payment of $6.4 million to ResCap. We anticipate receiving a total $8.6 million reimbursement from the HLC bankruptcy estate related to the ResCap payments by the third quarter of 2021.</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July 2020, we issued $575.0 million of our 2025 Notes for net proceeds of approximately $559.9 million. We used approximately $63.0 million of the net proceeds to enter into Convertible Note Hedge and Warrant transactions. Further, we used $234.0 million of the net proceeds to repurchase approximately $130.3 million principal amount of our 2022 Notes. To the extent of the repurchases of the 2022 Notes, we received approximately $15.6 million as a result of terminating a corresponding portion of the Convertible Note Hedge and Warrant transactions entered into on May 31,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In February 2020, we acquired an equity interest in Stash for $80.0 million. The investment was funded through $80.0 million drawn on our Amended Revolving Credit Facility.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8—Equity Investment to the consolidated financial statements included elsewhere in this report for more information.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we made net repayments of $75.0 million on our Amended Revolving Credit Facility.</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During 2020, we made contingent consideration payments of $6.0 million, $4.4 million and $20.2 million related to the prior acquisitions of SnapCap, Ovation and QuoteWizard, respectively. We could make an additional potential contingent consideration payment of up to $23.4 million for QuoteWizard.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we purchased an aggregate of 22,731 shares of our common stock pursuant to a stock repurchase program for $5.5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2019, we completed the sale of two office buildings in Charlotte, North Carolina to an unrelated third party for a sale price of $24.4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received proceeds of $24.1 million, net of closing fees of $0.3 million.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2019, we acquired ValuePenguin for $106.2 million in cash. The acquisition was funded through $90.0 million drawn on our 2017 Revolving Credit Facility and the balance using cash on hand.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we paid down $140.0 million on our 2017 Revolving Credit Facility.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2019, we made contingent consideration payments of $3.0 million, $3.0 million, $4.4 million and $23.4 million related to the prior acquisitions of SnapCap, DepositAccounts, Ovation and QuoteWizard,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10, 2019, we entered into an amended and restated $500.0 million five-year senior secured revolving credit facility, which matures on December 10, 2024. Borrowings under the Amended Revolving Credit Facility can be used to finance working capital needs, capital expenditures and general corporate purposes, including to finance permitted acquisitions. In July 2020, we executed a temporary amendment to the Amended Revolving Credit Facility to provide for certain covenant relief, primarily to facilitate the issuance of the 2025 Notes, the repurchase of a portion of the 2022 Notes, and to pay down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existing borrowings under the credit facility. The amendment applies from the effective date through the fiscal quarter ending June 30, 2021, unless terminated in advance by us.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February 26, 2021, we have outstanding a $0.2 million letter of credit under the Amended Revolving Credit Facility. The remaining borrowing capacity at February 26, 2021 is $499.8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Amended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in the notes to the consolidated financial statements included elsewhere in this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80"/>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111,299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(122,149)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(101,060)</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193,290</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decreased in 2020 from 2019 primarily due to a decrease in revenue, partially offset by a corresponding decrease in selling and marketing expense. This was further partially offset by a net increase in cash from changes in working capital, primarily due to favorable changes in accounts receivable, partially countered by unfavorable changes in income taxes receivable and current contingent consideration.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2020 of $122.1 million consisted of the purchase of an $80.0 million equity interest in Stash and capital expenditures of $42.1 million primarily related to internally developed software and leasehold improvements for our new principal corporate offices currently under construction.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2019 of $101.1 million consisted primarily of the acquisition of ValuePenguin for $105.6 million, net of cash acquired, and capital expenditures of $20.0 million primarily related to internally developed software. This was partially offset by proceeds of $24.1 million on the sale of two office buildings, net of closing expenses.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2020 of $193.3 million consisted primarily of $575.0 million of gross proceeds from the issuance of the 2025 Notes, partially offset by $233.9 million paid to repurchase a portion of the 2022 Notes, a net $47.4 million paid for the related convertible note hedge and warrant transactions outlined above, $75.0 million of net repayments on our Amended Revolving Credit Facility, and $16.6 million for the payment of debt issuance costs.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2019 of $87.7 million consisted primarily of $50.0 million of net repayments on our 2017 Revolving Credit Facility, $21.3 million of aggregate contingent consideration payments for the prior acquisitions of SnapCap, Ovation and QuoteWizard, $5.5 million for the repurchase of our stock, and $8.4 million in withholding taxes paid upon surrender of shares to satisfy obligations on equity awards, net of proceeds from the exercise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material to investors.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16—Commitments to the consolidated financial statements included elsewhere in the report for further details.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2020.</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w w:val="99"/>
              </w:rPr>
              <w:t>Payments Due By Period as of December 31, 2020</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23"/>
                <w:szCs w:val="23"/>
                <w:b w:val="1"/>
                <w:bCs w:val="1"/>
                <w:color w:val="auto"/>
                <w:vertAlign w:val="superscript"/>
              </w:rPr>
              <w:t>(a)</w:t>
            </w: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100" w:type="dxa"/>
            <w:vAlign w:val="bottom"/>
          </w:tcPr>
          <w:p>
            <w:pPr>
              <w:jc w:val="right"/>
              <w:ind w:right="258"/>
              <w:spacing w:after="0" w:line="135"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10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1"/>
                <w:szCs w:val="11"/>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1"/>
                <w:szCs w:val="11"/>
                <w:color w:val="auto"/>
              </w:rPr>
            </w:pPr>
          </w:p>
        </w:tc>
        <w:tc>
          <w:tcPr>
            <w:tcW w:w="1140" w:type="dxa"/>
            <w:vAlign w:val="bottom"/>
          </w:tcPr>
          <w:p>
            <w:pPr>
              <w:jc w:val="right"/>
              <w:ind w:right="256"/>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(b)</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contractual obligations </w:t>
            </w:r>
            <w:r>
              <w:rPr>
                <w:rFonts w:ascii="Arial" w:cs="Arial" w:eastAsia="Arial" w:hAnsi="Arial"/>
                <w:sz w:val="23"/>
                <w:szCs w:val="23"/>
                <w:color w:val="auto"/>
                <w:vertAlign w:val="superscript"/>
              </w:rPr>
              <w:t>(c)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23,146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13,858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8,512</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Convertible debt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744,690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169,690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918,794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203,642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596,085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potential obligations under surety bonds. Excludes a $2.6 million accrual related to uncertain tax position, as we are unable to determine when, or if, payments for these taxes will ultimately be made.</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 and office equipment.</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 liability of $8.2 million for the estimated fair value of the contingent consideration obligation reflected on the balance sheet for the QuoteWizard acquisition. The actual contingent consideration payment could range from zero to $23.4 million for QuoteWizard. Also includes $14.9 million of certain other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Estimates of deferred income taxes and the significant items giving rise to the deferred assets and liabilities are shown in Note 14—Income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At December 31, 2020, 2019 and 2018, we recorded a partial valuation allowance of $5.8 million, $4.1 million and $2.2 million, respectively, primarily related to state net operating losses, which we do not expect to be able to utilize prior to expiration.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forms of stock-based awards granted to our employees are principally restricted stock units ("RSUs"), RSUs with performance conditions and stock options.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is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13—Stock-Based Compensation to the consolidated financial statements included elsewhere in this report for additional information on assumptions and inputs to the fair value determination of stock-based awards.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Goodwill Impairment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Performing the quantitative test for goodwill impairment that compares the reporting unit fair value with its carrying value using a discounted cash flow analysis requires the exercise of significant judgments, including judgments about appropriate discount rates, perpetual growth rates and the amount and timing of expected future cash flows. If the carrying amount of a reporting unit exceeds its fair value, an impairment loss is recognized in an amount equal to that excess.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goodwill subject to assessment for impairment at December 31, 2020 is $420.1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the adoption of ASU 2018-15 in the first quarter of 2020, capitalized implementation costs incurred in a hosting arrangement that is a service contract are also allocated to and included within long-lived asset groups tested for recoverability.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combined value of long-lived assets and capitalized implementation costs incurred in a hosting arrangement that is a service contract subject to assessment for impairment is $267.9 million at December 31,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reassess the fair value of contingent consideration quarterly until the contingency is resolved, and changes in the fair value are recorded in operating income in the consolidated statements of operations and comprehensive income (loss).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Amended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Amended Revolving Credit Facility, if any. As of February 26, 2021, there were no borrowings under the Amended Revolving Credit Facility.</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6"/>
        </w:trPr>
        <w:tc>
          <w:tcPr>
            <w:tcW w:w="4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11"/>
        </w:trPr>
        <w:tc>
          <w:tcPr>
            <w:tcW w:w="9660" w:type="dxa"/>
            <w:vAlign w:val="bottom"/>
            <w:gridSpan w:val="3"/>
          </w:tcPr>
          <w:p>
            <w:pPr>
              <w:spacing w:after="0"/>
              <w:rPr>
                <w:sz w:val="20"/>
                <w:szCs w:val="20"/>
                <w:color w:val="auto"/>
              </w:rPr>
            </w:pPr>
            <w:r>
              <w:rPr>
                <w:rFonts w:ascii="Arial" w:cs="Arial" w:eastAsia="Arial" w:hAnsi="Arial"/>
                <w:sz w:val="18"/>
                <w:szCs w:val="18"/>
                <w:color w:val="auto"/>
              </w:rPr>
              <w:t>LENDINGTREE, INC. AND SUBSIDIARIES:</w:t>
            </w:r>
          </w:p>
        </w:tc>
        <w:tc>
          <w:tcPr>
            <w:tcW w:w="1520" w:type="dxa"/>
            <w:vAlign w:val="bottom"/>
          </w:tcPr>
          <w:p>
            <w:pPr>
              <w:spacing w:after="0"/>
              <w:rPr>
                <w:sz w:val="18"/>
                <w:szCs w:val="18"/>
                <w:color w:val="auto"/>
              </w:rPr>
            </w:pPr>
          </w:p>
        </w:tc>
      </w:tr>
      <w:tr>
        <w:trPr>
          <w:trHeight w:val="230"/>
        </w:trPr>
        <w:tc>
          <w:tcPr>
            <w:tcW w:w="9660" w:type="dxa"/>
            <w:vAlign w:val="bottom"/>
            <w:gridSpan w:val="3"/>
          </w:tcPr>
          <w:p>
            <w:pPr>
              <w:spacing w:after="0"/>
              <w:rPr>
                <w:rFonts w:ascii="Arial" w:cs="Arial" w:eastAsia="Arial" w:hAnsi="Arial"/>
                <w:sz w:val="18"/>
                <w:szCs w:val="18"/>
                <w:b w:val="1"/>
                <w:bCs w:val="1"/>
                <w:i w:val="1"/>
                <w:iCs w:val="1"/>
                <w:u w:val="single" w:color="auto"/>
                <w:color w:val="0000FF"/>
              </w:rPr>
            </w:pPr>
            <w:hyperlink w:anchor="page52">
              <w:r>
                <w:rPr>
                  <w:rFonts w:ascii="Arial" w:cs="Arial" w:eastAsia="Arial" w:hAnsi="Arial"/>
                  <w:sz w:val="18"/>
                  <w:szCs w:val="18"/>
                  <w:b w:val="1"/>
                  <w:bCs w:val="1"/>
                  <w:i w:val="1"/>
                  <w:iCs w:val="1"/>
                  <w:u w:val="single" w:color="auto"/>
                  <w:color w:val="0000FF"/>
                </w:rPr>
                <w:t>Report of Independent Registered Public Accounting Firm</w:t>
              </w:r>
            </w:hyperlink>
          </w:p>
        </w:tc>
        <w:tc>
          <w:tcPr>
            <w:tcW w:w="1520" w:type="dxa"/>
            <w:vAlign w:val="bottom"/>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445"/>
        </w:trPr>
        <w:tc>
          <w:tcPr>
            <w:tcW w:w="9660" w:type="dxa"/>
            <w:vAlign w:val="bottom"/>
            <w:gridSpan w:val="3"/>
          </w:tcPr>
          <w:p>
            <w:pPr>
              <w:spacing w:after="0"/>
              <w:rPr>
                <w:sz w:val="20"/>
                <w:szCs w:val="20"/>
                <w:color w:val="auto"/>
              </w:rPr>
            </w:pPr>
            <w:r>
              <w:rPr>
                <w:rFonts w:ascii="Arial" w:cs="Arial" w:eastAsia="Arial" w:hAnsi="Arial"/>
                <w:sz w:val="18"/>
                <w:szCs w:val="18"/>
                <w:color w:val="auto"/>
              </w:rPr>
              <w:t>CONSOLIDATED FINANCIAL STATEMENTS:</w:t>
            </w:r>
          </w:p>
        </w:tc>
        <w:tc>
          <w:tcPr>
            <w:tcW w:w="1520" w:type="dxa"/>
            <w:vAlign w:val="bottom"/>
          </w:tcPr>
          <w:p>
            <w:pPr>
              <w:spacing w:after="0"/>
              <w:rPr>
                <w:sz w:val="24"/>
                <w:szCs w:val="24"/>
                <w:color w:val="auto"/>
              </w:rPr>
            </w:pPr>
          </w:p>
        </w:tc>
      </w:tr>
      <w:tr>
        <w:trPr>
          <w:trHeight w:val="190"/>
        </w:trPr>
        <w:tc>
          <w:tcPr>
            <w:tcW w:w="9660" w:type="dxa"/>
            <w:vAlign w:val="bottom"/>
            <w:gridSpan w:val="3"/>
          </w:tcPr>
          <w:p>
            <w:pPr>
              <w:ind w:left="420"/>
              <w:spacing w:after="0" w:line="190" w:lineRule="exact"/>
              <w:rPr>
                <w:rFonts w:ascii="Arial" w:cs="Arial" w:eastAsia="Arial" w:hAnsi="Arial"/>
                <w:sz w:val="18"/>
                <w:szCs w:val="18"/>
                <w:b w:val="1"/>
                <w:bCs w:val="1"/>
                <w:i w:val="1"/>
                <w:iCs w:val="1"/>
                <w:color w:val="0000FF"/>
              </w:rPr>
            </w:pPr>
            <w:hyperlink w:anchor="page55">
              <w:r>
                <w:rPr>
                  <w:rFonts w:ascii="Arial" w:cs="Arial" w:eastAsia="Arial" w:hAnsi="Arial"/>
                  <w:sz w:val="18"/>
                  <w:szCs w:val="18"/>
                  <w:b w:val="1"/>
                  <w:bCs w:val="1"/>
                  <w:i w:val="1"/>
                  <w:iCs w:val="1"/>
                  <w:u w:val="single" w:color="auto"/>
                  <w:color w:val="0000FF"/>
                </w:rPr>
                <w:t>Consolidated Statements of Operations and Comprehensive</w:t>
              </w:r>
              <w:r>
                <w:rPr>
                  <w:rFonts w:ascii="Arial" w:cs="Arial" w:eastAsia="Arial" w:hAnsi="Arial"/>
                  <w:sz w:val="18"/>
                  <w:szCs w:val="18"/>
                  <w:b w:val="1"/>
                  <w:bCs w:val="1"/>
                  <w:i w:val="1"/>
                  <w:iCs w:val="1"/>
                  <w:color w:val="0000FF"/>
                </w:rPr>
                <w:t xml:space="preserve"> </w:t>
              </w:r>
            </w:hyperlink>
            <w:r>
              <w:rPr>
                <w:rFonts w:ascii="Arial" w:cs="Arial" w:eastAsia="Arial" w:hAnsi="Arial"/>
                <w:sz w:val="18"/>
                <w:szCs w:val="18"/>
                <w:b w:val="1"/>
                <w:bCs w:val="1"/>
                <w:i w:val="1"/>
                <w:iCs w:val="1"/>
                <w:color w:val="0000FF"/>
              </w:rPr>
              <w:t>Income (Loss)</w:t>
            </w:r>
          </w:p>
        </w:tc>
        <w:tc>
          <w:tcPr>
            <w:tcW w:w="1520" w:type="dxa"/>
            <w:vAlign w:val="bottom"/>
          </w:tcPr>
          <w:p>
            <w:pPr>
              <w:jc w:val="center"/>
              <w:spacing w:after="0" w:line="190"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249"/>
        </w:trPr>
        <w:tc>
          <w:tcPr>
            <w:tcW w:w="4820" w:type="dxa"/>
            <w:vAlign w:val="bottom"/>
          </w:tcPr>
          <w:p>
            <w:pPr>
              <w:ind w:left="420"/>
              <w:spacing w:after="0"/>
              <w:rPr>
                <w:rFonts w:ascii="Arial" w:cs="Arial" w:eastAsia="Arial" w:hAnsi="Arial"/>
                <w:sz w:val="18"/>
                <w:szCs w:val="18"/>
                <w:b w:val="1"/>
                <w:bCs w:val="1"/>
                <w:i w:val="1"/>
                <w:iCs w:val="1"/>
                <w:u w:val="single" w:color="auto"/>
                <w:color w:val="0000FF"/>
              </w:rPr>
            </w:pPr>
            <w:hyperlink w:anchor="page56">
              <w:r>
                <w:rPr>
                  <w:rFonts w:ascii="Arial" w:cs="Arial" w:eastAsia="Arial" w:hAnsi="Arial"/>
                  <w:sz w:val="18"/>
                  <w:szCs w:val="18"/>
                  <w:b w:val="1"/>
                  <w:bCs w:val="1"/>
                  <w:i w:val="1"/>
                  <w:iCs w:val="1"/>
                  <w:u w:val="single" w:color="auto"/>
                  <w:color w:val="0000FF"/>
                </w:rPr>
                <w:t>Consolidated Balance Sheets</w:t>
              </w:r>
            </w:hyperlink>
          </w:p>
        </w:tc>
        <w:tc>
          <w:tcPr>
            <w:tcW w:w="1100" w:type="dxa"/>
            <w:vAlign w:val="bottom"/>
            <w:tcBorders>
              <w:top w:val="single" w:sz="8" w:color="0000FF"/>
            </w:tcBorders>
          </w:tcPr>
          <w:p>
            <w:pPr>
              <w:spacing w:after="0"/>
              <w:rPr>
                <w:sz w:val="21"/>
                <w:szCs w:val="21"/>
                <w:color w:val="auto"/>
              </w:rPr>
            </w:pPr>
          </w:p>
        </w:tc>
        <w:tc>
          <w:tcPr>
            <w:tcW w:w="3740" w:type="dxa"/>
            <w:vAlign w:val="bottom"/>
          </w:tcPr>
          <w:p>
            <w:pPr>
              <w:spacing w:after="0"/>
              <w:rPr>
                <w:sz w:val="21"/>
                <w:szCs w:val="21"/>
                <w:color w:val="auto"/>
              </w:rPr>
            </w:pPr>
          </w:p>
        </w:tc>
        <w:tc>
          <w:tcPr>
            <w:tcW w:w="1520" w:type="dxa"/>
            <w:vAlign w:val="bottom"/>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r>
      <w:tr>
        <w:trPr>
          <w:trHeight w:val="229"/>
        </w:trPr>
        <w:tc>
          <w:tcPr>
            <w:tcW w:w="9660" w:type="dxa"/>
            <w:vAlign w:val="bottom"/>
            <w:gridSpan w:val="3"/>
          </w:tcPr>
          <w:p>
            <w:pPr>
              <w:ind w:left="420"/>
              <w:spacing w:after="0"/>
              <w:rPr>
                <w:rFonts w:ascii="Arial" w:cs="Arial" w:eastAsia="Arial" w:hAnsi="Arial"/>
                <w:sz w:val="18"/>
                <w:szCs w:val="18"/>
                <w:b w:val="1"/>
                <w:bCs w:val="1"/>
                <w:i w:val="1"/>
                <w:iCs w:val="1"/>
                <w:u w:val="single" w:color="auto"/>
                <w:color w:val="0000FF"/>
              </w:rPr>
            </w:pPr>
            <w:hyperlink w:anchor="page57">
              <w:r>
                <w:rPr>
                  <w:rFonts w:ascii="Arial" w:cs="Arial" w:eastAsia="Arial" w:hAnsi="Arial"/>
                  <w:sz w:val="18"/>
                  <w:szCs w:val="18"/>
                  <w:b w:val="1"/>
                  <w:bCs w:val="1"/>
                  <w:i w:val="1"/>
                  <w:iCs w:val="1"/>
                  <w:u w:val="single" w:color="auto"/>
                  <w:color w:val="0000FF"/>
                </w:rPr>
                <w:t>Consolidated Statements of Shareholders' Equity</w:t>
              </w:r>
            </w:hyperlink>
          </w:p>
        </w:tc>
        <w:tc>
          <w:tcPr>
            <w:tcW w:w="1520" w:type="dxa"/>
            <w:vAlign w:val="bottom"/>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r>
      <w:tr>
        <w:trPr>
          <w:trHeight w:val="229"/>
        </w:trPr>
        <w:tc>
          <w:tcPr>
            <w:tcW w:w="9660" w:type="dxa"/>
            <w:vAlign w:val="bottom"/>
            <w:gridSpan w:val="3"/>
          </w:tcPr>
          <w:p>
            <w:pPr>
              <w:ind w:left="420"/>
              <w:spacing w:after="0"/>
              <w:rPr>
                <w:rFonts w:ascii="Arial" w:cs="Arial" w:eastAsia="Arial" w:hAnsi="Arial"/>
                <w:sz w:val="18"/>
                <w:szCs w:val="18"/>
                <w:b w:val="1"/>
                <w:bCs w:val="1"/>
                <w:i w:val="1"/>
                <w:iCs w:val="1"/>
                <w:u w:val="single" w:color="auto"/>
                <w:color w:val="0000FF"/>
              </w:rPr>
            </w:pPr>
            <w:hyperlink w:anchor="page58">
              <w:r>
                <w:rPr>
                  <w:rFonts w:ascii="Arial" w:cs="Arial" w:eastAsia="Arial" w:hAnsi="Arial"/>
                  <w:sz w:val="18"/>
                  <w:szCs w:val="18"/>
                  <w:b w:val="1"/>
                  <w:bCs w:val="1"/>
                  <w:i w:val="1"/>
                  <w:iCs w:val="1"/>
                  <w:u w:val="single" w:color="auto"/>
                  <w:color w:val="0000FF"/>
                </w:rPr>
                <w:t>Consolidated Statements of Cash Flows</w:t>
              </w:r>
            </w:hyperlink>
          </w:p>
        </w:tc>
        <w:tc>
          <w:tcPr>
            <w:tcW w:w="1520" w:type="dxa"/>
            <w:vAlign w:val="bottom"/>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30"/>
        </w:trPr>
        <w:tc>
          <w:tcPr>
            <w:tcW w:w="9660" w:type="dxa"/>
            <w:vAlign w:val="bottom"/>
            <w:gridSpan w:val="3"/>
          </w:tcPr>
          <w:p>
            <w:pPr>
              <w:ind w:left="420"/>
              <w:spacing w:after="0"/>
              <w:rPr>
                <w:rFonts w:ascii="Arial" w:cs="Arial" w:eastAsia="Arial" w:hAnsi="Arial"/>
                <w:sz w:val="18"/>
                <w:szCs w:val="18"/>
                <w:b w:val="1"/>
                <w:bCs w:val="1"/>
                <w:i w:val="1"/>
                <w:iCs w:val="1"/>
                <w:u w:val="single" w:color="auto"/>
                <w:color w:val="0000FF"/>
              </w:rPr>
            </w:pPr>
            <w:hyperlink w:anchor="page59">
              <w:r>
                <w:rPr>
                  <w:rFonts w:ascii="Arial" w:cs="Arial" w:eastAsia="Arial" w:hAnsi="Arial"/>
                  <w:sz w:val="18"/>
                  <w:szCs w:val="18"/>
                  <w:b w:val="1"/>
                  <w:bCs w:val="1"/>
                  <w:i w:val="1"/>
                  <w:iCs w:val="1"/>
                  <w:u w:val="single" w:color="auto"/>
                  <w:color w:val="0000FF"/>
                </w:rPr>
                <w:t>Notes to Consolidated Financial Statements</w:t>
              </w:r>
            </w:hyperlink>
          </w:p>
        </w:tc>
        <w:tc>
          <w:tcPr>
            <w:tcW w:w="1520" w:type="dxa"/>
            <w:vAlign w:val="bottom"/>
          </w:tcPr>
          <w:p>
            <w:pPr>
              <w:jc w:val="cente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LendingTree, Inc. and its subsidiaries (the “Company”) as of December 31, 2020 and 2019, and the related consolidated statements of operations and comprehensive income (loss), of shareholders'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02124"/>
        </w:rPr>
        <w:t>Change in Accounting Principle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02124"/>
        </w:rPr>
        <w:t>As discussed in Note 2 to the consolidated financial statements, the Company changed the manner in which it accounts for leases in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QuoteWizard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9 and 18 to the consolidated financial statements, on October 31, 2018 the Company acquired QuoteWizard.com, LLC. During 2020 the Company recorded $4.0 million of contingent consideration expense and as of December 31, 2020, the estimated fair value of the contingent consideration totaled $8.2 million. The Company could make payments ranging from zero to $70.2 million based on the achievement of certain defined operating results for QuoteWizard. The estimated fair value of the contingent consideration payments is determined using an option pricing model. Management estimates the fair value of any contingent consideration payments each reporting period using Level 3 unobservable inputs. The significant unobservable inputs used to calculate the fair value of the contingent consideration for QuoteWizard are the operating results growth rate and the discount rate.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contingent consideration associated with the QuoteWizard acquisition is a critical audit matter are the significant judgment by management to determine the fair value of contingent consideration, which included the use of an option pricing model and significant assumption related to the operating results growth rate; this in turn led to a high degree of auditor subjectivity and judgment to evaluate the audit evidence obtained related to the fair value estimate, and the audit effort involved the use of professionals with specialized skill and knowledge.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contingent consideration, including controls over determining the fair value of the contingent consideration. These procedures also included, among others, testing management’s process for determining the fair value estimate, evaluating the appropriateness of the option pricing model, and evaluating the reasonableness of the operating results growth rate assumption used by management. Evaluating the reasonableness of the operating results growth rate involved considering the past performance of the acquired business as well as industry forecasts. Professionals with specialized skill and knowledge were used to assist in the evaluation of the Company’s option pricing model.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Convertible Senior Notes Valuation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15 to the consolidated financial statements, on July 24, 2020, the Company issued $575.0 million aggregate principal amount of its 0.50% Convertible Senior Notes due July 15, 2025 (the “2025 Notes”) in a private placement. 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2025 convertible senior notes valuation is a critical audit matter is the significant judgment by management in estimating the fair value of the separate components of debt and equity, including determining the interest rate used, which in turn led to a high degree of auditor judgment, subjectivity, and effort in performing procedures and evaluating audit evidence related to the interest rate. In addition, the audit effort involved the use of professionals with specialized skill and knowledge.</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convertible senior notes valuation, including controls over the determination of the interest rate used to value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separate components of debt and equity. These procedures also included, among others, testing management’s process for determining the estimate and evaluating the reasonableness of the interest rate used by management to value the separate components of debt and equity. Professionals with specialized skill and knowledge were used to assist in evaluating whether the interest rate of the notes used by management were reasonable.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left="431"/>
              <w:spacing w:after="0"/>
              <w:rPr>
                <w:sz w:val="20"/>
                <w:szCs w:val="20"/>
                <w:color w:val="auto"/>
              </w:rPr>
            </w:pPr>
            <w:r>
              <w:rPr>
                <w:rFonts w:ascii="Arial" w:cs="Arial" w:eastAsia="Arial" w:hAnsi="Arial"/>
                <w:sz w:val="16"/>
                <w:szCs w:val="16"/>
                <w:b w:val="1"/>
                <w:bCs w:val="1"/>
                <w:color w:val="auto"/>
                <w:w w:val="90"/>
              </w:rPr>
              <w:t>Year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6"/>
                <w:szCs w:val="16"/>
                <w:b w:val="1"/>
                <w:bCs w:val="1"/>
                <w:color w:val="auto"/>
                <w:w w:val="95"/>
              </w:rPr>
              <w:t>2019</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w w:val="89"/>
              </w:rPr>
              <w:t>2018</w:t>
            </w:r>
          </w:p>
        </w:tc>
      </w:tr>
      <w:tr>
        <w:trPr>
          <w:trHeight w:val="178"/>
        </w:trPr>
        <w:tc>
          <w:tcPr>
            <w:tcW w:w="7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tcPr>
          <w:p>
            <w:pPr>
              <w:jc w:val="center"/>
              <w:ind w:left="431"/>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800" w:type="dxa"/>
            <w:vAlign w:val="bottom"/>
          </w:tcPr>
          <w:p>
            <w:pPr>
              <w:spacing w:after="0"/>
              <w:rPr>
                <w:sz w:val="15"/>
                <w:szCs w:val="15"/>
                <w:color w:val="auto"/>
              </w:rPr>
            </w:pPr>
          </w:p>
        </w:tc>
      </w:tr>
      <w:tr>
        <w:trPr>
          <w:trHeight w:val="237"/>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909,990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1,106,603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764,865</w:t>
            </w: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54,494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68,379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617,404</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735,180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500,291</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129,101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116,847</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101,219</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43,636</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39,953</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26,958</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14,201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53,078</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55,241</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23,468</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5,327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28,402</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2,352</w:t>
            </w:r>
          </w:p>
        </w:tc>
      </w:tr>
      <w:tr>
        <w:trPr>
          <w:trHeight w:val="230"/>
        </w:trPr>
        <w:tc>
          <w:tcPr>
            <w:tcW w:w="7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916,593</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1,055,875</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708,674</w:t>
            </w: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50,728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56,191</w:t>
            </w: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r>
      <w:tr>
        <w:trPr>
          <w:trHeight w:val="229"/>
        </w:trPr>
        <w:tc>
          <w:tcPr>
            <w:tcW w:w="7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30,981</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43,744</w:t>
            </w:r>
          </w:p>
        </w:tc>
      </w:tr>
      <w:tr>
        <w:trPr>
          <w:trHeight w:val="229"/>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19,961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8,479</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65,575</w:t>
            </w: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from continuing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39,460</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109,319</w:t>
            </w:r>
          </w:p>
        </w:tc>
      </w:tr>
      <w:tr>
        <w:trPr>
          <w:trHeight w:val="230"/>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(12,820)</w:t>
            </w:r>
          </w:p>
        </w:tc>
      </w:tr>
      <w:tr>
        <w:trPr>
          <w:trHeight w:val="230"/>
        </w:trPr>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17,828</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96,499</w:t>
            </w:r>
          </w:p>
        </w:tc>
      </w:tr>
      <w:tr>
        <w:trPr>
          <w:trHeight w:val="257"/>
        </w:trPr>
        <w:tc>
          <w:tcPr>
            <w:tcW w:w="7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13,007</w:t>
            </w:r>
          </w:p>
        </w:tc>
        <w:tc>
          <w:tcPr>
            <w:tcW w:w="3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12,834</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12,504</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13,007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14,619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w:t>
            </w:r>
          </w:p>
        </w:tc>
      </w:tr>
      <w:tr>
        <w:trPr>
          <w:trHeight w:val="230"/>
        </w:trPr>
        <w:tc>
          <w:tcPr>
            <w:tcW w:w="7240" w:type="dxa"/>
            <w:vAlign w:val="bottom"/>
          </w:tcPr>
          <w:p>
            <w:pPr>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b w:val="1"/>
                <w:bCs w:val="1"/>
                <w:color w:val="auto"/>
              </w:rPr>
              <w:t>Net (loss) income per share: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7240" w:type="dxa"/>
            <w:vAlign w:val="bottom"/>
            <w:tcBorders>
              <w:bottom w:val="single" w:sz="8" w:color="999999"/>
            </w:tcBorders>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999999"/>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999999"/>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999999"/>
            </w:tcBorders>
          </w:tcPr>
          <w:p>
            <w:pPr>
              <w:jc w:val="right"/>
              <w:ind w:right="30"/>
              <w:spacing w:after="0"/>
              <w:rPr>
                <w:sz w:val="20"/>
                <w:szCs w:val="20"/>
                <w:color w:val="auto"/>
              </w:rPr>
            </w:pPr>
            <w:r>
              <w:rPr>
                <w:rFonts w:ascii="Arial" w:cs="Arial" w:eastAsia="Arial" w:hAnsi="Arial"/>
                <w:sz w:val="18"/>
                <w:szCs w:val="18"/>
                <w:color w:val="auto"/>
              </w:rPr>
              <w:t>1.22</w:t>
            </w:r>
          </w:p>
        </w:tc>
        <w:tc>
          <w:tcPr>
            <w:tcW w:w="500" w:type="dxa"/>
            <w:vAlign w:val="bottom"/>
            <w:tcBorders>
              <w:bottom w:val="single" w:sz="8" w:color="999999"/>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6.85</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w w:val="96"/>
              </w:rPr>
              <w:t>December 31, 2020</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jc w:val="right"/>
              <w:ind w:right="330"/>
              <w:spacing w:after="0" w:line="135" w:lineRule="exact"/>
              <w:rPr>
                <w:sz w:val="20"/>
                <w:szCs w:val="20"/>
                <w:color w:val="auto"/>
              </w:rPr>
            </w:pPr>
            <w:r>
              <w:rPr>
                <w:rFonts w:ascii="Arial" w:cs="Arial" w:eastAsia="Arial" w:hAnsi="Arial"/>
                <w:sz w:val="14"/>
                <w:szCs w:val="14"/>
                <w:b w:val="1"/>
                <w:bCs w:val="1"/>
                <w:i w:val="1"/>
                <w:iCs w:val="1"/>
                <w:color w:val="auto"/>
                <w:w w:val="94"/>
              </w:rPr>
              <w:t>(in thousands, except par value</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3"/>
          </w:tcPr>
          <w:p>
            <w:pPr>
              <w:jc w:val="right"/>
              <w:ind w:right="650"/>
              <w:spacing w:after="0"/>
              <w:rPr>
                <w:sz w:val="20"/>
                <w:szCs w:val="20"/>
                <w:color w:val="auto"/>
              </w:rPr>
            </w:pPr>
            <w:r>
              <w:rPr>
                <w:rFonts w:ascii="Arial" w:cs="Arial" w:eastAsia="Arial" w:hAnsi="Arial"/>
                <w:sz w:val="14"/>
                <w:szCs w:val="14"/>
                <w:b w:val="1"/>
                <w:bCs w:val="1"/>
                <w:i w:val="1"/>
                <w:iCs w:val="1"/>
                <w:color w:val="auto"/>
              </w:rPr>
              <w:t>and share amounts)</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169,932</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60,243</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$1,402 and $1,466, respectively)</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89,841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113,487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27,949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8,570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296,409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189,426</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$20,238 and $17,979, respectively)</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62,381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31,363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84,109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420,139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128,502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96,224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87,664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(Note 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80,000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15,892</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1,188,990</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947,969</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10,111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101,196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112,755</w:t>
            </w: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Current contingent consideration</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111,843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230,706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611,412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264,391</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92,363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contingent consideration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8,249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24,436</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824,229</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545,643</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16 and 17)</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$.01 par value; 50,000,000 shares authorized; 15,766,193 and 15,676,819 shares issued,</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 and 13,124,875 and 13,035,501 shares outstanding, respectively</w:t>
            </w: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1,188,673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1,177,984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(640,909)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(592,654)</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2,641,318 shares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(183,161)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364,761</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402,326</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1,188,990</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947,969</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88"/>
              <w:spacing w:after="0" w:line="122" w:lineRule="exact"/>
              <w:rPr>
                <w:sz w:val="20"/>
                <w:szCs w:val="20"/>
                <w:color w:val="auto"/>
              </w:rPr>
            </w:pPr>
            <w:r>
              <w:rPr>
                <w:rFonts w:ascii="Arial" w:cs="Arial" w:eastAsia="Arial" w:hAnsi="Arial"/>
                <w:sz w:val="14"/>
                <w:szCs w:val="14"/>
                <w:b w:val="1"/>
                <w:bCs w:val="1"/>
                <w:color w:val="auto"/>
                <w:w w:val="99"/>
              </w:rPr>
              <w:t>Additional</w:t>
            </w:r>
          </w:p>
        </w:tc>
        <w:tc>
          <w:tcPr>
            <w:tcW w:w="260" w:type="dxa"/>
            <w:vAlign w:val="bottom"/>
          </w:tcPr>
          <w:p>
            <w:pPr>
              <w:spacing w:after="0"/>
              <w:rPr>
                <w:sz w:val="10"/>
                <w:szCs w:val="10"/>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5"/>
              </w:rPr>
              <w:t>Accumulated</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1"/>
                <w:szCs w:val="11"/>
                <w:color w:val="auto"/>
              </w:rPr>
            </w:pPr>
          </w:p>
        </w:tc>
        <w:tc>
          <w:tcPr>
            <w:tcW w:w="860" w:type="dxa"/>
            <w:vAlign w:val="bottom"/>
          </w:tcPr>
          <w:p>
            <w:pPr>
              <w:jc w:val="right"/>
              <w:ind w:right="188"/>
              <w:spacing w:after="0" w:line="135"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of Shares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of Shares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81"/>
        </w:trPr>
        <w:tc>
          <w:tcPr>
            <w:tcW w:w="2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i w:val="1"/>
                <w:iCs w:val="1"/>
                <w:color w:val="auto"/>
                <w:w w:val="87"/>
              </w:rPr>
              <w:t>(in thousands)</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294,874</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1,087,582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(708,354)</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(85,085)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96,499</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96,499</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44,365</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44,365</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(92,606)</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(92,606)</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Issuance of common stock for stock options,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2,217</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2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40"/>
              <w:spacing w:after="0" w:line="135" w:lineRule="exact"/>
              <w:rPr>
                <w:sz w:val="20"/>
                <w:szCs w:val="20"/>
                <w:color w:val="auto"/>
              </w:rPr>
            </w:pPr>
            <w:r>
              <w:rPr>
                <w:rFonts w:ascii="Arial" w:cs="Arial" w:eastAsia="Arial" w:hAnsi="Arial"/>
                <w:sz w:val="14"/>
                <w:szCs w:val="14"/>
                <w:color w:val="auto"/>
              </w:rPr>
              <w:t>Cumulative effect adjustment due to ASU</w:t>
            </w:r>
          </w:p>
        </w:tc>
        <w:tc>
          <w:tcPr>
            <w:tcW w:w="16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1,373</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1,373</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2014-09</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noncontrolling interest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86"/>
        </w:trPr>
        <w:tc>
          <w:tcPr>
            <w:tcW w:w="29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346,208</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1,134,227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(610,482)</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17,828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17,828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52,167</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52,167</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(5,470)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(5,470)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Issuance of common stock for stock options,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(8,406)</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2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402,326</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1,177,984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(592,654)</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(48,255)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(48,255)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53,733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53,733</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140"/>
              <w:spacing w:after="0" w:line="135" w:lineRule="exact"/>
              <w:rPr>
                <w:sz w:val="20"/>
                <w:szCs w:val="20"/>
                <w:color w:val="auto"/>
              </w:rPr>
            </w:pPr>
            <w:r>
              <w:rPr>
                <w:rFonts w:ascii="Arial" w:cs="Arial" w:eastAsia="Arial" w:hAnsi="Arial"/>
                <w:sz w:val="14"/>
                <w:szCs w:val="14"/>
                <w:color w:val="auto"/>
                <w:w w:val="99"/>
              </w:rPr>
              <w:t>Issuance of common stock for stock options,</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40"/>
              <w:spacing w:after="0" w:line="135" w:lineRule="exact"/>
              <w:rPr>
                <w:sz w:val="20"/>
                <w:szCs w:val="20"/>
                <w:color w:val="auto"/>
              </w:rPr>
            </w:pPr>
            <w:r>
              <w:rPr>
                <w:rFonts w:ascii="Arial" w:cs="Arial" w:eastAsia="Arial" w:hAnsi="Arial"/>
                <w:sz w:val="14"/>
                <w:szCs w:val="14"/>
                <w:color w:val="auto"/>
              </w:rPr>
              <w:t>restricted stock awards and restricted stock</w:t>
            </w:r>
          </w:p>
        </w:tc>
        <w:tc>
          <w:tcPr>
            <w:tcW w:w="160" w:type="dxa"/>
            <w:vAlign w:val="bottom"/>
          </w:tcPr>
          <w:p>
            <w:pPr>
              <w:spacing w:after="0"/>
              <w:rPr>
                <w:sz w:val="11"/>
                <w:szCs w:val="11"/>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(3,910)</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(3,911)</w:t>
            </w:r>
          </w:p>
        </w:tc>
        <w:tc>
          <w:tcPr>
            <w:tcW w:w="260" w:type="dxa"/>
            <w:vAlign w:val="bottom"/>
          </w:tcPr>
          <w:p>
            <w:pPr>
              <w:spacing w:after="0"/>
              <w:rPr>
                <w:sz w:val="11"/>
                <w:szCs w:val="11"/>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units, net of withholding taxes</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8"/>
              </w:rPr>
              <w:t>Issuance of 0.50% Convertible Senior Notes,</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116,300</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116,300</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40"/>
              <w:spacing w:after="0" w:line="135" w:lineRule="exact"/>
              <w:rPr>
                <w:sz w:val="20"/>
                <w:szCs w:val="20"/>
                <w:color w:val="auto"/>
              </w:rPr>
            </w:pPr>
            <w:r>
              <w:rPr>
                <w:rFonts w:ascii="Arial" w:cs="Arial" w:eastAsia="Arial" w:hAnsi="Arial"/>
                <w:sz w:val="14"/>
                <w:szCs w:val="14"/>
                <w:color w:val="auto"/>
              </w:rPr>
              <w:t>Repurchase of 0.625% Convertible Senior</w:t>
            </w:r>
          </w:p>
        </w:tc>
        <w:tc>
          <w:tcPr>
            <w:tcW w:w="160" w:type="dxa"/>
            <w:vAlign w:val="bottom"/>
          </w:tcPr>
          <w:p>
            <w:pPr>
              <w:spacing w:after="0"/>
              <w:rPr>
                <w:sz w:val="11"/>
                <w:szCs w:val="11"/>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(107,882)</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(107,882)</w:t>
            </w:r>
          </w:p>
        </w:tc>
        <w:tc>
          <w:tcPr>
            <w:tcW w:w="260" w:type="dxa"/>
            <w:vAlign w:val="bottom"/>
          </w:tcPr>
          <w:p>
            <w:pPr>
              <w:spacing w:after="0"/>
              <w:rPr>
                <w:sz w:val="11"/>
                <w:szCs w:val="11"/>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Notes, net</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note hedge transactions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(14,379)</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(14,379)</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140"/>
              <w:spacing w:after="0"/>
              <w:rPr>
                <w:sz w:val="20"/>
                <w:szCs w:val="20"/>
                <w:color w:val="auto"/>
              </w:rPr>
            </w:pPr>
            <w:r>
              <w:rPr>
                <w:rFonts w:ascii="Arial" w:cs="Arial" w:eastAsia="Arial" w:hAnsi="Arial"/>
                <w:sz w:val="14"/>
                <w:szCs w:val="14"/>
                <w:color w:val="auto"/>
              </w:rPr>
              <w:t>Warrant transactions</w:t>
            </w:r>
          </w:p>
        </w:tc>
        <w:tc>
          <w:tcPr>
            <w:tcW w:w="1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(33,171)</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(33,171)</w:t>
            </w:r>
          </w:p>
        </w:tc>
        <w:tc>
          <w:tcPr>
            <w:tcW w:w="2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364,761</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15,766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1,188,673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(640,909)</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(183,161)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180"/>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8"/>
        </w:trPr>
        <w:tc>
          <w:tcPr>
            <w:tcW w:w="7840" w:type="dxa"/>
            <w:vAlign w:val="bottom"/>
          </w:tcPr>
          <w:p>
            <w:pPr>
              <w:ind w:left="140"/>
              <w:spacing w:after="0"/>
              <w:rPr>
                <w:sz w:val="20"/>
                <w:szCs w:val="20"/>
                <w:color w:val="auto"/>
              </w:rPr>
            </w:pPr>
            <w:r>
              <w:rPr>
                <w:rFonts w:ascii="Arial" w:cs="Arial" w:eastAsia="Arial" w:hAnsi="Arial"/>
                <w:sz w:val="14"/>
                <w:szCs w:val="14"/>
                <w:b w:val="1"/>
                <w:bCs w:val="1"/>
                <w:color w:val="auto"/>
              </w:rPr>
              <w:t>Net (loss) income and comprehensive (loss)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(48,255)</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17,828</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96,499</w:t>
            </w:r>
          </w:p>
        </w:tc>
      </w:tr>
      <w:tr>
        <w:trPr>
          <w:trHeight w:val="187"/>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Less: Loss from discontinued operations, net of tax</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25,689</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21,632</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12,820</w:t>
            </w:r>
          </w:p>
        </w:tc>
      </w:tr>
      <w:tr>
        <w:trPr>
          <w:trHeight w:val="183"/>
        </w:trPr>
        <w:tc>
          <w:tcPr>
            <w:tcW w:w="7840" w:type="dxa"/>
            <w:vAlign w:val="bottom"/>
          </w:tcPr>
          <w:p>
            <w:pPr>
              <w:ind w:left="14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(22,566)</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39,460</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109,319</w:t>
            </w:r>
          </w:p>
        </w:tc>
      </w:tr>
      <w:tr>
        <w:trPr>
          <w:trHeight w:val="138"/>
        </w:trPr>
        <w:tc>
          <w:tcPr>
            <w:tcW w:w="7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6"/>
              </w:rPr>
              <w:t>Adjustments to reconcile income from continuing operations to net cash provided by operating activities attributable to continuing</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9"/>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Loss (gain) on impairments and disposal of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2,210</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55,241</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23,468</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14,201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10,998</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7,385</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Rental amortization of intangibles and depreciation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Non-cash compensation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53,733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52,167</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44,365</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(8,555)</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(63,901)</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5,327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28,402</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10,788</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Bad debt expense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1,974</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1,776</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Write-off of previously-capitalized debt issuance costs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Amortization of convertible debt discount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19,570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12,016</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11,397</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Reduction in carrying amount of ROU asset, offset by change in operating lease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8,888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current assets and liabilities: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21,861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(22,457)</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(16,820)</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current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(8,013)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(2,322)</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14,270</w:t>
            </w: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contingent consideration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(21,912)</w:t>
            </w: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(10,598)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4,548</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3,669</w:t>
            </w:r>
          </w:p>
        </w:tc>
      </w:tr>
      <w:tr>
        <w:trPr>
          <w:trHeight w:val="18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r>
      <w:tr>
        <w:trPr>
          <w:trHeight w:val="18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111,299</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157,174</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123,948</w:t>
            </w:r>
          </w:p>
        </w:tc>
      </w:tr>
      <w:tr>
        <w:trPr>
          <w:trHeight w:val="18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(42,149)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(20,041)</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(14,907)</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fixed assets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24,077</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Equity investment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ValuePenguin, net of cash acquired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(105,578)</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Acquisition of QuoteWizard, net of cash acquired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(297,072)</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Student Loan Hero, net of cash acquired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(59,483)</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Acquisition of Ovation, net of cash acquired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(11,566)</w:t>
            </w:r>
          </w:p>
        </w:tc>
      </w:tr>
      <w:tr>
        <w:trPr>
          <w:trHeight w:val="18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Acquisition of SnapCap</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investing activities attributable to continuing operations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(122,149)</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(101,060)</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(383,038)</w:t>
            </w:r>
          </w:p>
        </w:tc>
      </w:tr>
      <w:tr>
        <w:trPr>
          <w:trHeight w:val="18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Payments related to net-share settlement of stock-based compensation, net of proceeds from exercise of stock options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(8,406)</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2,217</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0.50% Convertible Senior Notes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Repurchase of 0.625% Convertible Senior Notes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(233,862)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convertible note hedge on the 0.50% Convertible Senior Notes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Termination of convertible note hedge on the 0.625% Convertible Senior Notes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109,881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warrants related to the 0.50% Convertible Senior Notes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Termination of warrants related to the 0.625% Convertible Senior Notes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(94,292)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(repayment of) proceeds from revolving credit facility</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Payment of debt issuance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(16,568)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(2,518)</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Contingent consideration payments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(21,275)</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(27,588)</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Purchase of treasury stock</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(5,470)</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(93,704)</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noncontrolling interest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6"/>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193,290</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(87,678)</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4,843</w:t>
            </w:r>
          </w:p>
        </w:tc>
      </w:tr>
      <w:tr>
        <w:trPr>
          <w:trHeight w:val="18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provided by (used in) continuing operations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182,440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(31,564)</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(254,247)</w:t>
            </w:r>
          </w:p>
        </w:tc>
      </w:tr>
      <w:tr>
        <w:trPr>
          <w:trHeight w:val="18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6"/>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(13,255)</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(13,236)</w:t>
            </w:r>
          </w:p>
        </w:tc>
      </w:tr>
      <w:tr>
        <w:trPr>
          <w:trHeight w:val="185"/>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used in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(72,730)</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(13,255)</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(13,236)</w:t>
            </w:r>
          </w:p>
        </w:tc>
      </w:tr>
      <w:tr>
        <w:trPr>
          <w:trHeight w:val="18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increase (decrease) in cash, cash equivalents, restricted cash, and restricted cash equivalents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109,710</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(44,819)</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(267,483)</w:t>
            </w:r>
          </w:p>
        </w:tc>
      </w:tr>
      <w:tr>
        <w:trPr>
          <w:trHeight w:val="181"/>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60,339</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105,158</w:t>
            </w: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372,641</w:t>
            </w:r>
          </w:p>
        </w:tc>
      </w:tr>
      <w:tr>
        <w:trPr>
          <w:trHeight w:val="19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170,049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60,339</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105,158</w:t>
            </w:r>
          </w:p>
        </w:tc>
      </w:tr>
      <w:tr>
        <w:trPr>
          <w:trHeight w:val="203"/>
        </w:trPr>
        <w:tc>
          <w:tcPr>
            <w:tcW w:w="7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0"/>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capital expenditures included in accounts payable and accrued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Capital additions from tenant improvement allowance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1,111</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6"/>
        </w:trPr>
        <w:tc>
          <w:tcPr>
            <w:tcW w:w="784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4,741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7,005</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3,593</w:t>
            </w:r>
          </w:p>
        </w:tc>
      </w:tr>
      <w:tr>
        <w:trPr>
          <w:trHeight w:val="192"/>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payments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r>
      <w:tr>
        <w:trPr>
          <w:trHeight w:val="182"/>
        </w:trPr>
        <w:tc>
          <w:tcPr>
            <w:tcW w:w="7840" w:type="dxa"/>
            <w:vAlign w:val="bottom"/>
          </w:tcPr>
          <w:p>
            <w:pPr>
              <w:ind w:left="140"/>
              <w:spacing w:after="0"/>
              <w:rPr>
                <w:sz w:val="20"/>
                <w:szCs w:val="20"/>
                <w:color w:val="auto"/>
              </w:rPr>
            </w:pPr>
            <w:r>
              <w:rPr>
                <w:rFonts w:ascii="Arial" w:cs="Arial" w:eastAsia="Arial" w:hAnsi="Arial"/>
                <w:sz w:val="14"/>
                <w:szCs w:val="14"/>
                <w:color w:val="auto"/>
              </w:rPr>
              <w:t>Income tax refunds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4,743</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5,678</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(loss)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21 </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is included in revenue if it is probable that a significant future reversal of cumulative revenue under the contract will not occur.</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student loans and credit card approvals. The time between satisfaction of the Company's performance obligation and when the Company's right to consideration becomes unconditional for small business loans is generally less than 39 months.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1,143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1,697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6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1,466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and equipment, including internally-developed software and significant improvements, are recorded at cost less accumulated depreciation. Due to the rapid advancements in technology and evolution of company products, all internally-developed software is written off at the end of its useful life. Repairs and maintenance and any gains or losses on dispositions are recognized as incurred in current operations.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Category</w:t>
            </w:r>
          </w:p>
        </w:tc>
        <w:tc>
          <w:tcPr>
            <w:tcW w:w="5520" w:type="dxa"/>
            <w:vAlign w:val="bottom"/>
            <w:tcBorders>
              <w:bottom w:val="single" w:sz="8" w:color="auto"/>
            </w:tcBorders>
          </w:tcPr>
          <w:p>
            <w:pPr>
              <w:jc w:val="center"/>
              <w:ind w:left="1572"/>
              <w:spacing w:after="0"/>
              <w:rPr>
                <w:sz w:val="20"/>
                <w:szCs w:val="20"/>
                <w:color w:val="auto"/>
              </w:rPr>
            </w:pPr>
            <w:r>
              <w:rPr>
                <w:rFonts w:ascii="Arial" w:cs="Arial" w:eastAsia="Arial" w:hAnsi="Arial"/>
                <w:sz w:val="16"/>
                <w:szCs w:val="16"/>
                <w:b w:val="1"/>
                <w:bCs w:val="1"/>
                <w:color w:val="auto"/>
                <w:w w:val="90"/>
              </w:rPr>
              <w:t>Estimated Useful Lives</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5520" w:type="dxa"/>
            <w:vAlign w:val="bottom"/>
            <w:shd w:val="clear" w:color="auto" w:fill="CCEEFF"/>
          </w:tcPr>
          <w:p>
            <w:pPr>
              <w:jc w:val="center"/>
              <w:ind w:left="1572"/>
              <w:spacing w:after="0"/>
              <w:rPr>
                <w:sz w:val="20"/>
                <w:szCs w:val="20"/>
                <w:color w:val="auto"/>
              </w:rPr>
            </w:pPr>
            <w:r>
              <w:rPr>
                <w:rFonts w:ascii="Arial" w:cs="Arial" w:eastAsia="Arial" w:hAnsi="Arial"/>
                <w:sz w:val="18"/>
                <w:szCs w:val="18"/>
                <w:color w:val="auto"/>
                <w:w w:val="87"/>
              </w:rPr>
              <w:t>1 to 5 years</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520" w:type="dxa"/>
            <w:vAlign w:val="bottom"/>
          </w:tcPr>
          <w:p>
            <w:pPr>
              <w:jc w:val="center"/>
              <w:ind w:left="1572"/>
              <w:spacing w:after="0"/>
              <w:rPr>
                <w:sz w:val="20"/>
                <w:szCs w:val="20"/>
                <w:color w:val="auto"/>
              </w:rPr>
            </w:pPr>
            <w:r>
              <w:rPr>
                <w:rFonts w:ascii="Arial" w:cs="Arial" w:eastAsia="Arial" w:hAnsi="Arial"/>
                <w:sz w:val="18"/>
                <w:szCs w:val="18"/>
                <w:color w:val="auto"/>
                <w:w w:val="90"/>
              </w:rPr>
              <w:t>Lesser of asset life or life of lease</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5520" w:type="dxa"/>
            <w:vAlign w:val="bottom"/>
            <w:shd w:val="clear" w:color="auto" w:fill="CCEEFF"/>
          </w:tcPr>
          <w:p>
            <w:pPr>
              <w:jc w:val="center"/>
              <w:ind w:left="1572"/>
              <w:spacing w:after="0"/>
              <w:rPr>
                <w:sz w:val="20"/>
                <w:szCs w:val="20"/>
                <w:color w:val="auto"/>
              </w:rPr>
            </w:pPr>
            <w:r>
              <w:rPr>
                <w:rFonts w:ascii="Arial" w:cs="Arial" w:eastAsia="Arial" w:hAnsi="Arial"/>
                <w:sz w:val="18"/>
                <w:szCs w:val="18"/>
                <w:color w:val="auto"/>
                <w:w w:val="84"/>
              </w:rPr>
              <w:t>7 years</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Aircraft and automobile</w:t>
            </w:r>
          </w:p>
        </w:tc>
        <w:tc>
          <w:tcPr>
            <w:tcW w:w="5520" w:type="dxa"/>
            <w:vAlign w:val="bottom"/>
            <w:tcBorders>
              <w:bottom w:val="single" w:sz="8" w:color="auto"/>
            </w:tcBorders>
          </w:tcPr>
          <w:p>
            <w:pPr>
              <w:jc w:val="center"/>
              <w:ind w:left="1572"/>
              <w:spacing w:after="0"/>
              <w:rPr>
                <w:sz w:val="20"/>
                <w:szCs w:val="20"/>
                <w:color w:val="auto"/>
              </w:rPr>
            </w:pPr>
            <w:r>
              <w:rPr>
                <w:rFonts w:ascii="Arial" w:cs="Arial" w:eastAsia="Arial" w:hAnsi="Arial"/>
                <w:sz w:val="18"/>
                <w:szCs w:val="18"/>
                <w:color w:val="auto"/>
                <w:w w:val="90"/>
              </w:rPr>
              <w:t>5 to 10 years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Hosting Arrangement that is a Service Contract</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Subsequent to the adoption of Accounting Standards Update ("ASU") 2018-15 in the first quarter of 2020, as described below, 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Goodwill acquired in business combinations is assigned to the reporting units that are expected to benefit from the combination as of the acquisition date. Goodwill and indefinite-lived intangible assets, consisting of certain trade names and trademarks, are not amortized. Rather, these assets are tested annually for impairment as of October 1, or more frequently upon the occurrence of certain events or substantive changes in circumstances.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If the carrying amount of a reporting unit exceeds its fair value, an impairment loss is recognized in an amount equal to that excess.</w:t>
      </w:r>
    </w:p>
    <w:p>
      <w:pPr>
        <w:spacing w:after="0" w:line="5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Results of the October 1, 2020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October 1, 2019, the Company performed the first step of the quantitative goodwill impairment test and found that the fair value of each reporting unit exceeded its carrying amount, indicating no goodwill impairment. The Company changed its operating segments in the fourth quarter of 2019 and accordingly changed its reporting units. At December 31, 2019, the Company performed the first step of the quantitative goodwill impairment test and found that the fair value of each reporting unit exceeded its carrying amount, indicating no goodwill impairment. Results of the October 1, 2019 qualitative annual impairment tests for the indefinite-lived intangible assets indicated that it is not more likely than not that the fair value of the assets were each less than their respective carrying values. Accordingly, no further testing was required.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Subsequent to the adoption of ASU 2018-15, described below, capitalized implementation costs incurred in a hosting arrangement that is a service contract are also allocated to and included within long-lived asset groups tested for recoverability.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2020 and 2019, the Company performed its review of impairment triggering events for long-lived asset groups and determined that a triggering event had not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for identical or similar assets or liabilities in markets that are not active and inputs that are derived principally from or corroborated by observable market data.</w:t>
      </w:r>
    </w:p>
    <w:p>
      <w:pPr>
        <w:spacing w:after="0" w:line="67" w:lineRule="exact"/>
        <w:rPr>
          <w:rFonts w:ascii="Arial" w:cs="Arial" w:eastAsia="Arial" w:hAnsi="Arial"/>
          <w:sz w:val="18"/>
          <w:szCs w:val="18"/>
          <w:color w:val="auto"/>
        </w:rPr>
      </w:pPr>
    </w:p>
    <w:p>
      <w:pPr>
        <w:ind w:left="660" w:right="20" w:hanging="328"/>
        <w:spacing w:after="0" w:line="347"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Level 3</w:t>
      </w:r>
      <w:r>
        <w:rPr>
          <w:rFonts w:ascii="Arial" w:cs="Arial" w:eastAsia="Arial" w:hAnsi="Arial"/>
          <w:sz w:val="16"/>
          <w:szCs w:val="16"/>
          <w:color w:val="auto"/>
        </w:rPr>
        <w:t>: Unobservable inputs for which there is little or no market data and which require the Company to develop its own assumptions,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best information available under the circumstances, about the assumptions market participants would use in pricing the asset or liability.</w:t>
      </w:r>
    </w:p>
    <w:p>
      <w:pPr>
        <w:spacing w:after="0" w:line="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$567.7 million, $688.2 million and $469.9 million for the years ended December 31, 2020, 2019 and 2018, respectively, and is included in selling and marketing expense on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2020, 2019 and 2018, the Company followed the incremental or "with" and "without" approach to intraperiod tax allocation for determination of the amount of tax benefit to allocate to continuing operations as prescribed in ASC 740-20-45-7.</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January 1, 2018, the Company changed the method used to estimate the deduction for prepaid marketing and advertising costs. This change in methodology impacts the timing of the tax deductibility of these related costs. The Company historically estimated these expenses to be deductible if the services were provided within 12 months of payment. Under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proposed method of accounting, the Company will take into account only prepaid marketing and advertising as the Company makes payment for the services to the extent that the payment is due and the services are reasonably expected by the Company to be provided to the applicant within 3-½ months after the date of payment as authorized by Treas. Reg. §1.461-4(d)(6)(ii). The Company has accounted for this change as a change in accounting method and recorded a cumulative impact of $1.0 million as a deferred tax liability to be recognized over four years.</w:t>
      </w:r>
    </w:p>
    <w:p>
      <w:pPr>
        <w:spacing w:after="0" w:line="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accounting for the tax effect of the Tax Cuts and Jobs Act ("TCJA"). SAB 118 provides a measurement period that should not extend beyond one year from the TCJA enactment date for companies to complete the accounting under ASC 740. In accordance with SAB 118, a company must reflect the income tax effects of those aspects of the TCJA for which the accounting under ASC 740 is complete. To the extent that a company's accounting for certain income tax effects of the TCJA is incomplete but it is able to determine a reasonable estimate, it must record a provisional estimate in the financial statements. In accordance with SAB 118, the Company determined that the $9.1 million of the deferred tax expense recorded in connection with the remeasurement of certain deferred tax assets and liabilities was a provisional amount and a reasonable estimate at December 31, 2017.</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fourth quarter of the year ended December 31, 2018, the Company finalized the computations of the income tax effects of the Act. As such, in accordance with SAB 118, the Company's accounting for the effects of the Act is complete. The Company did not significantly adjust provisional amounts recorded in 2017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future guidance from the Internal Revenue Service and state tax authorities.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forms of stock-based awards granted to LendingTree employees are principally restricted stock units ("RSUs"), RSUs with performance conditions and stock options.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Forfeitures are recognized when they occur.</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service-based awards, non-cash compensation is measured at fair value on the grant date and expensed ratably over the vesting term. The fair value of stock option awards without a market condition is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 comprehensive income (loss), and are classified as a component of operating cash flows within the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2020,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and 2019, one network partner accounted for 15% and 12%, respectively, of total consolidated revenue, all of which was recorded within the Insurance segment. No Network Partners accounted for more than 10% of total consolidated revenue for the year ended December 31, 2018.</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Financial Accounting Standards Board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2019. The amendments should be applied either retrospectively or prospectively to all implementation costs incurred after the date of adoption. The Company adopted ASU 2018-15 in the first quarter of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amortization expense associated with these capitalized implementation costs is included within general and administrative expense on the consolidated statement of operations and comprehensive income (loss). The adoption of ASU 2018-15 did not have a material impact on the consolidated financial statements as of and for the year ended December 31, 2020.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6—Hosting Arrangements.</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18—Fair Value Measurement.</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2018, the FASB issued ASU 2018-07 which simplifies the accounting for nonemployee share-based payments by expanding the scope of ASC Topic 718, Compensation—Stock Compensation, to include share-based payment transactions for acquiring goods and services from nonemployees. Under the new guidance, most of the initial and subsequent measurement for such payments to nonemployees is aligned with the requirements for share-based payments to employees. This ASU is effective for annual and interim reporting periods beginning after December 15, 2018, and early adoption was permitted. Entities must transition to the new guidance through a cumulative-effect adjustment to retained earnings as of the beginning of the fiscal year of adoption. The Company early-adopted this ASU during the second quarter of 2018, with no impact to its consolidated financial statements.</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the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The Company adopted this ASU during the first quarter of 2018.</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The retrospective transition method, requiring adjustment to all comparative periods presented, is required. The Company adopted this ASU during the first quarter of 2018. </w:t>
      </w:r>
      <w:r>
        <w:rPr>
          <w:rFonts w:ascii="Arial" w:cs="Arial" w:eastAsia="Arial" w:hAnsi="Arial"/>
          <w:sz w:val="17"/>
          <w:szCs w:val="17"/>
          <w:i w:val="1"/>
          <w:iCs w:val="1"/>
          <w:color w:val="auto"/>
        </w:rPr>
        <w:t xml:space="preserve">See </w:t>
      </w:r>
      <w:r>
        <w:rPr>
          <w:rFonts w:ascii="Arial" w:cs="Arial" w:eastAsia="Arial" w:hAnsi="Arial"/>
          <w:sz w:val="17"/>
          <w:szCs w:val="17"/>
          <w:color w:val="auto"/>
        </w:rPr>
        <w:t>Note 4—Cash and Restricted Cash for the reconciliation of cash and cash equivalents and restricted cash reported on the balance sheet to the total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shown on the statement of cash flows.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August 2016, the FASB issued ASU 2016-15 which addresses eight cash flow classification issues, eliminating the diversity in practice. This ASU is effective for annual and interim reporting periods beginning after December 15, 2017. The retrospective transition method, requiring adjustment to all comparative periods presented, is required unless it is impracticable for some of the amendments, in which case those amendments would be prospectively applied as of the earliest date practicable. The Company adopted this ASU during the first quarter of 2018. Pursuant to adoption of this ASU, contingent consideration payments made are classified as cash outflows from financing activities up to the amount of the contingent consideration liability recognized at the acquisition date, and the portion of payments in excess of that initial liability are classified as cash outflows from operating activities.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9— Business Acquisitions for additional information.</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elected the package of practical expedients, which allows the Company to not reassess whether expired or existing contracts contain leases, lease classification for expired or existing leases, and initial direct costs for existing leases. Additionally, the Company elected an accounting policy to not record short-term leases, which are leases with an initial term of twelve months or fewer, on the balance sheet.</w:t>
      </w:r>
    </w:p>
    <w:p>
      <w:pPr>
        <w:spacing w:after="0" w:line="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May 2014, the FASB issued ASU 2014-09 related to revenue recognition. This guidance introduces ASC Topic 606, Revenue from Contracts with Customers, and supersedes the revenue recognition requirements in ASC Topic 605, Revenue Recognition. In 2016, the FASB issued final amendments clarifying implementation guidance for principal versus agent considerations, identifying performance obligations, assessing collectability, presenting sales taxes, measuring noncash consideration and certain other transition matters. The clarification ASUs must be adopted concurrently with the adoption of ASU 2014-09 (collectively, "ASC Topic 606"). Under the new ASUs, the timing of recognizing revenue for closing fees and approval fees in the Company's Consumer products has been accelerated to the point when a loan request or a credit card consumer is delivered to the customer as opposed to when the consumer loan is closed by the lender or credit card approval is made by the issuer and communicated to the Company.</w:t>
      </w:r>
    </w:p>
    <w:p>
      <w:pPr>
        <w:spacing w:after="0" w:line="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ASC Topic 606 as of January 1, 2018 using the modified retrospective transition approach. The Company recognized the cumulative effect of initially applying ASC Topic 606 as an adjustment to the opening balance of accumulated deficit. The cumulative effect of the changes made to the consolidated January 1, 2018 balance sheet for the adoption of ASC Topic 606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w w:val="95"/>
              </w:rPr>
              <w:t>December 31, 2017</w:t>
            </w:r>
          </w:p>
        </w:tc>
        <w:tc>
          <w:tcPr>
            <w:tcW w:w="180" w:type="dxa"/>
            <w:vAlign w:val="bottom"/>
          </w:tcPr>
          <w:p>
            <w:pPr>
              <w:spacing w:after="0"/>
              <w:rPr>
                <w:sz w:val="16"/>
                <w:szCs w:val="16"/>
                <w:color w:val="auto"/>
              </w:rPr>
            </w:pPr>
          </w:p>
        </w:tc>
        <w:tc>
          <w:tcPr>
            <w:tcW w:w="170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Adjustments due to</w:t>
            </w:r>
          </w:p>
        </w:tc>
        <w:tc>
          <w:tcPr>
            <w:tcW w:w="240" w:type="dxa"/>
            <w:vAlign w:val="bottom"/>
          </w:tcPr>
          <w:p>
            <w:pPr>
              <w:spacing w:after="0"/>
              <w:rPr>
                <w:sz w:val="16"/>
                <w:szCs w:val="16"/>
                <w:color w:val="auto"/>
              </w:rPr>
            </w:pPr>
          </w:p>
        </w:tc>
        <w:tc>
          <w:tcPr>
            <w:tcW w:w="16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January 1, 2018</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ASC Topic 606</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20,156</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(706,981)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2020, the FASB issued ASU 2020-06, which simplifies the accounting for convertible instruments, amends the derivatives scope exception guidance for contracts in an entity’s own equity, and amends the related earnings-per-share guidance. This ASU is effective for annual and interim reporting periods beginning after December 15, 2021. Early adoption is permitted for fiscal years beginning after December 15, 2020, including adoption in interim periods. An entity should adopt the guidance as of the beginning of its annual fiscal year. An entity may adopt the amendments through either a modified retrospective method of transition or a fully retrospective method of transition. The Company expects the amendments to impact its convertible senior notes and warrants issued and is evaluating the impact this ASU will have on its consolidated financial statements and whether to early adopt.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retrospective basis for all periods presented or a modified retrospective basis through a cumulative-effect adjustment to retained earnings as of the beginning of the fiscal year of adoption. The Company is evaluating the impact this ASU will have on its consolidated financial statements and does not expect material effects. The Company will adopt ASU 2019-12 in the first quarter of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6"/>
        </w:trPr>
        <w:tc>
          <w:tcPr>
            <w:tcW w:w="57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r>
      <w:tr>
        <w:trPr>
          <w:trHeight w:val="212"/>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320,992</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277,935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319,176</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10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77,361</w:t>
            </w:r>
          </w:p>
        </w:tc>
        <w:tc>
          <w:tcPr>
            <w:tcW w:w="5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211,294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165,776</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66,513</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152,729</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134,199</w:t>
            </w:r>
          </w:p>
        </w:tc>
      </w:tr>
      <w:tr>
        <w:trPr>
          <w:trHeight w:val="229"/>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109,324</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151,014</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95,640</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253,198</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515,037</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395,615</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333,765</w:t>
            </w:r>
          </w:p>
        </w:tc>
        <w:tc>
          <w:tcPr>
            <w:tcW w:w="5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284,792</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31,369</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28,839</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18,705</w:t>
            </w:r>
          </w:p>
        </w:tc>
      </w:tr>
      <w:tr>
        <w:trPr>
          <w:trHeight w:val="230"/>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909,990</w:t>
            </w:r>
          </w:p>
        </w:tc>
        <w:tc>
          <w:tcPr>
            <w:tcW w:w="5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1,106,603</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764,865</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in the Company's Consumer business was $6.4 million and $6.5 million on December 31, 2020 and 2019, respectively.</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contract liability recorded within accrued expenses and other current liabilities on the consolidated balance sheets related to upfront fees paid by consumers in the Company's Consumer business was $0.7 million and $0.6 million at December 31, 2020 and 2019, respectively. During 2020, the Company recognized revenue of $0.6 million that was included in the contract liability balance at December 31, 2019. During 2019, the Company recognized revenue of $0.4 million that was included in the contract liability balance at December 31, 2018.</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$0.3 million, $4.4 million and $0.7 million in 2020, 2019 and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December 31, 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169,932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60,243</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170,049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0"/>
              </w:rPr>
              <w:t>December 31, 2020</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December 31, 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34,777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5,012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7,751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3,290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Aircraft and automobile</w:t>
            </w:r>
          </w:p>
        </w:tc>
        <w:tc>
          <w:tcPr>
            <w:tcW w:w="1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Projects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36,919</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b w:val="1"/>
                <w:bCs w:val="1"/>
                <w:color w:val="auto"/>
              </w:rPr>
              <w:t>82,619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49,342</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62,381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31,363</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Unamortized capitalized software development costs recorded in property and equipment, whether in service or under development, are $24.8 million and $19.9 million at December 31, 2020 and 2019, respectively. Capitalized software development depreciation expense was $11.1 million, $8.6 million and $6.1 million for the years ended December 31, 2020, 2019 and 2018,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Long-lived assets located outside the United States, the Company's country of domicile, were $0.1 million at each of December 31, 2020 and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6—HOSTING ARRANGEMENTS</w:t>
      </w:r>
    </w:p>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balance of capitalized implementation costs incurred in a hosting arrangement that is a service contract, which are recorded within prepaid and other current assets and other non-current assets, is as follows at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5"/>
              </w:rPr>
              <w:t>Current portion</w:t>
            </w:r>
          </w:p>
        </w:tc>
        <w:tc>
          <w:tcPr>
            <w:tcW w:w="280" w:type="dxa"/>
            <w:vAlign w:val="bottom"/>
          </w:tcPr>
          <w:p>
            <w:pPr>
              <w:spacing w:after="0"/>
              <w:rPr>
                <w:sz w:val="16"/>
                <w:szCs w:val="16"/>
                <w:color w:val="auto"/>
              </w:rPr>
            </w:pPr>
          </w:p>
        </w:tc>
        <w:tc>
          <w:tcPr>
            <w:tcW w:w="1240" w:type="dxa"/>
            <w:vAlign w:val="bottom"/>
          </w:tcPr>
          <w:p>
            <w:pPr>
              <w:jc w:val="right"/>
              <w:ind w:right="193"/>
              <w:spacing w:after="0"/>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portion</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implementation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Projects in progress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expense included within general and administrative expense on the consolidated statement of operations and comprehensive income (loss) associated with these capitalized implementation costs was $0.2 million for the year ended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 AND INTANGIBLE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Goodwill</w:t>
            </w:r>
          </w:p>
        </w:tc>
        <w:tc>
          <w:tcPr>
            <w:tcW w:w="240" w:type="dxa"/>
            <w:vAlign w:val="bottom"/>
          </w:tcPr>
          <w:p>
            <w:pPr>
              <w:spacing w:after="0"/>
              <w:rPr>
                <w:sz w:val="14"/>
                <w:szCs w:val="14"/>
                <w:color w:val="auto"/>
              </w:rPr>
            </w:pP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Net Goodwill</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Impairment Loss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831,435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(483,088)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348,347</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Acquisition of Ovation</w:t>
            </w:r>
          </w:p>
        </w:tc>
        <w:tc>
          <w:tcPr>
            <w:tcW w:w="2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320" w:type="dxa"/>
            <w:vAlign w:val="bottom"/>
          </w:tcPr>
          <w:p>
            <w:pPr>
              <w:ind w:left="10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QuoteWizard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Acquisition of ValuePenguin</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71,739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903,227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(483,088)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903,227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(483,088)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December 31, 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118,360</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171,438</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128,502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goodwill at each of December 31, 2020 and 2019 consists of $59.3 million associated with the Home segment, $166.1 million associated with the Consumer segment, and $194.7 million associated with the Insurance segment. Prior to the fourth quarter of 2019, the Company's goodwill was associated with its then one reportable segment. Results of the annual impairment test as of October 1, 2020 indicated that no impairment had occurred.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2020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80" w:type="dxa"/>
            <w:vAlign w:val="bottom"/>
          </w:tcPr>
          <w:p>
            <w:pPr>
              <w:spacing w:after="0"/>
              <w:rPr>
                <w:sz w:val="14"/>
                <w:szCs w:val="14"/>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4.3 years</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400" w:type="dxa"/>
            <w:vAlign w:val="bottom"/>
          </w:tcPr>
          <w:p>
            <w:pPr>
              <w:jc w:val="center"/>
              <w:spacing w:after="0"/>
              <w:rPr>
                <w:sz w:val="20"/>
                <w:szCs w:val="20"/>
                <w:color w:val="auto"/>
              </w:rPr>
            </w:pPr>
            <w:r>
              <w:rPr>
                <w:rFonts w:ascii="Arial" w:cs="Arial" w:eastAsia="Arial" w:hAnsi="Arial"/>
                <w:sz w:val="18"/>
                <w:szCs w:val="18"/>
                <w:i w:val="1"/>
                <w:iCs w:val="1"/>
                <w:color w:val="auto"/>
                <w:w w:val="87"/>
              </w:rPr>
              <w:t>13.2 years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58,740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4.9 years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(107,040)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c>
          <w:tcPr>
            <w:tcW w:w="0" w:type="dxa"/>
            <w:vAlign w:val="bottom"/>
          </w:tcPr>
          <w:p>
            <w:pPr>
              <w:spacing w:after="0"/>
              <w:rPr>
                <w:sz w:val="1"/>
                <w:szCs w:val="1"/>
                <w:color w:val="auto"/>
              </w:rPr>
            </w:pPr>
          </w:p>
        </w:tc>
      </w:tr>
      <w:tr>
        <w:trPr>
          <w:trHeight w:val="783"/>
        </w:trPr>
        <w:tc>
          <w:tcPr>
            <w:tcW w:w="5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80" w:type="dxa"/>
            <w:vAlign w:val="bottom"/>
          </w:tcPr>
          <w:p>
            <w:pPr>
              <w:spacing w:after="0"/>
              <w:rPr>
                <w:sz w:val="24"/>
                <w:szCs w:val="24"/>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24"/>
                <w:szCs w:val="24"/>
                <w:color w:val="auto"/>
              </w:rPr>
            </w:pPr>
          </w:p>
        </w:tc>
        <w:tc>
          <w:tcPr>
            <w:tcW w:w="10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Life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400" w:type="dxa"/>
            <w:vAlign w:val="bottom"/>
          </w:tcPr>
          <w:p>
            <w:pPr>
              <w:jc w:val="center"/>
              <w:spacing w:after="0"/>
              <w:rPr>
                <w:sz w:val="20"/>
                <w:szCs w:val="20"/>
                <w:color w:val="auto"/>
              </w:rPr>
            </w:pPr>
            <w:r>
              <w:rPr>
                <w:rFonts w:ascii="Arial" w:cs="Arial" w:eastAsia="Arial" w:hAnsi="Arial"/>
                <w:sz w:val="18"/>
                <w:szCs w:val="18"/>
                <w:i w:val="1"/>
                <w:iCs w:val="1"/>
                <w:color w:val="auto"/>
                <w:w w:val="87"/>
              </w:rPr>
              <w:t>13.2 years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4.9 years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Website content</w:t>
            </w:r>
          </w:p>
        </w:tc>
        <w:tc>
          <w:tcPr>
            <w:tcW w:w="140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(22,467)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261,705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(90,267)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171,438</w:t>
            </w:r>
          </w:p>
        </w:tc>
        <w:tc>
          <w:tcPr>
            <w:tcW w:w="0" w:type="dxa"/>
            <w:vAlign w:val="bottom"/>
          </w:tcPr>
          <w:p>
            <w:pPr>
              <w:spacing w:after="0"/>
              <w:rPr>
                <w:sz w:val="1"/>
                <w:szCs w:val="1"/>
                <w:color w:val="auto"/>
              </w:rPr>
            </w:pPr>
          </w:p>
        </w:tc>
      </w:tr>
      <w:tr>
        <w:trPr>
          <w:trHeight w:val="1026"/>
        </w:trPr>
        <w:tc>
          <w:tcPr>
            <w:tcW w:w="5200" w:type="dxa"/>
            <w:vAlign w:val="bottom"/>
          </w:tcPr>
          <w:p>
            <w:pPr>
              <w:spacing w:after="0"/>
              <w:rPr>
                <w:sz w:val="24"/>
                <w:szCs w:val="24"/>
                <w:color w:val="auto"/>
              </w:rPr>
            </w:pPr>
          </w:p>
        </w:tc>
        <w:tc>
          <w:tcPr>
            <w:tcW w:w="1400" w:type="dxa"/>
            <w:vAlign w:val="bottom"/>
          </w:tcPr>
          <w:p>
            <w:pPr>
              <w:jc w:val="right"/>
              <w:ind w:right="795"/>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2020,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Amortization Expense</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42,738</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2022</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25,256</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6,747</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29"/>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r>
      <w:tr>
        <w:trPr>
          <w:trHeight w:val="230"/>
        </w:trPr>
        <w:tc>
          <w:tcPr>
            <w:tcW w:w="9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118,360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8—EQUITY INVESTMENT</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Stash equity securities do not have a readily determinable fair value and, upon acquisition, the Company elected the measurement alternative to value its securities. The Stash equity securities will be carried at cost and subsequently marked to market upon observable market events with any gains or losses recorded in operating income in the consolidated statement of operations. As of December 31, 2020, there have been no observable market events that would result in upward or downward adjustments in the fair value, and there have been no impairments to the original cost of $80.0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9—BUSINESS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2018, the Company acquired all of the outstanding equity interests of QuoteWizard.com, LLC (“QuoteWizard”) and Ovation Credit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(“Ovation”).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2018 Acquisitions—QuoteWizard and 2018 Acquisitions—Ovation below.</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 earnings targets for SnapCap. The earnout payment of $3.0 million in 2019 is included within cash flows from financing activities on the consolidated statement of cash flows. Of the total earnout payments of $6.0 million in 2020, $3.3 million is included within cash flows from financing activities and $2.7 million is included within cash flows from operating activities on the consolidated statement of cash flows.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the Company acquired all of the assets of Deposits Online, LLC, which does business under the name DepositAccounts.com (“DepositAccounts”). The Company made no earnout payments related to the DepositAccounts acquisition during 2020, and this earnout is complete. Total earnout payments of $4.0 million in 2018 are included within cash flows from financing activities on the consolidated statement of cash flows, except for an immaterial portion included within cash flows from operating activities. Total earnout payments of $3.0 million in 2019 are included within cash flows from operating activities on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3,980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27,103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Ovation</w:t>
            </w:r>
          </w:p>
        </w:tc>
        <w:tc>
          <w:tcPr>
            <w:tcW w:w="82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1,270</w:t>
            </w:r>
          </w:p>
        </w:tc>
        <w:tc>
          <w:tcPr>
            <w:tcW w:w="3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2,220</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DepositAccounts</w:t>
            </w:r>
          </w:p>
        </w:tc>
        <w:tc>
          <w:tcPr>
            <w:tcW w:w="82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3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CompareCards</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8"/>
              </w:rPr>
              <w:t>5,327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28,402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ValuePenguin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purchase price of $106.2 million is comprised of the upfront cash payment of $106.1 million and a $0.1 million post-closing payment for working capital settlement.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71,739</w:t>
            </w:r>
          </w:p>
        </w:tc>
      </w:tr>
      <w:tr>
        <w:trPr>
          <w:trHeight w:val="230"/>
        </w:trPr>
        <w:tc>
          <w:tcPr>
            <w:tcW w:w="9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106,232</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content and trademarks and tradenames. The estimated fair values of the developed technology were determined using the cost replacement method, the content was determined using the excess earnings method, and the trademarks and tradenames were determined using the relief from royalty method. The estimated fair value of the intangible assets are based on estimates for content lifecycles, estimates for revenue growth rates, estimates for future cash flows, the probability weighting of scenarios and discount rates, known at the acquisition date, which management believes are reasonable.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820" w:type="dxa"/>
            <w:vAlign w:val="bottom"/>
          </w:tcPr>
          <w:p>
            <w:pPr>
              <w:spacing w:after="0"/>
              <w:rPr>
                <w:sz w:val="16"/>
                <w:szCs w:val="16"/>
                <w:color w:val="auto"/>
              </w:rPr>
            </w:pPr>
          </w:p>
        </w:tc>
        <w:tc>
          <w:tcPr>
            <w:tcW w:w="2020" w:type="dxa"/>
            <w:vAlign w:val="bottom"/>
          </w:tcPr>
          <w:p>
            <w:pPr>
              <w:jc w:val="right"/>
              <w:ind w:right="41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Amortization Life</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20" w:type="dxa"/>
            <w:vAlign w:val="bottom"/>
            <w:shd w:val="clear" w:color="auto" w:fill="CCEEFF"/>
          </w:tcPr>
          <w:p>
            <w:pPr>
              <w:jc w:val="right"/>
              <w:ind w:right="133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Content</w:t>
            </w:r>
          </w:p>
        </w:tc>
        <w:tc>
          <w:tcPr>
            <w:tcW w:w="152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8"/>
              </w:rPr>
              <w:t>26,100</w:t>
            </w:r>
          </w:p>
        </w:tc>
        <w:tc>
          <w:tcPr>
            <w:tcW w:w="202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1,300</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52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31,600</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goodwill of $71.7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was recorded in the Company’s then one reportable segment. For income tax purposes, the Company accounted for the acquisition as an asset purchase which would indicate the goodwill will be tax deductible.</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Subsequent to the acquisition date, the Company’s consolidated results of operations include the results of the acquired ValuePenguin business. In 2019, the Company’s consolidated results of operations include revenue of $19.8 million attributable to the ValuePenguin business. In the first six months of 2019, net income from continuing operations attributable to the ValuePenguin business was $3.1 million. Due to the integration of the ValuePenguin business subsequent to the acquisition, earnings of the acquired ValuePenguin business beginning in the third quarter of 2019 is impracticable to determine with sufficient accuracy. Acquisition-related costs were $0.1 million in 2019 and are included in general and administrative expense on the consolidated statement of operations and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QuoteWizard</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31, 2018, the Company acquired QuoteWizard.com, LLC,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paid $299.9 million in initial cash consideration, funded through $174.9 million of cash on hand and $125.0 million drawn on the Company's revolving credit facility, and could make up to three additional earnout payments, each ranging 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purchase price of $313.4 million is comprised of the upfront cash payment of $299.9 million, $13.9 million for the estimated fair value of the earnout payments, and a $0.4 million post-closing receipt for working capital settlement.</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fourth quarter of 2019, the Company paid $23.4 million related to the earnout payment for the period of November 1, 2018 through October 31, 2019, of which $13.9 million is included within cash flows from financing activities and $9.5 million is included within cash flows from operating activities on the consolidated statement of cash flows. In the fourth quarter of 2020, the Company paid $20.2 million related to the earnout payment for the period of November 1, 2019 through October 31, 2020, which is included within cash flows from operating activities on the consolidated statement of cash flows.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2020, the estimated fair value of the contingent consideration totaled $8.2 million, which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(loss). During 2020, 2019 and 2018, the Company recorded $4.0 million, $27.1 million and $6.8 million, respectively, of contingent consideration expense in the consolidated statements of operations and comprehensive income (loss) due to the change in estimated fair value of the contingent consideration.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1,509</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182,896</w:t>
            </w:r>
          </w:p>
        </w:tc>
      </w:tr>
      <w:tr>
        <w:trPr>
          <w:trHeight w:val="229"/>
        </w:trPr>
        <w:tc>
          <w:tcPr>
            <w:tcW w:w="9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313,355</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acquired intangible assets are definite-lived assets consisting of developed technology, customer relationships, content and trademarks and tradenames. The estimated fair values of the developed technology were determined using the excess earnings method, the customer relationships were determined using the distributor method, the content was determined using the cost replacement method, and the trademarks and tradenames were determined using the relief from royalty method. The fair value of the intangible assets with definite lives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880" w:type="dxa"/>
            <w:vAlign w:val="bottom"/>
          </w:tcPr>
          <w:p>
            <w:pPr>
              <w:spacing w:after="0"/>
              <w:rPr>
                <w:sz w:val="16"/>
                <w:szCs w:val="16"/>
                <w:color w:val="auto"/>
              </w:rPr>
            </w:pPr>
          </w:p>
        </w:tc>
        <w:tc>
          <w:tcPr>
            <w:tcW w:w="2000" w:type="dxa"/>
            <w:vAlign w:val="bottom"/>
          </w:tcPr>
          <w:p>
            <w:pPr>
              <w:jc w:val="right"/>
              <w:ind w:right="39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Amortization Life</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68,900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4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42,700</w:t>
            </w:r>
          </w:p>
        </w:tc>
        <w:tc>
          <w:tcPr>
            <w:tcW w:w="2000" w:type="dxa"/>
            <w:vAlign w:val="bottom"/>
          </w:tcPr>
          <w:p>
            <w:pPr>
              <w:jc w:val="right"/>
              <w:spacing w:after="0"/>
              <w:rPr>
                <w:sz w:val="20"/>
                <w:szCs w:val="20"/>
                <w:color w:val="auto"/>
              </w:rPr>
            </w:pPr>
            <w:r>
              <w:rPr>
                <w:rFonts w:ascii="Arial" w:cs="Arial" w:eastAsia="Arial" w:hAnsi="Arial"/>
                <w:sz w:val="18"/>
                <w:szCs w:val="18"/>
                <w:color w:val="auto"/>
              </w:rPr>
              <w:t>14.7 years</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Content</w:t>
            </w:r>
          </w:p>
        </w:tc>
        <w:tc>
          <w:tcPr>
            <w:tcW w:w="1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1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7,800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48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120,400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recorded goodwill of $182.9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was recorded in the Company’s then one reportable segment. For income tax purposes, the acquisition was an asset purchase and the goodwill will be tax deductible. Acquisition-related costs were $4.8 million in 2018 and are included in general and administrative expense on the consolidated statement of operations and comprehensive income (loss).</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results for the year ended December 31, 2018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2018</w:t>
            </w:r>
          </w:p>
        </w:tc>
      </w:tr>
      <w:tr>
        <w:trPr>
          <w:trHeight w:val="182"/>
        </w:trPr>
        <w:tc>
          <w:tcPr>
            <w:tcW w:w="9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900,978</w:t>
            </w:r>
          </w:p>
        </w:tc>
      </w:tr>
      <w:tr>
        <w:trPr>
          <w:trHeight w:val="230"/>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net income from continuing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110,015</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net income from continuing operations in 2018 includes the aggregate after-tax contingent consideration expense associated with the QuoteWizard earnout of $4.9 million. Acquisition-related costs of $5.9 million incurred by the Company and QuoteWizard that are directly attributable to the acquisition, which will not have an ongoing impact, have been eliminated from the unaudited pro forma net income from continuing operations for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Loan Hero</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23, 2018, the Company acquired Student Loan Hero, Inc., a personal finance website dedicated to helping student loan borrowers manage their student debt. Student Loan Hero offers current and former students in-depth financial comparison tools, educational resources, and unbiased, personalized advice. The Company made an upfront cash payment of $60.7 million at the closing of the transaction, of which $2.3 million was recognized as severance expense in the Company's consolidated statements of operations and comprehensive income (loss). The purchase price of $60.4 million is comprised of the upfront cash payment of $60.7 million less the $2.3 million recognized as severance expense, and a $2.0 million post-closing payment for working capital settlement.</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2018,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19,600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40,856</w:t>
            </w:r>
          </w:p>
        </w:tc>
      </w:tr>
      <w:tr>
        <w:trPr>
          <w:trHeight w:val="229"/>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r>
      <w:tr>
        <w:trPr>
          <w:trHeight w:val="230"/>
        </w:trPr>
        <w:tc>
          <w:tcPr>
            <w:tcW w:w="9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60,418</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content, customer relationships and trademarks and tradenames. The estimated fair values of the content was determined using the excess earnings method, the customer relationships were determined using the distributor method and the trademarks and tradenames were determined using the relief from royalty method.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540" w:type="dxa"/>
            <w:vAlign w:val="bottom"/>
            <w:vMerge w:val="restart"/>
          </w:tcPr>
          <w:p>
            <w:pPr>
              <w:jc w:val="right"/>
              <w:ind w:right="13"/>
              <w:spacing w:after="0"/>
              <w:rPr>
                <w:sz w:val="20"/>
                <w:szCs w:val="20"/>
                <w:color w:val="auto"/>
              </w:rPr>
            </w:pPr>
            <w:r>
              <w:rPr>
                <w:rFonts w:ascii="Arial" w:cs="Arial" w:eastAsia="Arial" w:hAnsi="Arial"/>
                <w:sz w:val="16"/>
                <w:szCs w:val="16"/>
                <w:b w:val="1"/>
                <w:bCs w:val="1"/>
                <w:color w:val="auto"/>
              </w:rPr>
              <w:t>Fair Value</w:t>
            </w:r>
          </w:p>
        </w:tc>
        <w:tc>
          <w:tcPr>
            <w:tcW w:w="820" w:type="dxa"/>
            <w:vAlign w:val="bottom"/>
          </w:tcPr>
          <w:p>
            <w:pPr>
              <w:spacing w:after="0"/>
              <w:rPr>
                <w:sz w:val="16"/>
                <w:szCs w:val="16"/>
                <w:color w:val="auto"/>
              </w:rPr>
            </w:pPr>
          </w:p>
        </w:tc>
        <w:tc>
          <w:tcPr>
            <w:tcW w:w="2000" w:type="dxa"/>
            <w:vAlign w:val="bottom"/>
          </w:tcPr>
          <w:p>
            <w:pPr>
              <w:jc w:val="right"/>
              <w:ind w:right="39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Amortization Life</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Content</w:t>
            </w:r>
          </w:p>
        </w:tc>
        <w:tc>
          <w:tcPr>
            <w:tcW w:w="1540" w:type="dxa"/>
            <w:vAlign w:val="bottom"/>
            <w:shd w:val="clear" w:color="auto" w:fill="CCEEFF"/>
          </w:tcPr>
          <w:p>
            <w:pPr>
              <w:jc w:val="right"/>
              <w:ind w:right="13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16,100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54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2,500</w:t>
            </w:r>
          </w:p>
        </w:tc>
        <w:tc>
          <w:tcPr>
            <w:tcW w:w="200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540" w:type="dxa"/>
            <w:vAlign w:val="bottom"/>
            <w:tcBorders>
              <w:bottom w:val="single" w:sz="8" w:color="auto"/>
            </w:tcBorders>
          </w:tcPr>
          <w:p>
            <w:pPr>
              <w:jc w:val="right"/>
              <w:ind w:right="1353"/>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19,600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recorded goodwill of $40.9 million, which represents the excess of the purchase price over the estimated fair value of tangible and intangible assets acquired, net of the liabilities assumed. The goodwill is primarily attributable to Student Loan Hero as a going concern, which represents the ability of the Company to earn a higher return on the collection of assets and business of Student Loan Hero than if those assets and business were to be acquired and managed separately. The benefit of access to the workforce is an additional element of goodwill. The goodwill was recorded in the Company’s then one reportable segment. For income tax purposes, the acquisition was an equity purchase and the goodwill will not be tax deductible. Acquisition-related costs were $0.5 million in 2018 and are included in general and administrative expense on the consolidated statement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reporting agencies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paid $12.2 million in initial cash consideration and had the potential to make up to two additional earnout payments, each ranging from zero to $4.4 million, based on certain defined operating metrics during the earnout periods July 1, 2018 through June 30, 2019 and July 1, 2019 through June 30, 2020. The purchase price of $17.9 million is comprised of the upfront cash payment of $12.2 million, $5.8 million for the estimated fair value of the earnout payments, and a $0.1 million post-closing receipt for working capital settlement.</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fourth quarter of 2019, the Company paid $4.4 million related to the earnout payment for the period of July 1, 2018 through June 30, 2019, which is included within cash flows from financing activities on the consolidated statement of cash flows. In the fourth quarter of 2020, the Company paid $4.4 million related to the earnout payment for the period of July 1, 2019 through June 30, 2020, of which $1.4 million is included within cash flows from financing activities and $3.0 million is included within cash flows from operating activities on the consolidated statement of cash flows.</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11,280</w:t>
            </w:r>
          </w:p>
        </w:tc>
      </w:tr>
      <w:tr>
        <w:trPr>
          <w:trHeight w:val="230"/>
        </w:trPr>
        <w:tc>
          <w:tcPr>
            <w:tcW w:w="9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0"/>
        </w:trPr>
        <w:tc>
          <w:tcPr>
            <w:tcW w:w="9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17,871</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the excess earnings method, the customer relationships were determined using the cost savings method and the trademarks and tradenames were determined using the relief from royalty method.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58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6"/>
                <w:szCs w:val="16"/>
                <w:color w:val="auto"/>
              </w:rPr>
            </w:pPr>
          </w:p>
        </w:tc>
        <w:tc>
          <w:tcPr>
            <w:tcW w:w="2000" w:type="dxa"/>
            <w:vAlign w:val="bottom"/>
          </w:tcPr>
          <w:p>
            <w:pPr>
              <w:jc w:val="right"/>
              <w:ind w:right="39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Amortization Life</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right"/>
              <w:ind w:right="139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58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1,900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580" w:type="dxa"/>
            <w:vAlign w:val="bottom"/>
            <w:tcBorders>
              <w:bottom w:val="single" w:sz="8" w:color="auto"/>
            </w:tcBorders>
          </w:tcPr>
          <w:p>
            <w:pPr>
              <w:jc w:val="right"/>
              <w:ind w:right="139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8,900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recorded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was recorded in the Company’s then one reportable segment. For income tax purposes, the acquisition was an equity purchase and the goodwill will not be tax deductible. Acquisition-related costs were $0.4 million in 2018 and are included in general and administrative expense on the consolidated statement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financial results for the years ended December 31, 2019 and 2018 combine the consolidated results of the Company and Ovation, Student Loan Hero, QuoteWizard and ValuePenguin, giving effect to the acquisitions as if the Ovation, Student Loan Hero and QuoteWizard acquisitions had been completed on January 1, 2017, and as if the ValuePenguin acquisition had been completed on January 1, 2018. This unaudited pro forma financial information is presented for informational purposes only and is not indicative of future operations or results had the acquisitions been completed as of January 1, 2017 or 2018, or any other date.</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unaudited pro forma financial results include adjustments for additional amortization expense based on the fair value of the intangible assets with definite lives and their estimated useful lives. Depreciation expense and interest expense were adjusted for the impact of the QuoteWizard acquisition, as described above, including incremental interest associated with debt issued to finance the acquisition. Interest expense was also adjusted to reflect incremental interest associated with debt issued to finance the ValuePenguin acquisition. The provision for income taxes from continuing operations has been adjusted to reflect taxes on the historical results of operations of QuoteWizard, as described above.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2018</w:t>
            </w:r>
          </w:p>
        </w:tc>
      </w:t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5"/>
                <w:szCs w:val="15"/>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1,107,118</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934,209</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net income from continuing operations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39,173</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104,153</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net income from continuing operations in 2019 includes the aggregate after-tax contingent consideration expense associated with the DepositAccounts, SnapCap, Ovation and QuoteWizard earnouts of $21.5 million. The unaudited pro forma net income from continuing operations for 2018 has been adjusted to include acquisition-related costs of $0.6 million incurred by the Company that are directly attributable to the ValuePenguin acquisition, and which will not have an ongoing impact. Accordingly, these acquisition-related costs have been eliminated from the unaudited pro forma net income from continuing operations for 2019.</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net income from continuing operations in 2018 includes the aggregate after-tax contingent consideration expense associated with the DepositAccounts, SnapCap, Ovation and QuoteWizard earnouts of $7.2 million. Acquisition-related costs of $6.9 million incurred by the Company, Student Loan Hero and QuoteWizard that are directly attributable to the Ovation, Student Loan Hero and QuoteWizard acquisitions, and which will not have an ongoing impact, have been eliminated from the unaudited pro forma net income from continuing operations for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10—ACCRUED EXPENSES AND OTHER CURRENT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December 31, 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14,081</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8,153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5,375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6,885</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14,340</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101,196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112,755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exercise of these renewal options. The Company used its incremental borrowing rate to calculate the right-of-use asset and lease liability for each lease.</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right-of-use assets totaled $84.1 million and lease liabilities, the current portion of which is included in accrued expenses and other current liabilities in the accompanying balance sheet, totaled $97.7 million. At December 31, 2019, right-of-use assets totaled $25.5 million and lease liabilities totaled $28.2 million. During the second quarter of 2020 the right-of-use assets and lease liabilities increased $65.7 million due to commencement of the lease, as defined under ASC Topic 842, Leases, for the Company’s new principal executive offices currently under construction in Charlotte, North Carolina.</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(loss),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6"/>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11,226</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20" w:type="dxa"/>
            <w:vAlign w:val="bottom"/>
            <w:shd w:val="clear" w:color="auto" w:fill="CCEEFF"/>
          </w:tcPr>
          <w:p>
            <w:pPr>
              <w:spacing w:after="0"/>
              <w:rPr>
                <w:sz w:val="19"/>
                <w:szCs w:val="19"/>
                <w:color w:val="auto"/>
              </w:rPr>
            </w:pPr>
          </w:p>
        </w:tc>
      </w:tr>
      <w:tr>
        <w:trPr>
          <w:trHeight w:val="230"/>
        </w:trPr>
        <w:tc>
          <w:tcPr>
            <w:tcW w:w="71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Short-term lease cost</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tcBorders>
              <w:bottom w:val="single" w:sz="8" w:color="auto"/>
            </w:tcBorders>
            <w:shd w:val="clear" w:color="auto" w:fill="CCEEFF"/>
          </w:tcPr>
          <w:p>
            <w:pPr>
              <w:spacing w:after="0"/>
              <w:rPr>
                <w:sz w:val="19"/>
                <w:szCs w:val="19"/>
                <w:color w:val="auto"/>
              </w:rPr>
            </w:pPr>
          </w:p>
        </w:tc>
        <w:tc>
          <w:tcPr>
            <w:tcW w:w="71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 cost</w:t>
            </w:r>
          </w:p>
        </w:tc>
        <w:tc>
          <w:tcPr>
            <w:tcW w:w="84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11,285</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w:t>
            </w:r>
          </w:p>
        </w:tc>
        <w:tc>
          <w:tcPr>
            <w:tcW w:w="20" w:type="dxa"/>
            <w:vAlign w:val="bottom"/>
            <w:tcBorders>
              <w:bottom w:val="single" w:sz="8" w:color="auto"/>
            </w:tcBorders>
            <w:shd w:val="clear" w:color="auto" w:fill="CCEEFF"/>
          </w:tcPr>
          <w:p>
            <w:pPr>
              <w:spacing w:after="0"/>
              <w:rPr>
                <w:sz w:val="19"/>
                <w:szCs w:val="19"/>
                <w:color w:val="auto"/>
              </w:rPr>
            </w:pPr>
          </w:p>
        </w:tc>
      </w:tr>
      <w:tr>
        <w:trPr>
          <w:trHeight w:val="669"/>
        </w:trPr>
        <w:tc>
          <w:tcPr>
            <w:tcW w:w="40" w:type="dxa"/>
            <w:vAlign w:val="bottom"/>
          </w:tcPr>
          <w:p>
            <w:pPr>
              <w:spacing w:after="0"/>
              <w:rPr>
                <w:sz w:val="24"/>
                <w:szCs w:val="24"/>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1"/>
              </w:rPr>
              <w:t>Weighted average remaining lease term and discount rate for operating leases are as follows:</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6"/>
                <w:szCs w:val="16"/>
                <w:b w:val="1"/>
                <w:bCs w:val="1"/>
                <w:color w:val="auto"/>
              </w:rPr>
              <w:t>December 31, 2020</w:t>
            </w:r>
          </w:p>
        </w:tc>
        <w:tc>
          <w:tcPr>
            <w:tcW w:w="18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6"/>
                <w:szCs w:val="16"/>
                <w:b w:val="1"/>
                <w:bCs w:val="1"/>
                <w:color w:val="auto"/>
                <w:w w:val="99"/>
              </w:rPr>
              <w:t>December 31, 2019</w:t>
            </w:r>
          </w:p>
        </w:tc>
      </w:tr>
      <w:tr>
        <w:trPr>
          <w:trHeight w:val="22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13.0 years</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 years</w:t>
            </w:r>
          </w:p>
        </w:tc>
      </w:tr>
      <w:tr>
        <w:trPr>
          <w:trHeight w:val="230"/>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Weighted average discount rate</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20"/>
                <w:szCs w:val="20"/>
                <w:color w:val="auto"/>
              </w:rPr>
            </w:pPr>
          </w:p>
        </w:tc>
      </w:tr>
      <w:tr>
        <w:trPr>
          <w:trHeight w:val="674"/>
        </w:trPr>
        <w:tc>
          <w:tcPr>
            <w:tcW w:w="40" w:type="dxa"/>
            <w:vAlign w:val="bottom"/>
          </w:tcPr>
          <w:p>
            <w:pPr>
              <w:spacing w:after="0"/>
              <w:rPr>
                <w:sz w:val="24"/>
                <w:szCs w:val="24"/>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rPr>
              <w:t xml:space="preserve">Supplemental cash flow information related to leases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2"/>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2,359</w:t>
            </w:r>
          </w:p>
        </w:tc>
        <w:tc>
          <w:tcPr>
            <w:tcW w:w="114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6,779</w:t>
            </w:r>
          </w:p>
        </w:tc>
        <w:tc>
          <w:tcPr>
            <w:tcW w:w="20" w:type="dxa"/>
            <w:vAlign w:val="bottom"/>
          </w:tcPr>
          <w:p>
            <w:pPr>
              <w:spacing w:after="0"/>
              <w:rPr>
                <w:sz w:val="19"/>
                <w:szCs w:val="19"/>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66,881</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20" w:type="dxa"/>
            <w:vAlign w:val="bottom"/>
            <w:shd w:val="clear" w:color="auto" w:fill="CCEEFF"/>
          </w:tcPr>
          <w:p>
            <w:pPr>
              <w:spacing w:after="0"/>
              <w:rPr>
                <w:sz w:val="19"/>
                <w:szCs w:val="19"/>
                <w:color w:val="auto"/>
              </w:rPr>
            </w:pPr>
          </w:p>
        </w:tc>
      </w:tr>
      <w:tr>
        <w:trPr>
          <w:trHeight w:val="675"/>
        </w:trPr>
        <w:tc>
          <w:tcPr>
            <w:tcW w:w="40" w:type="dxa"/>
            <w:vAlign w:val="bottom"/>
          </w:tcPr>
          <w:p>
            <w:pPr>
              <w:spacing w:after="0"/>
              <w:rPr>
                <w:sz w:val="24"/>
                <w:szCs w:val="24"/>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rPr>
              <w:t xml:space="preserve">Maturities of lease liabilities as of December 31,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Operating Leases</w:t>
            </w:r>
          </w:p>
        </w:tc>
      </w:tr>
      <w:tr>
        <w:trPr>
          <w:trHeight w:val="229"/>
        </w:trPr>
        <w:tc>
          <w:tcPr>
            <w:tcW w:w="40" w:type="dxa"/>
            <w:vAlign w:val="bottom"/>
          </w:tcPr>
          <w:p>
            <w:pPr>
              <w:spacing w:after="0"/>
              <w:rPr>
                <w:sz w:val="19"/>
                <w:szCs w:val="19"/>
                <w:color w:val="auto"/>
              </w:rPr>
            </w:pPr>
          </w:p>
        </w:tc>
        <w:tc>
          <w:tcPr>
            <w:tcW w:w="7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 ending December 31, 2021</w:t>
            </w:r>
          </w:p>
        </w:tc>
        <w:tc>
          <w:tcPr>
            <w:tcW w:w="4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Year ending December 31, 2022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12,823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 2023</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Year ending December 31, 2024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 2025</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150,958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Less: Tenant improvement allowances</w:t>
            </w:r>
          </w:p>
        </w:tc>
        <w:tc>
          <w:tcPr>
            <w:tcW w:w="4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97,738</w:t>
            </w:r>
          </w:p>
        </w:tc>
        <w:tc>
          <w:tcPr>
            <w:tcW w:w="20" w:type="dxa"/>
            <w:vAlign w:val="bottom"/>
          </w:tcPr>
          <w:p>
            <w:pPr>
              <w:spacing w:after="0"/>
              <w:rPr>
                <w:sz w:val="20"/>
                <w:szCs w:val="20"/>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Rental expense for all operating leases, except those with terms of a month or less that were not renewed, charged to continuing operations was $3.4 million in 2018, which is included in general and administrative expense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operated as a lessor in connection with office buildings in Charlotte, North Carolina acquired in December 2016. The properties were sold in 2019 to an unrelated third party. Rental income of $0.3 million in 2019 and $0.9 million in 2018 is included in other income on the accompanying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12—SHAREHOLDERS' EQUITY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(loss)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8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8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12,834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5"/>
              <w:spacing w:after="0"/>
              <w:rPr>
                <w:sz w:val="20"/>
                <w:szCs w:val="20"/>
                <w:color w:val="auto"/>
              </w:rPr>
            </w:pPr>
            <w:r>
              <w:rPr>
                <w:rFonts w:ascii="Arial" w:cs="Arial" w:eastAsia="Arial" w:hAnsi="Arial"/>
                <w:sz w:val="18"/>
                <w:szCs w:val="18"/>
                <w:color w:val="auto"/>
              </w:rPr>
              <w:t>747</w:t>
            </w:r>
          </w:p>
        </w:tc>
        <w:tc>
          <w:tcPr>
            <w:tcW w:w="110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871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8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14,619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year ended December 31, 2020,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1.1 million shares related to potentially dilutive securities were excluded from the calculation of diluted loss per share for the year ended December 31, 2020 because their inclusion would have been anti-dilutive. For the year ended December 31, 2020, the weighted average shares that were anti-dilutive included options to purchase 0.2 million shares of common stock.</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2019 and 2018, the weighted average shares that were anti-dilutive, and therefore excluded from the calculation of diluted income per share, included options to purchase 0.1 million and 0.4 million shares of common stock, respectively.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 Shares of the Company's common stock associated with the 0.50% Convertible Senior Notes due July 15, 2025 and the warrants issued by the Company in 2020 were excluded from the calculation of diluted loss per share for the year ended December 31, 2020 as they were anti-dilutive since the conversion price of the notes and the strike price of the warrants were greater than the average market price of the Company’s common stock during the relevant period.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13—Stock-Based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years ended December 31, 2019 and 2018, the Company purchased 22,731 and 379,449 shares, respectively, of its common stock for aggregate consideration of $5.5 million and $92.6 million, respectively. At December 31, 2020, $179.7 million remains authorized for share repurchase.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currently has two active plans, the Sixth Amended and Restated LendingTree 2008 Stock and Annual Incentive Plan (the "Equity Award Plan") and the LendingTree 2017 Inducement Grant Plan (the "Inducement Plan"), under which future awards may be granted, which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6.1 million and 0.5 million shares, respectively, of LendingTree common stock to employees, and, under the Equity Award Plan only, to non-employee consultants and directors.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Equity Award Plan and Inducement Plan each have a stated term of ten years and provide that the exercise price of stock options granted will not be less than the market price of the common stock on the grant date. The Equity Award Plan and Inducement Plan do not specify grant dates or vesting schedules, as those determinations are delegated to the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(loss)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6,240</w:t>
            </w:r>
          </w:p>
        </w:tc>
        <w:tc>
          <w:tcPr>
            <w:tcW w:w="3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5,785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3,568</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39,650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39,177</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34,325</w:t>
            </w:r>
          </w:p>
        </w:tc>
      </w:tr>
      <w:tr>
        <w:trPr>
          <w:trHeight w:val="23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6,524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6,450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53,733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52,167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44,365</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years ended December 31, 2020, 2019 and 2018, the Company recognized $11.4 million, $12.2 million and $11.2 million of income tax benefit, including state taxes, related to non-cash compensation. Additionally, for the years ended December 31, 2020, 2019 and 2018, the Company recognized $2.5 million, $17.1 million and $77.6 million, respectively, of excess tax benefit, including state taxes, in income tax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 Significant Accounting Policies, for additional information regarding excess tax benefits and deficiencies.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restart"/>
          </w:tcPr>
          <w:p>
            <w:pPr>
              <w:jc w:val="center"/>
              <w:ind w:right="35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2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00" w:type="dxa"/>
            <w:vAlign w:val="bottom"/>
          </w:tcPr>
          <w:p>
            <w:pPr>
              <w:spacing w:after="0"/>
              <w:rPr>
                <w:sz w:val="11"/>
                <w:szCs w:val="11"/>
                <w:color w:val="auto"/>
              </w:rPr>
            </w:pPr>
          </w:p>
        </w:tc>
        <w:tc>
          <w:tcPr>
            <w:tcW w:w="138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22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777,871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69.87</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203,582</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290.27</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(47,630)</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161.25</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(5,396)</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285.56</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221.99</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924,710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111.82</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4.47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155,411</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663,239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44.49</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2.63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$273.79 on the last trading day of 2020 and the exercise price, multiplied by the number of shares covered by in-the-money options) that would have been received by the option holder had the option holder exercised these options on December 31, 2020. The intrinsic value changes based on the market value of the Company's common stock.</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there was approximately $25.5 million of unrecognized compensation cost related to stock options. These costs are expected to be recognized over a weighted-average period of approximately 4.0 years.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exercise, the intrinsic value represents the pre-tax difference between the Company's closing stock price on the exercise date and the exercise price, multiplied by the number of stock options exercised. During the years ended December 31, 2020, 2019 and 2018, the total intrinsic value of stock options that were exercised was $6.8 million, $50.2 million and $268.3 million, respectively. Cash received from stock option exercises and the related actual tax benefit realized were $7.7 million and $0.7 million, respectively, for the year ended December 31, 2020.</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2020, 2019 and 2018, the Company granted stock options with a weighted average grant date fair value per share of $116.08, $167.10 and $150.55, respectively, of which the vesting periods include (a) immediately upon grant, (b) one year from the grant date, (c) 50% over a period of two years from the grant date, (d) 33% over a period of three years from the grant date, (e) 25% over a period of four years from the grant date, and (f) certain grants to executive officers that vest over periods of up to six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except the December 2020 grant to the Chairman and Chief Executive Officer described below, was estimated using the Black-Scholes option pricing model, which requires the use of various key assumptions. The weighted average assumptions used are as follows:</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36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6"/>
                <w:szCs w:val="16"/>
                <w:b w:val="1"/>
                <w:bCs w:val="1"/>
                <w:color w:val="auto"/>
              </w:rPr>
              <w:t>Year Ended December 31,</w:t>
            </w:r>
          </w:p>
        </w:tc>
        <w:tc>
          <w:tcPr>
            <w:tcW w:w="1440" w:type="dxa"/>
            <w:vAlign w:val="bottom"/>
            <w:tcBorders>
              <w:bottom w:val="single" w:sz="8" w:color="auto"/>
            </w:tcBorders>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ind w:right="813"/>
              <w:spacing w:after="0"/>
              <w:rPr>
                <w:sz w:val="20"/>
                <w:szCs w:val="20"/>
                <w:color w:val="auto"/>
              </w:rPr>
            </w:pPr>
            <w:r>
              <w:rPr>
                <w:rFonts w:ascii="Arial" w:cs="Arial" w:eastAsia="Arial" w:hAnsi="Arial"/>
                <w:sz w:val="16"/>
                <w:szCs w:val="16"/>
                <w:b w:val="1"/>
                <w:bCs w:val="1"/>
                <w:color w:val="auto"/>
              </w:rPr>
              <w:t>2020</w:t>
            </w:r>
          </w:p>
        </w:tc>
        <w:tc>
          <w:tcPr>
            <w:tcW w:w="172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2019</w:t>
            </w: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226"/>
        </w:trPr>
        <w:tc>
          <w:tcPr>
            <w:tcW w:w="47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1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5.00 - 6.25 years</w:t>
            </w:r>
          </w:p>
        </w:tc>
        <w:tc>
          <w:tcPr>
            <w:tcW w:w="1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5.00 - 6.25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5.00 - 6.71 years</w:t>
            </w: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19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 - 60%</w:t>
            </w:r>
          </w:p>
        </w:tc>
        <w:tc>
          <w:tcPr>
            <w:tcW w:w="1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 - 55%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- 53%</w:t>
            </w:r>
          </w:p>
        </w:tc>
      </w:tr>
      <w:tr>
        <w:trPr>
          <w:trHeight w:val="229"/>
        </w:trPr>
        <w:tc>
          <w:tcPr>
            <w:tcW w:w="4760" w:type="dxa"/>
            <w:vAlign w:val="bottom"/>
            <w:tcBorders>
              <w:bottom w:val="single" w:sz="8" w:color="999999"/>
            </w:tcBorders>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1900" w:type="dxa"/>
            <w:vAlign w:val="bottom"/>
            <w:tcBorders>
              <w:bottom w:val="single" w:sz="8" w:color="999999"/>
            </w:tcBorders>
          </w:tcPr>
          <w:p>
            <w:pPr>
              <w:jc w:val="right"/>
              <w:ind w:right="153"/>
              <w:spacing w:after="0"/>
              <w:rPr>
                <w:sz w:val="20"/>
                <w:szCs w:val="20"/>
                <w:color w:val="auto"/>
              </w:rPr>
            </w:pPr>
            <w:r>
              <w:rPr>
                <w:rFonts w:ascii="Arial" w:cs="Arial" w:eastAsia="Arial" w:hAnsi="Arial"/>
                <w:sz w:val="18"/>
                <w:szCs w:val="18"/>
                <w:color w:val="auto"/>
              </w:rPr>
              <w:t>0.33% - 0.96%</w:t>
            </w:r>
          </w:p>
        </w:tc>
        <w:tc>
          <w:tcPr>
            <w:tcW w:w="1720" w:type="dxa"/>
            <w:vAlign w:val="bottom"/>
            <w:tcBorders>
              <w:bottom w:val="single" w:sz="8" w:color="999999"/>
            </w:tcBorders>
          </w:tcPr>
          <w:p>
            <w:pPr>
              <w:jc w:val="right"/>
              <w:ind w:right="192"/>
              <w:spacing w:after="0"/>
              <w:rPr>
                <w:sz w:val="20"/>
                <w:szCs w:val="20"/>
                <w:color w:val="auto"/>
              </w:rPr>
            </w:pPr>
            <w:r>
              <w:rPr>
                <w:rFonts w:ascii="Arial" w:cs="Arial" w:eastAsia="Arial" w:hAnsi="Arial"/>
                <w:sz w:val="18"/>
                <w:szCs w:val="18"/>
                <w:color w:val="auto"/>
              </w:rPr>
              <w:t>1.46% - 2.55%</w:t>
            </w:r>
          </w:p>
        </w:tc>
        <w:tc>
          <w:tcPr>
            <w:tcW w:w="14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2.33% - 3.06%</w:t>
            </w:r>
          </w:p>
        </w:tc>
      </w:tr>
    </w:tbl>
    <w:p>
      <w:pPr>
        <w:spacing w:after="0" w:line="202" w:lineRule="exact"/>
        <w:rPr>
          <w:sz w:val="20"/>
          <w:szCs w:val="20"/>
          <w:color w:val="auto"/>
        </w:rPr>
      </w:pPr>
    </w:p>
    <w:p>
      <w:pPr>
        <w:jc w:val="both"/>
        <w:ind w:left="900" w:hanging="325"/>
        <w:spacing w:after="0" w:line="263" w:lineRule="auto"/>
        <w:tabs>
          <w:tab w:leader="none" w:pos="8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75" w:lineRule="exact"/>
        <w:rPr>
          <w:rFonts w:ascii="Arial" w:cs="Arial" w:eastAsia="Arial" w:hAnsi="Arial"/>
          <w:sz w:val="18"/>
          <w:szCs w:val="18"/>
          <w:color w:val="auto"/>
        </w:rPr>
      </w:pPr>
    </w:p>
    <w:p>
      <w:pPr>
        <w:ind w:left="900" w:hanging="325"/>
        <w:spacing w:after="0" w:line="277" w:lineRule="auto"/>
        <w:tabs>
          <w:tab w:leader="none" w:pos="8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2020, 2019 and 2018, no dividends are expected to be paid over the contractual term of the stock options, resulting in a zero expected dividend rate.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17" w:lineRule="exact"/>
        <w:rPr>
          <w:rFonts w:ascii="Arial" w:cs="Arial" w:eastAsia="Arial" w:hAnsi="Arial"/>
          <w:sz w:val="18"/>
          <w:szCs w:val="18"/>
          <w:color w:val="auto"/>
        </w:rPr>
      </w:pPr>
    </w:p>
    <w:p>
      <w:pPr>
        <w:ind w:left="900" w:right="20" w:hanging="325"/>
        <w:spacing w:after="0" w:line="277" w:lineRule="auto"/>
        <w:tabs>
          <w:tab w:leader="none" w:pos="8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2020, the Company granted time-based stock options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For purposes of determining stock-based compensation expense, the grant date fair value per share of these time-based stock options was estimated using the Monte Carlo simulation model. The key assumptions used in the valuation are as follows:</w:t>
      </w:r>
    </w:p>
    <w:p>
      <w:pPr>
        <w:spacing w:after="0" w:line="80" w:lineRule="exact"/>
        <w:rPr>
          <w:sz w:val="20"/>
          <w:szCs w:val="20"/>
          <w:color w:val="auto"/>
        </w:rPr>
      </w:pPr>
    </w:p>
    <w:p>
      <w:pPr>
        <w:ind w:left="900" w:hanging="325"/>
        <w:spacing w:after="0" w:line="277" w:lineRule="auto"/>
        <w:tabs>
          <w:tab w:leader="none" w:pos="8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average expected term of 6.90 years based on the midpoint between the first day that the stock options are both vested and in-the-money and the end of the contractual term.</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7" w:lineRule="exact"/>
        <w:rPr>
          <w:rFonts w:ascii="Arial" w:cs="Arial" w:eastAsia="Arial" w:hAnsi="Arial"/>
          <w:sz w:val="18"/>
          <w:szCs w:val="18"/>
          <w:color w:val="auto"/>
        </w:rPr>
      </w:pPr>
    </w:p>
    <w:p>
      <w:pPr>
        <w:ind w:left="900" w:hanging="325"/>
        <w:spacing w:after="0" w:line="277" w:lineRule="auto"/>
        <w:tabs>
          <w:tab w:leader="none" w:pos="8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risk-free interest rate of 0.92% based on U.S. Treasury yields for notes with comparable expected terms as the awards, in effect at the grant date.</w:t>
      </w:r>
    </w:p>
    <w:p>
      <w:pPr>
        <w:spacing w:after="0" w:line="62" w:lineRule="exact"/>
        <w:rPr>
          <w:rFonts w:ascii="Arial" w:cs="Arial" w:eastAsia="Arial" w:hAnsi="Arial"/>
          <w:sz w:val="18"/>
          <w:szCs w:val="18"/>
          <w:color w:val="auto"/>
        </w:rPr>
      </w:pPr>
    </w:p>
    <w:p>
      <w:pPr>
        <w:ind w:left="900" w:hanging="325"/>
        <w:spacing w:after="0" w:line="277" w:lineRule="auto"/>
        <w:tabs>
          <w:tab w:leader="none" w:pos="8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years ended December 31, 2020, 2019 and 2018, the total fair value of options vested was $5.8 million, $6.9 million and $11.4 million,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with Market</w:t>
            </w:r>
          </w:p>
        </w:tc>
        <w:tc>
          <w:tcPr>
            <w:tcW w:w="320" w:type="dxa"/>
            <w:vAlign w:val="bottom"/>
          </w:tcPr>
          <w:p>
            <w:pPr>
              <w:spacing w:after="0"/>
              <w:rPr>
                <w:sz w:val="11"/>
                <w:szCs w:val="11"/>
                <w:color w:val="auto"/>
              </w:rPr>
            </w:pPr>
          </w:p>
        </w:tc>
        <w:tc>
          <w:tcPr>
            <w:tcW w:w="136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24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463,440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204.31</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236,769</w:t>
            </w:r>
          </w:p>
        </w:tc>
        <w:tc>
          <w:tcPr>
            <w:tcW w:w="32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Arial" w:cs="Arial" w:eastAsia="Arial" w:hAnsi="Arial"/>
                <w:sz w:val="18"/>
                <w:szCs w:val="18"/>
                <w:color w:val="auto"/>
              </w:rPr>
              <w:t>298.05</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700,209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7.75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36,238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$273.79 on the last trading day of 2020 and the exercise price, multiplied by the number of shares covered by in-the-money options) that would have been received by the option holder had the option holder exercised these options on December 31, 2020. The intrinsic value changes based on the market value of the Company's common stock.</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there was approximately $58.2 million of unrecognized compensation cost related to stock options with market conditions. These costs are expected to be recognized over a weighted-average period of approximately 2.8 years. For single cliff-vesting stock options with market conditions, the fair value will be recognized on a straight-line basis through each grant’s vest date, whether or not any of the total shareholder return targets are met. For graded-vesting stock options with market conditions, the fair value will be recognized using graded vesting expense attribution, whether or not any of the total shareholder return targets are met.</w:t>
      </w:r>
    </w:p>
    <w:p>
      <w:pPr>
        <w:spacing w:after="0" w:line="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years ended December 31, 2020, 2019 and 2018, the Company granted stock options with a weighted-average grant date fair value per share of $142.54, $230.81 and $296.80, respectively. The single cliff-vesting stock options granted during the years ended December 31, 2020, 2019 and 2018 have vest dates of March 31, 2024, March 31, 2023, March 31, 2022 and September 30, 2022. The graded-vesting stock options granted during the year ended December 31, 2020 have a vesting schedule with vesting dates of December 31, 2024, December 31, 2025 and December 31, 2026.</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determining stock-based compensation expense, the weighted-average grant date fair value per share of the stock options with a market condition was estimated using the Monte Carlo simulation model, which requires the use of various key assumptions.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for single cliff-vesting stock options with a market condition are as follows:</w:t>
      </w:r>
    </w:p>
    <w:p>
      <w:pPr>
        <w:spacing w:after="0" w:line="158"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7"/>
              </w:rPr>
              <w:t>Year Ended December 31,</w:t>
            </w:r>
          </w:p>
        </w:tc>
        <w:tc>
          <w:tcPr>
            <w:tcW w:w="1520" w:type="dxa"/>
            <w:vAlign w:val="bottom"/>
            <w:tcBorders>
              <w:bottom w:val="single" w:sz="8" w:color="auto"/>
            </w:tcBorders>
          </w:tcPr>
          <w:p>
            <w:pPr>
              <w:spacing w:after="0"/>
              <w:rPr>
                <w:sz w:val="18"/>
                <w:szCs w:val="18"/>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2220" w:type="dxa"/>
            <w:vAlign w:val="bottom"/>
            <w:tcBorders>
              <w:bottom w:val="single" w:sz="8" w:color="auto"/>
            </w:tcBorders>
          </w:tcPr>
          <w:p>
            <w:pPr>
              <w:jc w:val="right"/>
              <w:ind w:right="1073"/>
              <w:spacing w:after="0"/>
              <w:rPr>
                <w:sz w:val="20"/>
                <w:szCs w:val="20"/>
                <w:color w:val="auto"/>
              </w:rPr>
            </w:pPr>
            <w:r>
              <w:rPr>
                <w:rFonts w:ascii="Arial" w:cs="Arial" w:eastAsia="Arial" w:hAnsi="Arial"/>
                <w:sz w:val="16"/>
                <w:szCs w:val="16"/>
                <w:b w:val="1"/>
                <w:bCs w:val="1"/>
                <w:color w:val="auto"/>
              </w:rPr>
              <w:t>2019</w:t>
            </w:r>
          </w:p>
        </w:tc>
        <w:tc>
          <w:tcPr>
            <w:tcW w:w="15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2018</w:t>
            </w:r>
          </w:p>
        </w:tc>
      </w:tr>
      <w:tr>
        <w:trPr>
          <w:trHeight w:val="226"/>
        </w:trPr>
        <w:tc>
          <w:tcPr>
            <w:tcW w:w="4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 years</w:t>
            </w:r>
          </w:p>
        </w:tc>
        <w:tc>
          <w:tcPr>
            <w:tcW w:w="22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7.00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7.00 - 7.15 years</w:t>
            </w:r>
          </w:p>
        </w:tc>
      </w:tr>
      <w:tr>
        <w:trPr>
          <w:trHeight w:val="230"/>
        </w:trPr>
        <w:tc>
          <w:tcPr>
            <w:tcW w:w="4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16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51 %</w:t>
            </w:r>
          </w:p>
        </w:tc>
        <w:tc>
          <w:tcPr>
            <w:tcW w:w="22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4720" w:type="dxa"/>
            <w:vAlign w:val="bottom"/>
            <w:tcBorders>
              <w:bottom w:val="single" w:sz="8" w:color="999999"/>
            </w:tcBorders>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1640" w:type="dxa"/>
            <w:vAlign w:val="bottom"/>
            <w:tcBorders>
              <w:bottom w:val="single" w:sz="8" w:color="999999"/>
            </w:tcBorders>
          </w:tcPr>
          <w:p>
            <w:pPr>
              <w:jc w:val="right"/>
              <w:ind w:right="32"/>
              <w:spacing w:after="0"/>
              <w:rPr>
                <w:sz w:val="20"/>
                <w:szCs w:val="20"/>
                <w:color w:val="auto"/>
              </w:rPr>
            </w:pPr>
            <w:r>
              <w:rPr>
                <w:rFonts w:ascii="Arial" w:cs="Arial" w:eastAsia="Arial" w:hAnsi="Arial"/>
                <w:sz w:val="18"/>
                <w:szCs w:val="18"/>
                <w:color w:val="auto"/>
              </w:rPr>
              <w:t>1.03 %</w:t>
            </w:r>
          </w:p>
        </w:tc>
        <w:tc>
          <w:tcPr>
            <w:tcW w:w="2220" w:type="dxa"/>
            <w:vAlign w:val="bottom"/>
            <w:tcBorders>
              <w:bottom w:val="single" w:sz="8" w:color="999999"/>
            </w:tcBorders>
          </w:tcPr>
          <w:p>
            <w:pPr>
              <w:jc w:val="right"/>
              <w:ind w:right="253"/>
              <w:spacing w:after="0"/>
              <w:rPr>
                <w:sz w:val="20"/>
                <w:szCs w:val="20"/>
                <w:color w:val="auto"/>
              </w:rPr>
            </w:pPr>
            <w:r>
              <w:rPr>
                <w:rFonts w:ascii="Arial" w:cs="Arial" w:eastAsia="Arial" w:hAnsi="Arial"/>
                <w:sz w:val="18"/>
                <w:szCs w:val="18"/>
                <w:color w:val="auto"/>
              </w:rPr>
              <w:t>2.54%</w:t>
            </w:r>
          </w:p>
        </w:tc>
        <w:tc>
          <w:tcPr>
            <w:tcW w:w="15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2.38% - 2.81%</w:t>
            </w:r>
          </w:p>
        </w:tc>
      </w:tr>
    </w:tbl>
    <w:p>
      <w:pPr>
        <w:spacing w:after="0" w:line="202" w:lineRule="exact"/>
        <w:rPr>
          <w:sz w:val="20"/>
          <w:szCs w:val="20"/>
          <w:color w:val="auto"/>
        </w:rPr>
      </w:pPr>
    </w:p>
    <w:p>
      <w:pPr>
        <w:ind w:left="980" w:right="20" w:hanging="324"/>
        <w:spacing w:after="0" w:line="277" w:lineRule="auto"/>
        <w:tabs>
          <w:tab w:leader="none" w:pos="9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during the years ended December 31, 2020, 2019 and 2018, no dividends are expected to be paid over the contractual term of the stock options, resulting in a zero expected dividend rate.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80" w:right="20" w:hanging="324"/>
        <w:spacing w:after="0" w:line="277" w:lineRule="auto"/>
        <w:tabs>
          <w:tab w:leader="none" w:pos="9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2020, the Company granted graded-vesting stock options with a market condition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The key assumptions used in the Monte Carlo simulation model to determine the grant date fair value per share of these graded-vesting stock options with a market condition are as follows:</w:t>
      </w:r>
    </w:p>
    <w:p>
      <w:pPr>
        <w:spacing w:after="0" w:line="8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average expected term of 7.54 years based on the midpoint between vesting and the end of the contractual term.</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7" w:lineRule="exact"/>
        <w:rPr>
          <w:rFonts w:ascii="Arial" w:cs="Arial" w:eastAsia="Arial" w:hAnsi="Arial"/>
          <w:sz w:val="18"/>
          <w:szCs w:val="18"/>
          <w:color w:val="auto"/>
        </w:rPr>
      </w:pPr>
    </w:p>
    <w:p>
      <w:pPr>
        <w:ind w:left="900" w:hanging="325"/>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risk-free interest rate of 0.92% based on U.S. Treasury yields for notes with comparable expected terms as the awards, in effect at the grant date.</w:t>
      </w:r>
    </w:p>
    <w:p>
      <w:pPr>
        <w:spacing w:after="0" w:line="62" w:lineRule="exact"/>
        <w:rPr>
          <w:rFonts w:ascii="Arial" w:cs="Arial" w:eastAsia="Arial" w:hAnsi="Arial"/>
          <w:sz w:val="18"/>
          <w:szCs w:val="18"/>
          <w:color w:val="auto"/>
        </w:rPr>
      </w:pPr>
    </w:p>
    <w:p>
      <w:pPr>
        <w:ind w:left="900" w:hanging="325"/>
        <w:spacing w:after="0" w:line="277" w:lineRule="auto"/>
        <w:tabs>
          <w:tab w:leader="none" w:pos="8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single cliff-vesting stock options with a market condition granted in 2020 have a target number of shares that vest upon achieving a targeted total shareholder return performance of 81% stock price appreciation and a maximum of 31,940 shares for achieving superior performance. No shares will vest unless 41% of the targeted performance is achieved. The performance measurement period ends on March 31, 2024. The graded-vesting stock options with a market condition granted in 2020 have a target number of shares that vest upon achieving a targeted total shareholder return performance of 135% stock price appreciation and a maximum of 363,464 shares for achieving superior performance. No shares will vest unless 81% of the targeted performance is achieved. The performance measurement period ends on March 31, 2025.</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stock options with a market condition granted in 2019 have a target number of shares that vest upon achieving a targeted total shareholder return performance of 81% stock price appreciation and a maximum of 27,132 shares for achieving superior performance. No shares will vest unless 41% of the targeted performance is achieved. The performance measurement period ends on March 31, 2023.</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the stock options with a market condition granted in 2018 have a target number of shares that vest upon achieving a targeted total shareholder return performance of 110% stock price appreciation and a maximum of 52,332 shares for achieving superior performance. No shares will vest unless 70% of the targeted performance is achieved. The performance measurement period ends on September 30, 2022. The remaining stock options with a market condition granted in 2018 have a target number of shares that vest upon achieving a targeted total shareholder return performance of 81% stock price appreciation and a maximum of 21,982 shares for achieving superior performance. No shares will vest unless 41% of the targeted performance is achieved. The performance measurement period ends on March 31, 2022.</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all stock options with market conditions, time-based service vesting conditions would also have to be satisfied in order for shares to become fully vested and no longer subject to forfeiture.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2020, stock options with a market condition of 481,669 had been earned, which have a vest date of September 30, 2022.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020" w:type="dxa"/>
            <w:vAlign w:val="bottom"/>
            <w:tcBorders>
              <w:bottom w:val="single" w:sz="8" w:color="auto"/>
            </w:tcBorders>
            <w:gridSpan w:val="2"/>
          </w:tcPr>
          <w:p>
            <w:pPr>
              <w:ind w:left="1680"/>
              <w:spacing w:after="0"/>
              <w:rPr>
                <w:sz w:val="20"/>
                <w:szCs w:val="20"/>
                <w:color w:val="auto"/>
              </w:rPr>
            </w:pPr>
            <w:r>
              <w:rPr>
                <w:rFonts w:ascii="Arial" w:cs="Arial" w:eastAsia="Arial" w:hAnsi="Arial"/>
                <w:sz w:val="14"/>
                <w:szCs w:val="14"/>
                <w:b w:val="1"/>
                <w:bCs w:val="1"/>
                <w:color w:val="auto"/>
                <w:w w:val="85"/>
              </w:rPr>
              <w:t>RSUs</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 of Units</w:t>
            </w:r>
          </w:p>
        </w:tc>
        <w:tc>
          <w:tcPr>
            <w:tcW w:w="180" w:type="dxa"/>
            <w:vAlign w:val="bottom"/>
          </w:tcPr>
          <w:p>
            <w:pPr>
              <w:spacing w:after="0"/>
              <w:rPr>
                <w:sz w:val="11"/>
                <w:szCs w:val="11"/>
                <w:color w:val="auto"/>
              </w:rPr>
            </w:pPr>
          </w:p>
        </w:tc>
        <w:tc>
          <w:tcPr>
            <w:tcW w:w="166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38"/>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2019</w:t>
            </w:r>
          </w:p>
        </w:tc>
        <w:tc>
          <w:tcPr>
            <w:tcW w:w="184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144,939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267.85</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1840" w:type="dxa"/>
            <w:vAlign w:val="bottom"/>
          </w:tcPr>
          <w:p>
            <w:pPr>
              <w:ind w:left="1140"/>
              <w:spacing w:after="0"/>
              <w:rPr>
                <w:sz w:val="20"/>
                <w:szCs w:val="20"/>
                <w:color w:val="auto"/>
              </w:rPr>
            </w:pPr>
            <w:r>
              <w:rPr>
                <w:rFonts w:ascii="Arial" w:cs="Arial" w:eastAsia="Arial" w:hAnsi="Arial"/>
                <w:sz w:val="18"/>
                <w:szCs w:val="18"/>
                <w:color w:val="auto"/>
              </w:rPr>
              <w:t>138,418</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286.42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(70,698)</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(17,973)</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194,686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grant date fair value per share of the RSUs is calculated as the closing market price of LendingTree's common stock at the time of grant.</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there was approximately $35.2 million of unrecognized compensation cost related to RSUs. These costs are expected to be recognized over a weighted-average period of approximately 1.7 years.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that vested during the years ended December 31, 2020, 2019 and 2018 was $22.4 million, $27.2 million and $21.8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34"/>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2019</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14,647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210.55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 RSUs with performance conditions were granted in 2020 or 2019. During 2018, the Company granted RSUs with performance conditions to an employee with a 0.5 year vesting period, pending the attainment of certain performance targets set at the time of grant. The grant date fair value per share of the RSUs with performance conditions is calculated as the closing market price of LendingTree's common stock at the time of grant.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there was approximately $1.1 million of unrecognized compensation cost related to RSUs with performance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weighted-average period of approximately 0.8 years.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with performance conditions that vested during the years ended December 31, 2020, 2019, and 2018 was $2.6 million, $18.8 million, and $7.9 million,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Performance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performance conditions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RSAs with Performance Conditions</w:t>
            </w: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1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2019</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47,608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23,804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RSAs with performance conditions were granted in 2020 or 2019. During 2018, the Company granted time-vested RSAs with a performance condition to its Chairman and Chief Executive Officer, which vest through December 31, 2021. The terms of this award were fixed in compensation agreements in July 2017 with a total grant date fair value of $21.9 million. The performance condition was tied to the Company's operating results during the first six months of 2018, and has been met.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there was approximately $4.4 million of unrecognized compensation cost related to RSAs with performance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period of approximately 1.0 year.</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fair value of RSAs with performance conditions that vested during the years ended December 31, 2020, 2019 and 2018 was $6.2 million, $8.2 million and $13.6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4"/>
        </w:trPr>
        <w:tc>
          <w:tcPr>
            <w:tcW w:w="7560" w:type="dxa"/>
            <w:vAlign w:val="bottom"/>
          </w:tcPr>
          <w:p>
            <w:pPr>
              <w:spacing w:after="0"/>
              <w:rPr>
                <w:sz w:val="11"/>
                <w:szCs w:val="11"/>
                <w:color w:val="auto"/>
              </w:rPr>
            </w:pPr>
          </w:p>
        </w:tc>
        <w:tc>
          <w:tcPr>
            <w:tcW w:w="18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2019</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No RSAs with market conditions were granted in 2020 or 2019. During 2018, the Company granted RSAs with market conditions to its Chairman and Chief Executive Officer with a total grant date fair value of $1.9 million. These RSAs with a market condition have a target number of shares that vest upon achieving a targeted total shareholder return performance of 110% stock price appreciation and a maximum of 44,545 shares for achieving superior performance. No shares will vest unless 70% of the targeted performance is achieved. The performance measurement period ends on September 30, 2022. Time-based service vesting conditions would also have to be satisfied in order for shares to become fully vested and no longer subject to forfeiture.</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there was approximately $0.7 million of unrecognized compensation cost related to RSAs with market conditions. These costs are expected to be recognized over a weighted-average period of approximately 1.8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RSAs with a market condition of 29,601 had been earned, which have a vest date of September 30,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(benefit)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60" w:type="dxa"/>
            <w:vAlign w:val="bottom"/>
          </w:tcPr>
          <w:p>
            <w:pPr>
              <w:ind w:left="12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(10,705)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29"/>
        </w:trPr>
        <w:tc>
          <w:tcPr>
            <w:tcW w:w="7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Current income tax (benefit)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(10,333)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76</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w:t>
            </w: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60" w:type="dxa"/>
            <w:vAlign w:val="bottom"/>
          </w:tcPr>
          <w:p>
            <w:pPr>
              <w:ind w:left="12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(10,857)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(44,950)</w:t>
            </w:r>
          </w:p>
        </w:tc>
      </w:tr>
      <w:tr>
        <w:trPr>
          <w:trHeight w:val="229"/>
        </w:trPr>
        <w:tc>
          <w:tcPr>
            <w:tcW w:w="7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2,302</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r>
      <w:tr>
        <w:trPr>
          <w:trHeight w:val="223"/>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income tax benefit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(9,628)</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(63,901)</w:t>
            </w:r>
          </w:p>
        </w:tc>
      </w:tr>
      <w:tr>
        <w:trPr>
          <w:trHeight w:val="230"/>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(65,575)</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reconciliation of the income tax benefit to the amounts computed by applying the statutory federal income tax rate to (loss) income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State income taxes,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(14,884)</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(59,601)</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Impact of the Coronavirus Aid, Relief, and Economic Security Act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(6,104)</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experimentation tax credit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Impact of certain state legislation, net</w:t>
            </w:r>
          </w:p>
        </w:tc>
        <w:tc>
          <w:tcPr>
            <w:tcW w:w="28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3,932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executive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1,778</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Change in (release of) valuation allowance</w:t>
            </w:r>
          </w:p>
        </w:tc>
        <w:tc>
          <w:tcPr>
            <w:tcW w:w="28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2,100</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Nondeductible meals &amp; entertainment</w:t>
            </w:r>
          </w:p>
        </w:tc>
        <w:tc>
          <w:tcPr>
            <w:tcW w:w="28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Cuts and Jobs Act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(65,575)</w:t>
            </w: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fourth quarter of 2017, LendingTree recorded a net tax expense of $9.1 million related to the enactment of the TCJA. The expense is primarily related to the remeasurement of LendingTree’s deferred tax assets and liabilities considering the TCJA’s enacted tax rates and certain other impacts. Simultaneous with the Act, the SEC Staff released SAB 118, which allows the use of provisional amounts (reasonable estimates) if the analysis of the impacts of the Act have not been completed when financial statements are issued. During the fourth quarter of 2018, the Company finalized the computations of the income tax effects of the Act. As such, in accordance with SAB 118, the Company's accounting for the effects of the Act is complete. The Company did not significantly adjust provisional amounts recorded in 2017 and the SAB 118 measurement period subsequently ended on December 22, 2018. Although the Company no longer considers these amounts to be provisional, the determination of the Act’s income tax effects may change following future legislation or further interpretation of the Act based on the publication of recently proposed U.S. Treasury regulations and guidance from the Internal Revenue Service and state tax authorities.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Provision for 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4,907</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12,234</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24,864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r>
      <w:tr>
        <w:trPr>
          <w:trHeight w:val="229"/>
        </w:trPr>
        <w:tc>
          <w:tcPr>
            <w:tcW w:w="8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56,190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56,450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20,746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12,684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limitation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4,059</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Contingent liabilities</w:t>
            </w: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4,507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13,656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r>
      <w:tr>
        <w:trPr>
          <w:trHeight w:val="229"/>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3,605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145,218</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112,893</w:t>
            </w:r>
          </w:p>
        </w:tc>
      </w:tr>
      <w:tr>
        <w:trPr>
          <w:trHeight w:val="229"/>
        </w:trPr>
        <w:tc>
          <w:tcPr>
            <w:tcW w:w="82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139,416</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108,791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(21,632)</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29"/>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(27,300)</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(13,179)</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112,116</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95,612</w:t>
            </w:r>
          </w:p>
        </w:tc>
      </w:tr>
    </w:tbl>
    <w:p>
      <w:pPr>
        <w:spacing w:after="0" w:line="202" w:lineRule="exact"/>
        <w:rPr>
          <w:sz w:val="20"/>
          <w:szCs w:val="20"/>
          <w:color w:val="auto"/>
        </w:rPr>
      </w:pPr>
    </w:p>
    <w:p>
      <w:pPr>
        <w:jc w:val="both"/>
        <w:ind w:left="660" w:hanging="328"/>
        <w:spacing w:after="0" w:line="259" w:lineRule="auto"/>
        <w:tabs>
          <w:tab w:leader="none" w:pos="6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2020, the Company had pre-tax consolidated federal net operating losses ("NOLs") of $179.5 million. The federal NOLs no longer expire under the new TCJA. The Company's NOLs will be available to offset taxable income subject to the Internal Revenue Code Section 382 annual limitation. In addition, the Company has state NOLs of approximately $519.5 million at December 31, 2020 that will expire at various times between 2021 and 2040.</w:t>
      </w:r>
    </w:p>
    <w:p>
      <w:pPr>
        <w:spacing w:after="0" w:line="78"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96,224</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87,664</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15,892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7,948</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112,116</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As of each reporting date, management considers both positive and negative evidence regarding the likelihood of future realization of the deferred tax assets.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2019 and 2018, the Company recorded a partial valuation allowance of $5.8 million, $4.1 million and $2.2 million, respectively, primarily related to state net operating losses, which the Company does not expect to be able to utilize prior to expiration.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187"/>
        </w:trPr>
        <w:tc>
          <w:tcPr>
            <w:tcW w:w="7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4,102</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2,229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2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Charges to earnings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1,700</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1,873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5,802</w:t>
            </w: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4,102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1,996</w:t>
            </w:r>
          </w:p>
        </w:tc>
        <w:tc>
          <w:tcPr>
            <w:tcW w:w="10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based on tax positions of the current period</w:t>
            </w:r>
          </w:p>
        </w:tc>
        <w:tc>
          <w:tcPr>
            <w:tcW w:w="9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the prior period</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2,613</w:t>
            </w:r>
          </w:p>
        </w:tc>
        <w:tc>
          <w:tcPr>
            <w:tcW w:w="10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1,996</w:t>
            </w:r>
          </w:p>
        </w:tc>
      </w:tr>
    </w:tbl>
    <w:p>
      <w:pPr>
        <w:spacing w:after="0" w:line="20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2020, 2019 and 2018 is immaterial.</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2020 and 2019, the accrual for unrecognized tax benefits, including interest, was $2.6 million and $2.1 million, respectively, which would benefit the effective tax rate if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2020, the Company is subject to a federal income tax examination for the tax years 2014 through 2019. In addition, the Company is subject to state and local tax examinations for the tax years 2014 through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Company to settle the principal amount of the 2025 Notes in cash and any conversion premium in shares of its common stock.</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62" w:lineRule="exact"/>
        <w:rPr>
          <w:sz w:val="20"/>
          <w:szCs w:val="20"/>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December 31, 2020 as the last reported sale price of the Company's common stock, for at least 20 trading days (whether or not consecutive) during the period of 30 consecutive trading days ending on September 30, 2020, was not greater than or equal to 130% of the conversion price of the 2025 Notes on each applicable trading day. Holders of the 2025 Notes are not entitled to convert the 2025 Notes during the calendar quarter ended March 31, 2021 as the last reported sale price of the Company's common stock, for at least 20 trading days (whether or not consecutive) during the period of 30 consecutive trading days ending on December 31, 2020, was not greater than or equal to 130% of the conversion price of the 2025 Notes on each applicable trading day.</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41st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initial measurement of convertible debt instruments that may be settled in cash is separated into a debt and an equity component whereby the debt component is based on the fair value of a similar instrument that does not contain an equity conversion option. The separate components of debt and equity of the Company’s 2025 Notes were determined using 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2020, the Company recorded interest expense on the 2025 Notes of $11.5 million which consisted of $1.3 million associated with the 0.50% coupon rate, $9.3 million associated with the accretion of the debt discount, and $0.9 million associated with the amortization of the debt issuance costs. The debt discount is being amortized over the term of the debt.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fair value of the 2025 Notes is estimated to be approximately $564.1 million using the Level 1 observable input of the last quoted market price on December 31,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9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110,110</w:t>
            </w:r>
          </w:p>
        </w:tc>
      </w:tr>
      <w:tr>
        <w:trPr>
          <w:trHeight w:val="230"/>
        </w:trPr>
        <w:tc>
          <w:tcPr>
            <w:tcW w:w="9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w:t>
            </w:r>
          </w:p>
        </w:tc>
      </w:tr>
      <w:tr>
        <w:trPr>
          <w:trHeight w:val="230"/>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 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62" w:lineRule="exact"/>
        <w:rPr>
          <w:sz w:val="20"/>
          <w:szCs w:val="20"/>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2022 Notes were entitled to convert the 2022 Notes during the calendar quarter ended December 31, 2020 as the last reported sale price of the Company's common stock, for at least 20 trading days (whether or not consecutive) during the period of 30 consecutive trading days ending on September 30, 2020, was greater than or equal to 130% of the conversion price of the 2022 Notes on each applicable trading day. Holders of the 2022 Notes are not entitled to convert the 2022 Notes during the calendar quarter ended March 31, 2021 as the last reported sale price of the Company's common stock, for at least 20 trading days (whether or not consecutive) during the period of 30 consecutive trading days ending on December 31, 2020, was not greater than or equal to 130% of the conversion price of the 2022 Notes on each applicable trading day.</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 (loss).</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the Company recorded interest expense on the 2022 Notes of $13.0 million which consisted of $1.5 million associated with the 0.625% coupon rate, $10.3 million associated with the accretion of the debt discount, and $1.2 million associated with the amortization of the debt issuance costs. During 2019, the Company recorded interest expense on the 2022 Notes of $15.3 million which consisted of $1.9 million associated with the 0.625% coupon rate, $12.0 million associated with the accretion of the debt discount, and $1.4 million associated with the amortization of the debt issuance costs. During 2018, the Company recorded interest expense on the 2022 Notes of $14.6 million which consisted of $1.9 million associated with the 0.625% coupon rate, $11.4 million associated with the accretion of the debt discount, and $1.3 million associated with the amortization of the debt issuance costs. The debt discount is being amortized over the term of the debt.</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fair value of the 2022 Notes is estimated to be approximately $243.8 million using the Level 1 observable input of the last quoted market price on December 31,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December 31,</w:t>
            </w:r>
          </w:p>
        </w:tc>
        <w:tc>
          <w:tcPr>
            <w:tcW w:w="30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10,815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31,789</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1,297</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30"/>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157,578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264,391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5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10, 2019, the Company's wholly-owned subsidiary, LendingTree, LLC, entered into an amended and restated $500.0 million five-year senior secured revolving credit facility (the "Amended Revolving Credit Facility") which amended and restated the Company's previous $350.0 million five-year senior secured revolving credit facility (the “2017 Revolving Credit Facility”). The Amended Revolving Credit Facility matures on December 10, 2024. Borrowings under the Amended Revolving Credit Facility can be used to finance working capital needs, capital expenditures and general corporate purposes, including to finance permitted acquisitions. As of December 31, 2020, the Company had no borrowings outstanding under the Amended Revolving Credit Facility. As of December 31, 2019, the Company had $75.0 million in borrowings outstanding under the Amended Revolving Credit Facility at the LIBO rate option with a weighted average interest rate of 3.01%, consisting of a $50.0 million 31-day borrowing and a $25.0 million 31-day borrowing.</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 to $10.0 million of the Amended Revolving Credit Facility will be available for short-term loans, referred to as swingline loans. Under certain conditions, the Company will be permitted to add one or more term loans and/or increase revolving commitments under the Amended Revolving Credit Facility by an additional amount equal to the greater of $185.0 million or 100% of Consolidated EBITDA as defined, or a greater amount provided that a total consolidated senior secured debt to EBITDA ratio does not exceed 2.50 to 1.00. Additionally, up to $10.0 million of the Amended Revolving Credit Facility will be available for the issuance of letters of credit. At each of December 31, 2020 and December 31, 2019, the Company had outstanding one letter of credit issued in the amount of $0.2 million.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borrowings under the Amended Revolving Credit Facility bear interest at annual rates that, at the Company’s option, will be either:</w:t>
      </w:r>
    </w:p>
    <w:p>
      <w:pPr>
        <w:spacing w:after="0" w:line="140" w:lineRule="exact"/>
        <w:rPr>
          <w:sz w:val="20"/>
          <w:szCs w:val="20"/>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Amended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Amended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21, 2020, the Company executed a temporary amendment to its Amended Revolving Credit Facility to provide for certain covenant relief, primarily to facilitate the issuance of the 2025 Notes, the repurchase of a portion of the 2022 Notes, and to pay down existing borrowings under the credit facility.</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amendment amends the existing credit agreement to, among other things: (i) temporarily replace the total consolidated debt to EBITDA ratio covenant with a consolidated liquidity covenant requiring the Company to maintain unrestricted cash and cash equivalents in the United States plus amounts available and permitted to be drawn under the Amended Revolving Credit Facility to be no less than $200.0 million; (ii) impose additional limitations on certain restricted payments during such temporary period; and (iii) increase the applicable margins to (x) 2.25% for loans based on the LIBO rate and (y) 1.25% for loans based on the base rate, subject to a 0.75% floor, and unused commitment fees to 0.50% under the Amended Revolving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Facility during the temporary period. These amendments shall apply from the effective date through the fiscal quarter ending June 30, 2021, unless terminated in advance by the Company.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December 31, 2020.</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Amended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Except as noted in the covenant relief discussion above, the Company is required to pay an unused commitment fee quarterly in arrears on the difference between committed amounts and amounts actually borrowed under the Amended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recognized $0.3 million in additional interest expense in the fourth quarter of 2019 due to the write-off of certain unamortized debt issuance costs associated with the original revolving credit facility and previous amendments to the credit agreement. In addition to the remaining unamortized debt issuance costs associated with the original revolving credit facility and the Revolving Credit Facility, debt issuance costs of $2.8 million related to the Amended Revolving Credit Facility entered into on December 10, 2019 are being amortized to interest expense over the life of the Amended Revolving Credit Facility. Debt issuance costs of $1.1 million related to the July 21, 2020 temporary amendment are being amortized to interest expense through June 30, 2021, unless the temporary amendment is terminated in advance by the Company. Unamortized debt issuance costs are included in prepaid and other current assets and other non-current assets in the Company's consolidated balance sheet.</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the Company recorded interest expense related to the revolving credit facility of $4.3 million which consisted of $1.3 million associated with borrowings bearing interest at the LIBO rate, $1.7 million in unused commitment fees, and $1.3 million associated with the amortization of the debt issuance costs. During 2019, the Company recorded interest expense related to the revolving credit facility of $6.1 million which consisted of $4.9 million associated with borrowings bearing interest at the LIBO rate, $0.6 million in unused commitment fees, and $0.6 million associated with the amortization of the debt issuance costs. During 2018, the Company recorded interest expense related to the revolving credit facility of $2.0 million which consisted of $0.8 million associated with borrowings bearing interest at the base rate and the LIBO rate, $0.8 million in unused commitment fees, and $0.4 million associated with the amortization of the debt issuance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left="817"/>
              <w:spacing w:after="0"/>
              <w:rPr>
                <w:sz w:val="20"/>
                <w:szCs w:val="20"/>
                <w:color w:val="auto"/>
              </w:rPr>
            </w:pPr>
            <w:r>
              <w:rPr>
                <w:rFonts w:ascii="Arial" w:cs="Arial" w:eastAsia="Arial" w:hAnsi="Arial"/>
                <w:sz w:val="16"/>
                <w:szCs w:val="16"/>
                <w:b w:val="1"/>
                <w:bCs w:val="1"/>
                <w:color w:val="auto"/>
                <w:w w:val="92"/>
              </w:rPr>
              <w:t>Commitments Due By Period</w:t>
            </w:r>
          </w:p>
        </w:tc>
        <w:tc>
          <w:tcPr>
            <w:tcW w:w="1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3"/>
                <w:szCs w:val="13"/>
                <w:color w:val="auto"/>
              </w:rPr>
            </w:pPr>
          </w:p>
        </w:tc>
        <w:tc>
          <w:tcPr>
            <w:tcW w:w="1220" w:type="dxa"/>
            <w:vAlign w:val="bottom"/>
          </w:tcPr>
          <w:p>
            <w:pPr>
              <w:jc w:val="center"/>
              <w:ind w:right="177"/>
              <w:spacing w:after="0" w:line="158" w:lineRule="exact"/>
              <w:rPr>
                <w:sz w:val="20"/>
                <w:szCs w:val="20"/>
                <w:color w:val="auto"/>
              </w:rPr>
            </w:pPr>
            <w:r>
              <w:rPr>
                <w:rFonts w:ascii="Arial" w:cs="Arial" w:eastAsia="Arial" w:hAnsi="Arial"/>
                <w:sz w:val="16"/>
                <w:szCs w:val="16"/>
                <w:b w:val="1"/>
                <w:bCs w:val="1"/>
                <w:color w:val="auto"/>
                <w:w w:val="90"/>
              </w:rPr>
              <w:t>Less Than</w:t>
            </w:r>
          </w:p>
        </w:tc>
        <w:tc>
          <w:tcPr>
            <w:tcW w:w="340" w:type="dxa"/>
            <w:vAlign w:val="bottom"/>
          </w:tcPr>
          <w:p>
            <w:pPr>
              <w:spacing w:after="0"/>
              <w:rPr>
                <w:sz w:val="13"/>
                <w:szCs w:val="13"/>
                <w:color w:val="auto"/>
              </w:rPr>
            </w:pPr>
          </w:p>
        </w:tc>
        <w:tc>
          <w:tcPr>
            <w:tcW w:w="1180" w:type="dxa"/>
            <w:vAlign w:val="bottom"/>
            <w:vMerge w:val="restart"/>
          </w:tcPr>
          <w:p>
            <w:pPr>
              <w:jc w:val="center"/>
              <w:ind w:right="195"/>
              <w:spacing w:after="0"/>
              <w:rPr>
                <w:sz w:val="20"/>
                <w:szCs w:val="20"/>
                <w:color w:val="auto"/>
              </w:rPr>
            </w:pPr>
            <w:r>
              <w:rPr>
                <w:rFonts w:ascii="Arial" w:cs="Arial" w:eastAsia="Arial" w:hAnsi="Arial"/>
                <w:sz w:val="16"/>
                <w:szCs w:val="16"/>
                <w:b w:val="1"/>
                <w:bCs w:val="1"/>
                <w:color w:val="auto"/>
                <w:w w:val="89"/>
              </w:rPr>
              <w:t>1-3 years</w:t>
            </w:r>
          </w:p>
        </w:tc>
        <w:tc>
          <w:tcPr>
            <w:tcW w:w="400" w:type="dxa"/>
            <w:vAlign w:val="bottom"/>
          </w:tcPr>
          <w:p>
            <w:pPr>
              <w:spacing w:after="0"/>
              <w:rPr>
                <w:sz w:val="13"/>
                <w:szCs w:val="13"/>
                <w:color w:val="auto"/>
              </w:rPr>
            </w:pPr>
          </w:p>
        </w:tc>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1200" w:type="dxa"/>
            <w:vAlign w:val="bottom"/>
          </w:tcPr>
          <w:p>
            <w:pPr>
              <w:jc w:val="center"/>
              <w:ind w:right="136"/>
              <w:spacing w:after="0" w:line="158" w:lineRule="exact"/>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0"/>
              </w:rPr>
              <w:t>1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30"/>
        <w:spacing w:after="0" w:line="279" w:lineRule="auto"/>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certain other commitments through 2025, where the aggregate commitments for these contracts range from $0.2 million to $5.2 million each year throughout the remaining life of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17,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December 31, 2020, the Company had litigation settlement accruals of $0.1 million and $0.5 million in continuing operations and discontinued operations, respectively. As of December 31, 2019, the Company had litigation settlement accruals of $0.2 million and $31.0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21—Discontinued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18—FAIR VALUE MEASUREMENTS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the carrying amounts of the Company's financial instruments are equal to fair value at December 31,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 for additional information on the equity interest in Stash.</w:t>
      </w:r>
    </w:p>
    <w:p>
      <w:pPr>
        <w:spacing w:after="0" w:line="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Contingent consideration payments related to acquisitions are measured at fair value each reporting period using Level 3 unobservable inputs. The changes in the fair value of the Company's Level 3 liabilities during the years ended December 31, 2020, 2019 and 2018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38,837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Total net losses included in earnings (realized and unrealized)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5,327</w:t>
            </w:r>
          </w:p>
        </w:tc>
        <w:tc>
          <w:tcPr>
            <w:tcW w:w="4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28,402</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10,788</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19,700</w:t>
            </w:r>
          </w:p>
        </w:tc>
      </w:tr>
      <w:tr>
        <w:trPr>
          <w:trHeight w:val="230"/>
        </w:trPr>
        <w:tc>
          <w:tcPr>
            <w:tcW w:w="7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356"/>
              <w:spacing w:after="0"/>
              <w:rPr>
                <w:sz w:val="20"/>
                <w:szCs w:val="20"/>
                <w:color w:val="auto"/>
              </w:rPr>
            </w:pPr>
            <w:r>
              <w:rPr>
                <w:rFonts w:ascii="Arial" w:cs="Arial" w:eastAsia="Arial" w:hAnsi="Arial"/>
                <w:sz w:val="18"/>
                <w:szCs w:val="18"/>
                <w:color w:val="auto"/>
              </w:rPr>
              <w:t>(30,542)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(33,775)</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8,249</w:t>
            </w: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33,464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38,837</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contingent consideration liability at December 31, 2020 consisted of the estimated fair value of the remaining earnout payment for the QuoteWizard acquisition. The contingent consideration liability at December 31, 2019 and 2018 consisted of the estimated fair value of the earnout payments of the DepositAccounts, SnapCap, Ovation, and QuoteWizard acquisitions.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Company will make an earnout payment ranging from zero to $23.4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9—Business Acquisitions for additional information.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significant unobservable inputs used to calculate the fair value of the contingent consideration for QuoteWizard are the operating results growth rate and the discount rate. Actual results will differ from the projected results and could have a significant impact on the estimated fair value of the contingent consideration.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quantitative information about Level 3 fair value measurements.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Fair Value at</w:t>
            </w:r>
          </w:p>
        </w:tc>
        <w:tc>
          <w:tcPr>
            <w:tcW w:w="23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Valuation Technique</w:t>
            </w:r>
          </w:p>
        </w:tc>
        <w:tc>
          <w:tcPr>
            <w:tcW w:w="2940" w:type="dxa"/>
            <w:vAlign w:val="bottom"/>
            <w:vMerge w:val="restart"/>
          </w:tcPr>
          <w:p>
            <w:pPr>
              <w:ind w:left="1000"/>
              <w:spacing w:after="0"/>
              <w:rPr>
                <w:sz w:val="20"/>
                <w:szCs w:val="20"/>
                <w:color w:val="auto"/>
              </w:rPr>
            </w:pPr>
            <w:r>
              <w:rPr>
                <w:rFonts w:ascii="Arial" w:cs="Arial" w:eastAsia="Arial" w:hAnsi="Arial"/>
                <w:sz w:val="16"/>
                <w:szCs w:val="16"/>
                <w:b w:val="1"/>
                <w:bCs w:val="1"/>
                <w:color w:val="auto"/>
              </w:rPr>
              <w:t>Unobservable Input</w:t>
            </w:r>
          </w:p>
        </w:tc>
        <w:tc>
          <w:tcPr>
            <w:tcW w:w="288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Range (Weighted Average)</w:t>
            </w:r>
            <w:r>
              <w:rPr>
                <w:rFonts w:ascii="Arial" w:cs="Arial" w:eastAsia="Arial" w:hAnsi="Arial"/>
                <w:sz w:val="21"/>
                <w:szCs w:val="21"/>
                <w:b w:val="1"/>
                <w:bCs w:val="1"/>
                <w:color w:val="auto"/>
                <w:vertAlign w:val="superscript"/>
              </w:rPr>
              <w:t>(a)</w:t>
            </w: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left="215"/>
              <w:spacing w:after="0"/>
              <w:rPr>
                <w:sz w:val="20"/>
                <w:szCs w:val="20"/>
                <w:color w:val="auto"/>
              </w:rPr>
            </w:pPr>
            <w:r>
              <w:rPr>
                <w:rFonts w:ascii="Arial" w:cs="Arial" w:eastAsia="Arial" w:hAnsi="Arial"/>
                <w:sz w:val="16"/>
                <w:szCs w:val="16"/>
                <w:b w:val="1"/>
                <w:bCs w:val="1"/>
                <w:color w:val="auto"/>
                <w:w w:val="90"/>
              </w:rPr>
              <w:t>December 31, 2020</w:t>
            </w:r>
          </w:p>
        </w:tc>
        <w:tc>
          <w:tcPr>
            <w:tcW w:w="2380" w:type="dxa"/>
            <w:vAlign w:val="bottom"/>
            <w:tcBorders>
              <w:bottom w:val="single" w:sz="8" w:color="auto"/>
            </w:tcBorders>
            <w:vMerge w:val="continue"/>
          </w:tcPr>
          <w:p>
            <w:pPr>
              <w:spacing w:after="0"/>
              <w:rPr>
                <w:sz w:val="18"/>
                <w:szCs w:val="18"/>
                <w:color w:val="auto"/>
              </w:rPr>
            </w:pPr>
          </w:p>
        </w:tc>
        <w:tc>
          <w:tcPr>
            <w:tcW w:w="294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2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Contingent</w:t>
            </w:r>
          </w:p>
        </w:tc>
        <w:tc>
          <w:tcPr>
            <w:tcW w:w="480" w:type="dxa"/>
            <w:vAlign w:val="bottom"/>
            <w:shd w:val="clear" w:color="auto" w:fill="CCEEFF"/>
          </w:tcPr>
          <w:p>
            <w:pPr>
              <w:jc w:val="right"/>
              <w:ind w:right="15"/>
              <w:spacing w:after="0" w:line="179"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8,249</w:t>
            </w:r>
          </w:p>
        </w:tc>
        <w:tc>
          <w:tcPr>
            <w:tcW w:w="2380" w:type="dxa"/>
            <w:vAlign w:val="bottom"/>
            <w:shd w:val="clear" w:color="auto" w:fill="CCEEFF"/>
          </w:tcPr>
          <w:p>
            <w:pPr>
              <w:ind w:left="40"/>
              <w:spacing w:after="0" w:line="179" w:lineRule="exact"/>
              <w:rPr>
                <w:sz w:val="20"/>
                <w:szCs w:val="20"/>
                <w:color w:val="auto"/>
              </w:rPr>
            </w:pPr>
            <w:r>
              <w:rPr>
                <w:rFonts w:ascii="Arial" w:cs="Arial" w:eastAsia="Arial" w:hAnsi="Arial"/>
                <w:sz w:val="18"/>
                <w:szCs w:val="18"/>
                <w:color w:val="auto"/>
              </w:rPr>
              <w:t>Option pricing model</w:t>
            </w:r>
          </w:p>
        </w:tc>
        <w:tc>
          <w:tcPr>
            <w:tcW w:w="2940" w:type="dxa"/>
            <w:vAlign w:val="bottom"/>
            <w:shd w:val="clear" w:color="auto" w:fill="CCEEFF"/>
          </w:tcPr>
          <w:p>
            <w:pPr>
              <w:ind w:left="340"/>
              <w:spacing w:after="0" w:line="179" w:lineRule="exact"/>
              <w:rPr>
                <w:sz w:val="20"/>
                <w:szCs w:val="20"/>
                <w:color w:val="auto"/>
              </w:rPr>
            </w:pPr>
            <w:r>
              <w:rPr>
                <w:rFonts w:ascii="Arial" w:cs="Arial" w:eastAsia="Arial" w:hAnsi="Arial"/>
                <w:sz w:val="18"/>
                <w:szCs w:val="18"/>
                <w:color w:val="auto"/>
              </w:rPr>
              <w:t>Operating results growth rate</w:t>
            </w:r>
          </w:p>
        </w:tc>
        <w:tc>
          <w:tcPr>
            <w:tcW w:w="288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Discount rate</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Discount rates are weighted by the relative undiscounted value of expected earnout payments. Other unobservable inputs are weighted by the relative maximum potential earnout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19—RELATED PARTY TRANSACTIONS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then-member of the Company's board of directors served as a director to a marketing partner of the Company through 2018. During 2018, the Company recognized $0.7 million of expenses for this marketing partner through the normal course of business.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2017, the Company's Board of Directors approved a $10.0 million contribution to fund the newly formed LendingTree Foundation. In each of 2020 and 2019, the Company paid $3.3 million of the $10.0 million contribution, and expects to pay the final installment in 2021. Officers of the Company serve as officers of the LendingTree Foundation.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20—BENEFIT PLANS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($19,500 for 2020, $19,000 for 2019, and $18,500 for 2018).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$2.4 million, $2.0 million and $1.4 million for the years ended December 31, 2020,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21—DISCONTINUED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A portion of the purchase price received was deposited in escrow in accordance with the purchase agreement with Discover for certain loan loss obligations that remained with HLC following the sale. During 2018, the remaining funds in escrow were released to HLC in accordance with the terms of the purchase agreement with Discover.</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remains with HLC.</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 The derecognition of HLC’s cash of $5.9 million removed from the consolidated balance sheet on the deconsolidation date of July 21, 2019 is included within cash flows from operating activities attributable to discontinued operations in the accompanying consolidated statement of cash flows.</w:t>
      </w:r>
    </w:p>
    <w:p>
      <w:pPr>
        <w:spacing w:after="0" w:line="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HLC has indicated that it believes that it has claims against HLC’s sole shareholder, LendingTree, LLC, and certain of its officers and directors, relating to the declaration of a dividend by HLC in January 2016 of $40.0 million. LendingTree, LLC believes the declaration of the dividend was proper, that the amounts paid to LendingTree, LLC following such declaration are not subject to recovery by HLC and that any claims by HLC relating to such dividend declaration are without merit. During the second quarter of 2020, LendingTree, LLC and HLC entered into a settlement agreement in the amount of $36.0 million for the release of any and all claims against the Company defendants by HLC, including the dividend claim. The bankruptcy court held a hearing on July 16, 2020 on the motion to approve the settlement to which no objections were made, and approved the settlement the same day. The $36.0 million settlement payment was made in the third quarter of 2020. HLC’s voluntary petition under the Bankruptcy Code does not represent an event of default under LendingTree, LLC’s Second Amended and Restated Credit Agreement dated as of December 10, 2019, the Company’s indenture dated May 31, 2017 with respect to the Company’s 0.625% Convertible Senior Notes due 2022, or the Company’s indenture dated July 24, 2020 with respect to the Company’s 0.50% Convertible Senior Notes due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asserted that, beginning in 2008, RFC faced massive repurchase demands and lawsuits from purchasers or insurers of the loans and RMBS that RFC had sold. RFC filed for bankruptcy protection in May 2012. Plaintiff alleged that, after RFC filed for Chapter 11 protection, hundreds of proofs of claim were filed, many of which mirrored the litigation filed against RFC prior to its bankruptcy.</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claimed that the defendant is liable for a portion of the global settlement in RFC’s bankruptcy.</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creates an automatic stay of enforcement of the judgment entered against HLC by the U.S. District Court in Minnesota. On August 27, 2019, plaintiff filed a lawsuit captioned </w:t>
      </w:r>
      <w:r>
        <w:rPr>
          <w:rFonts w:ascii="Arial" w:cs="Arial" w:eastAsia="Arial" w:hAnsi="Arial"/>
          <w:sz w:val="17"/>
          <w:szCs w:val="17"/>
          <w:i w:val="1"/>
          <w:iCs w:val="1"/>
          <w:color w:val="auto"/>
        </w:rPr>
        <w:t>ResCap Liquidating</w:t>
      </w:r>
      <w:r>
        <w:rPr>
          <w:rFonts w:ascii="Arial" w:cs="Arial" w:eastAsia="Arial" w:hAnsi="Arial"/>
          <w:sz w:val="17"/>
          <w:szCs w:val="17"/>
          <w:color w:val="auto"/>
        </w:rPr>
        <w:t xml:space="preserve"> </w:t>
      </w:r>
      <w:r>
        <w:rPr>
          <w:rFonts w:ascii="Arial" w:cs="Arial" w:eastAsia="Arial" w:hAnsi="Arial"/>
          <w:sz w:val="17"/>
          <w:szCs w:val="17"/>
          <w:i w:val="1"/>
          <w:iCs w:val="1"/>
          <w:color w:val="auto"/>
        </w:rPr>
        <w:t>Trust v. LendingTree, LLC, et al., Case No. 19-cv-2360 (U.S. Dist. Ct., Minn.)</w:t>
      </w:r>
      <w:r>
        <w:rPr>
          <w:rFonts w:ascii="Arial" w:cs="Arial" w:eastAsia="Arial" w:hAnsi="Arial"/>
          <w:sz w:val="17"/>
          <w:szCs w:val="17"/>
          <w:color w:val="auto"/>
        </w:rPr>
        <w:t>, seeking to hold the Company liable for the judgment against HLC, under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of liability, agency and alter ego theories. The Company believes that these claims lack merit. On October 17, 2019, the Company filed a motion to dismiss the liability and agency claims, and oral arguments with respect to such motion were held on January 10, 2020. On March 20, 2020, the court denied the Company's motion to dismiss, or in the alternative, to compel arbitration, and on April 3, 2020, the Company appealed the court's findings with respect to the Company's request to compel arbitration of the first count of the lawsuit. On June 17, 2020, the Company entered into a settlement agreement with ResCap, pursuant to which, the Company agreed to, among other things, pay ResCap $58.5 million, less any amounts ResCap receives in the HLC bankruptcy, in exchange for, among other things, ResCap releasing any and all claims against the Company, and the Company’s directors and officers, including any claims asserted in ResCap v. LendingTree. Pursuant to the settlement agreement, the Company will be responsible for the difference of $58.5 million minus the amount that ResCap receives through the HLC Bankruptcy. In the third and fourth quarters of 2020, the Company made payments of $26.5 million and $6.4 million, respectively, to the ResCap Liquidating Trust. The Company expects to be refunded $8.6 million of these amounts, subsequent to the final distributions in the HLC Bankruptcy. This $8.6 million is recorded within current assets of discontinued operations on the accompanying consolidated balance sheet as of December 31,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Lehman Brothers Holdings Inc. v. 1st Advantage Mortgage, LLC et al., Case No. 08-13555 (SCC), Adversary Proceeding No. 16-01342 (SCC) (Bankr. S.D.N.Y.). </w:t>
      </w:r>
      <w:r>
        <w:rPr>
          <w:rFonts w:ascii="Arial" w:cs="Arial" w:eastAsia="Arial" w:hAnsi="Arial"/>
          <w:sz w:val="17"/>
          <w:szCs w:val="17"/>
          <w:color w:val="auto"/>
        </w:rPr>
        <w:t>In February 2016, Lehman Brothers Holdings, Inc. (“LBHI”) filed an Adversary Complaint against HLC and approximately 149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On December 4, 2019, LBHI filed a $44.7 million proof of claim in HLC’s bankruptcy seeking recovery for the claims asserted in the lawsuit. The Company believes that these claims lack merit and understands that HLC intends to defend this action vigorously.</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HLC’s filing under the Bankruptcy Code discussed above in Home Loan Center, Inc. Bankruptcy Filing creates an automatic stay of this proceeding. On June 11, 2020, LBHI filed a lawsuit captioned </w:t>
      </w:r>
      <w:r>
        <w:rPr>
          <w:rFonts w:ascii="Arial" w:cs="Arial" w:eastAsia="Arial" w:hAnsi="Arial"/>
          <w:sz w:val="16"/>
          <w:szCs w:val="16"/>
          <w:i w:val="1"/>
          <w:iCs w:val="1"/>
          <w:color w:val="auto"/>
        </w:rPr>
        <w:t>Lehman Brothers Holdings Inc. v. LendingTree, LLC, et al., Case No. 20-cv-01351 (U.S. Dist. Ct.,</w:t>
      </w:r>
      <w:r>
        <w:rPr>
          <w:rFonts w:ascii="Arial" w:cs="Arial" w:eastAsia="Arial" w:hAnsi="Arial"/>
          <w:sz w:val="16"/>
          <w:szCs w:val="16"/>
          <w:color w:val="auto"/>
        </w:rPr>
        <w:t xml:space="preserve"> </w:t>
      </w:r>
      <w:r>
        <w:rPr>
          <w:rFonts w:ascii="Arial" w:cs="Arial" w:eastAsia="Arial" w:hAnsi="Arial"/>
          <w:sz w:val="16"/>
          <w:szCs w:val="16"/>
          <w:i w:val="1"/>
          <w:iCs w:val="1"/>
          <w:color w:val="auto"/>
        </w:rPr>
        <w:t>Minn.)</w:t>
      </w:r>
      <w:r>
        <w:rPr>
          <w:rFonts w:ascii="Arial" w:cs="Arial" w:eastAsia="Arial" w:hAnsi="Arial"/>
          <w:sz w:val="16"/>
          <w:szCs w:val="16"/>
          <w:color w:val="auto"/>
        </w:rPr>
        <w:t>, seeking to hold the Company liable for their allowed bankruptcy claim of $13.3 million, under assumption of liability, agency and alter ego</w:t>
      </w:r>
      <w:r>
        <w:rPr>
          <w:rFonts w:ascii="Arial" w:cs="Arial" w:eastAsia="Arial" w:hAnsi="Arial"/>
          <w:sz w:val="16"/>
          <w:szCs w:val="16"/>
          <w:i w:val="1"/>
          <w:iCs w:val="1"/>
          <w:color w:val="auto"/>
        </w:rPr>
        <w:t xml:space="preserve"> </w:t>
      </w:r>
      <w:r>
        <w:rPr>
          <w:rFonts w:ascii="Arial" w:cs="Arial" w:eastAsia="Arial" w:hAnsi="Arial"/>
          <w:sz w:val="16"/>
          <w:szCs w:val="16"/>
          <w:color w:val="auto"/>
        </w:rPr>
        <w:t>theories. The Company believes that these claims lack merit and intends to defend this action vigorously. In the third quarter of 2020, the Company made a settlement offer to LBHI for $0.5 million, which is included as a liability on the accompanying consolidated balance sheet as of December 31,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(loss)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removal of HLC's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4,515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w:t>
            </w:r>
          </w:p>
        </w:tc>
      </w:tr>
      <w:tr>
        <w:trPr>
          <w:trHeight w:val="223"/>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7,619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8,855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r>
      <w:tr>
        <w:trPr>
          <w:trHeight w:val="230"/>
        </w:trPr>
        <w:tc>
          <w:tcPr>
            <w:tcW w:w="7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(25,689)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(12,820)</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 as well as a gain upon deconsolidation due to the accounting effect of HLC’s bankruptcy filing on the consolidated financial statements.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22—SEGMENT INFORMATION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for the purpose of assessing performance and allocating resources. The Company changed its reportable segments in the fourth quarter of 2019 and previously reported segment results have been revised to conform to the Company's reportable segments at December 31, 2020.</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Revenue from the resale of online advertising space to third parties and revenue from home improvement referrals, and the related variable marketing and advertising expenses, are included within the Other category.</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 The Company ceased reselling online advertising space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b w:val="1"/>
                <w:bCs w:val="1"/>
                <w:color w:val="auto"/>
                <w:w w:val="92"/>
              </w:rPr>
              <w:t>Year Ended December 31, 2020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333,765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909,990</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188,869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146,308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540,517</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132,123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106,890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131,142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369,473</w:t>
            </w:r>
          </w:p>
        </w:tc>
        <w:tc>
          <w:tcPr>
            <w:tcW w:w="0" w:type="dxa"/>
            <w:vAlign w:val="bottom"/>
          </w:tcPr>
          <w:p>
            <w:pPr>
              <w:spacing w:after="0"/>
              <w:rPr>
                <w:sz w:val="1"/>
                <w:szCs w:val="1"/>
                <w:color w:val="auto"/>
              </w:rPr>
            </w:pPr>
          </w:p>
        </w:tc>
      </w:tr>
      <w:tr>
        <w:trPr>
          <w:trHeight w:val="146"/>
        </w:trPr>
        <w:tc>
          <w:tcPr>
            <w:tcW w:w="5700" w:type="dxa"/>
            <w:vAlign w:val="bottom"/>
          </w:tcPr>
          <w:p>
            <w:pPr>
              <w:ind w:left="140"/>
              <w:spacing w:after="0" w:line="146" w:lineRule="exact"/>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53,408</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77,973</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129,101</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43,636</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14,201</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53,078</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(6,603)</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(42,527)</w:t>
            </w:r>
          </w:p>
        </w:tc>
        <w:tc>
          <w:tcPr>
            <w:tcW w:w="0" w:type="dxa"/>
            <w:vAlign w:val="bottom"/>
          </w:tcPr>
          <w:p>
            <w:pPr>
              <w:spacing w:after="0"/>
              <w:rPr>
                <w:sz w:val="1"/>
                <w:szCs w:val="1"/>
                <w:color w:val="auto"/>
              </w:rPr>
            </w:pPr>
          </w:p>
        </w:tc>
      </w:tr>
      <w:tr>
        <w:trPr>
          <w:trHeight w:val="885"/>
        </w:trPr>
        <w:tc>
          <w:tcPr>
            <w:tcW w:w="5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b w:val="1"/>
                <w:bCs w:val="1"/>
                <w:color w:val="auto"/>
                <w:w w:val="92"/>
              </w:rPr>
              <w:t>Year Ended December 31, 2019</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277,935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284,792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28,839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1,106,603</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174,814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301,852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170,153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27,466</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674,285</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103,121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213,185</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114,639</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1,373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432,318</w:t>
            </w:r>
          </w:p>
        </w:tc>
        <w:tc>
          <w:tcPr>
            <w:tcW w:w="0" w:type="dxa"/>
            <w:vAlign w:val="bottom"/>
          </w:tcPr>
          <w:p>
            <w:pPr>
              <w:spacing w:after="0"/>
              <w:rPr>
                <w:sz w:val="1"/>
                <w:szCs w:val="1"/>
                <w:color w:val="auto"/>
              </w:rPr>
            </w:pPr>
          </w:p>
        </w:tc>
      </w:tr>
      <w:tr>
        <w:trPr>
          <w:trHeight w:val="146"/>
        </w:trPr>
        <w:tc>
          <w:tcPr>
            <w:tcW w:w="5700" w:type="dxa"/>
            <w:vAlign w:val="bottom"/>
          </w:tcPr>
          <w:p>
            <w:pPr>
              <w:ind w:left="140"/>
              <w:spacing w:after="0" w:line="146" w:lineRule="exact"/>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45,624</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83,650</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116,847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39,953</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55,241</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28,402</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50,728</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2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81"/>
              <w:spacing w:after="0"/>
              <w:rPr>
                <w:sz w:val="20"/>
                <w:szCs w:val="20"/>
                <w:color w:val="auto"/>
              </w:rPr>
            </w:pPr>
            <w:r>
              <w:rPr>
                <w:rFonts w:ascii="Arial" w:cs="Arial" w:eastAsia="Arial" w:hAnsi="Arial"/>
                <w:sz w:val="14"/>
                <w:szCs w:val="14"/>
                <w:b w:val="1"/>
                <w:bCs w:val="1"/>
                <w:color w:val="auto"/>
                <w:w w:val="92"/>
              </w:rPr>
              <w:t>Year Ended December 31, 2018</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18,705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764,865</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214,475</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207,891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17,351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459,728</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104,701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187,724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11,358</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1,354</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305,137</w:t>
            </w:r>
          </w:p>
        </w:tc>
        <w:tc>
          <w:tcPr>
            <w:tcW w:w="0" w:type="dxa"/>
            <w:vAlign w:val="bottom"/>
          </w:tcPr>
          <w:p>
            <w:pPr>
              <w:spacing w:after="0"/>
              <w:rPr>
                <w:sz w:val="1"/>
                <w:szCs w:val="1"/>
                <w:color w:val="auto"/>
              </w:rPr>
            </w:pPr>
          </w:p>
        </w:tc>
      </w:tr>
      <w:tr>
        <w:trPr>
          <w:trHeight w:val="146"/>
        </w:trPr>
        <w:tc>
          <w:tcPr>
            <w:tcW w:w="5700" w:type="dxa"/>
            <w:vAlign w:val="bottom"/>
          </w:tcPr>
          <w:p>
            <w:pPr>
              <w:ind w:left="140"/>
              <w:spacing w:after="0" w:line="146" w:lineRule="exact"/>
              <w:rPr>
                <w:sz w:val="20"/>
                <w:szCs w:val="20"/>
                <w:color w:val="auto"/>
              </w:rPr>
            </w:pPr>
            <w:r>
              <w:rPr>
                <w:rFonts w:ascii="Arial" w:cs="Arial" w:eastAsia="Arial" w:hAnsi="Arial"/>
                <w:sz w:val="16"/>
                <w:szCs w:val="16"/>
                <w:color w:val="auto"/>
                <w:w w:val="98"/>
              </w:rPr>
              <w:t>Cost of revenue (exclusive of cost of advertising re-sold to third parties included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27,587</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Arial" w:cs="Arial" w:eastAsia="Arial" w:hAnsi="Arial"/>
                <w:sz w:val="16"/>
                <w:szCs w:val="16"/>
                <w:color w:val="auto"/>
              </w:rPr>
              <w:t>above)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49,375</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101,219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26,958</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7,385</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23,468</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56,191</w:t>
            </w:r>
          </w:p>
        </w:tc>
        <w:tc>
          <w:tcPr>
            <w:tcW w:w="0" w:type="dxa"/>
            <w:vAlign w:val="bottom"/>
          </w:tcPr>
          <w:p>
            <w:pPr>
              <w:spacing w:after="0"/>
              <w:rPr>
                <w:sz w:val="1"/>
                <w:szCs w:val="1"/>
                <w:color w:val="auto"/>
              </w:rPr>
            </w:pPr>
          </w:p>
        </w:tc>
      </w:tr>
      <w:tr>
        <w:trPr>
          <w:trHeight w:val="213"/>
        </w:trPr>
        <w:tc>
          <w:tcPr>
            <w:tcW w:w="57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2020,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Management, with the participation of our Chief Executive Officer and Chief Financial Officer, assessed the effectiveness of our internal control over financial reporting as of December 31, 2020.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2020. The effectiveness of our internal control over financial reporting as of December 31, 2020 has been audited by PricewaterhouseCoopers LLP, an independent registered public accounting firm, as stated in their report appearing under "Item 8. Financial Statements and Supplementary Data" included elsewhere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2020 that has materially affected, or is reasonably likely to materially affect, our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2021 Annual Meeting of Stockholders and which will be filed with the Securities and Exchange Commission not later than 120 days after the end of the Company's fiscal year ended December 31, 2020 (the "2021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2021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2021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2021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2021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2021 Proxy Statement.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2020, 2019 and 2018.</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2020, 2019 and 2018.</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6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Exhibit</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15"/>
            <w:vMerge w:val="restart"/>
          </w:tcPr>
          <w:p>
            <w:pPr>
              <w:ind w:left="80"/>
              <w:spacing w:after="0"/>
              <w:rPr>
                <w:sz w:val="20"/>
                <w:szCs w:val="20"/>
                <w:color w:val="auto"/>
              </w:rPr>
            </w:pPr>
            <w:r>
              <w:rPr>
                <w:rFonts w:ascii="Arial" w:cs="Arial" w:eastAsia="Arial" w:hAnsi="Arial"/>
                <w:sz w:val="18"/>
                <w:szCs w:val="18"/>
                <w:b w:val="1"/>
                <w:bCs w:val="1"/>
                <w:color w:val="auto"/>
              </w:rPr>
              <w:t>Description</w:t>
            </w:r>
          </w:p>
        </w:tc>
        <w:tc>
          <w:tcPr>
            <w:tcW w:w="464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5"/>
            <w:vMerge w:val="continue"/>
          </w:tcPr>
          <w:p>
            <w:pPr>
              <w:spacing w:after="0"/>
              <w:rPr>
                <w:sz w:val="19"/>
                <w:szCs w:val="19"/>
                <w:color w:val="auto"/>
              </w:rPr>
            </w:pPr>
          </w:p>
        </w:tc>
        <w:tc>
          <w:tcPr>
            <w:tcW w:w="4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2.1</w:t>
            </w:r>
          </w:p>
        </w:tc>
        <w:tc>
          <w:tcPr>
            <w:tcW w:w="5380" w:type="dxa"/>
            <w:vAlign w:val="bottom"/>
            <w:gridSpan w:val="19"/>
            <w:shd w:val="clear" w:color="auto" w:fill="CCEEFF"/>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Separation and Distribution Agreement among IAC/InterActiveCorp,</w:t>
              </w:r>
            </w:hyperlink>
          </w:p>
        </w:tc>
        <w:tc>
          <w:tcPr>
            <w:tcW w:w="4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9"/>
              </w:rPr>
              <w:t>Exhibit 2.1 to the Registrant's Registration Statement on Form S-</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8"/>
              </w:rPr>
            </w:pPr>
            <w:hyperlink r:id="rId121">
              <w:r>
                <w:rPr>
                  <w:rFonts w:ascii="Arial" w:cs="Arial" w:eastAsia="Arial" w:hAnsi="Arial"/>
                  <w:sz w:val="18"/>
                  <w:szCs w:val="18"/>
                  <w:color w:val="0000FF"/>
                  <w:w w:val="98"/>
                </w:rPr>
                <w:t>HSN, Inc., Interval Leisure Group, Inc., Ticketmaster and Tree.com,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1 (No. 333-152700), filed August 1, 2008</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Inc., dated August 20, 2008.</w:t>
              </w:r>
            </w:hyperlink>
          </w:p>
        </w:tc>
        <w:tc>
          <w:tcPr>
            <w:tcW w:w="318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2.2</w:t>
            </w:r>
          </w:p>
        </w:tc>
        <w:tc>
          <w:tcPr>
            <w:tcW w:w="5380" w:type="dxa"/>
            <w:vAlign w:val="bottom"/>
            <w:gridSpan w:val="19"/>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Tax Sharing Agreement among IAC/InterActiveCorp, HSN, Inc.,</w:t>
              </w:r>
            </w:hyperlink>
          </w:p>
        </w:tc>
        <w:tc>
          <w:tcPr>
            <w:tcW w:w="4640" w:type="dxa"/>
            <w:vAlign w:val="bottom"/>
          </w:tcPr>
          <w:p>
            <w:pPr>
              <w:spacing w:after="0" w:line="189" w:lineRule="exact"/>
              <w:rPr>
                <w:sz w:val="20"/>
                <w:szCs w:val="20"/>
                <w:color w:val="auto"/>
              </w:rPr>
            </w:pPr>
            <w:r>
              <w:rPr>
                <w:rFonts w:ascii="Arial" w:cs="Arial" w:eastAsia="Arial" w:hAnsi="Arial"/>
                <w:sz w:val="18"/>
                <w:szCs w:val="18"/>
                <w:color w:val="auto"/>
                <w:w w:val="90"/>
              </w:rPr>
              <w:t>Exhibit 10.2 to the Registrant's Current Report on Form 8-K (No.</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240" w:type="dxa"/>
            <w:vAlign w:val="bottom"/>
            <w:tcBorders>
              <w:top w:val="single" w:sz="8" w:color="0000FF"/>
            </w:tcBorders>
            <w:gridSpan w:val="12"/>
          </w:tcPr>
          <w:p>
            <w:pPr>
              <w:spacing w:after="0" w:line="156"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Interval Leisure Group, Inc., Ticketmaster and Tree.com, Inc.,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line="15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2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August 20, 2008.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2.3</w:t>
            </w:r>
          </w:p>
        </w:tc>
        <w:tc>
          <w:tcPr>
            <w:tcW w:w="5380" w:type="dxa"/>
            <w:vAlign w:val="bottom"/>
            <w:gridSpan w:val="19"/>
            <w:shd w:val="clear" w:color="auto" w:fill="CCEEFF"/>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Employee Matters Agreement among IAC/InterActiveCorp, HSN,</w:t>
              </w:r>
            </w:hyperlink>
          </w:p>
        </w:tc>
        <w:tc>
          <w:tcPr>
            <w:tcW w:w="4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10.3 to the Registrant's Current Report on Form 8-K (No.</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3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Inc., Interval Leisure Group, Inc., Ticketmaster and Tree.com,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dated August 20, 2008.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2.4</w:t>
            </w:r>
          </w:p>
        </w:tc>
        <w:tc>
          <w:tcPr>
            <w:tcW w:w="5380" w:type="dxa"/>
            <w:vAlign w:val="bottom"/>
            <w:gridSpan w:val="19"/>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Transition Services Agreement among IAC/InterActiveCorp, HSN,</w:t>
              </w:r>
            </w:hyperlink>
          </w:p>
        </w:tc>
        <w:tc>
          <w:tcPr>
            <w:tcW w:w="4640" w:type="dxa"/>
            <w:vAlign w:val="bottom"/>
          </w:tcPr>
          <w:p>
            <w:pPr>
              <w:spacing w:after="0" w:line="189" w:lineRule="exact"/>
              <w:rPr>
                <w:sz w:val="20"/>
                <w:szCs w:val="20"/>
                <w:color w:val="auto"/>
              </w:rPr>
            </w:pPr>
            <w:r>
              <w:rPr>
                <w:rFonts w:ascii="Arial" w:cs="Arial" w:eastAsia="Arial" w:hAnsi="Arial"/>
                <w:sz w:val="18"/>
                <w:szCs w:val="18"/>
                <w:color w:val="auto"/>
                <w:w w:val="90"/>
              </w:rPr>
              <w:t>Exhibit 10.4 to the Registrant's Current Report on Form 8-K (No.</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280" w:type="dxa"/>
            <w:vAlign w:val="bottom"/>
            <w:tcBorders>
              <w:top w:val="single" w:sz="8" w:color="0000FF"/>
            </w:tcBorders>
            <w:gridSpan w:val="14"/>
          </w:tcPr>
          <w:p>
            <w:pPr>
              <w:spacing w:after="0" w:line="156"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Inc., Interval Leisure Group, Inc., Ticketmaster and Tree.com, Inc.,</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line="15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1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dated August 20,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2.5</w:t>
            </w:r>
          </w:p>
        </w:tc>
        <w:tc>
          <w:tcPr>
            <w:tcW w:w="5380" w:type="dxa"/>
            <w:vAlign w:val="bottom"/>
            <w:gridSpan w:val="19"/>
            <w:shd w:val="clear" w:color="auto" w:fill="CCEEFF"/>
          </w:tcPr>
          <w:p>
            <w:pPr>
              <w:spacing w:after="0" w:line="189" w:lineRule="exact"/>
              <w:rPr>
                <w:rFonts w:ascii="Arial" w:cs="Arial" w:eastAsia="Arial" w:hAnsi="Arial"/>
                <w:sz w:val="18"/>
                <w:szCs w:val="18"/>
                <w:color w:val="0000FF"/>
              </w:rPr>
            </w:pPr>
            <w:hyperlink r:id="rId125">
              <w:r>
                <w:rPr>
                  <w:rFonts w:ascii="Arial" w:cs="Arial" w:eastAsia="Arial" w:hAnsi="Arial"/>
                  <w:sz w:val="18"/>
                  <w:szCs w:val="18"/>
                  <w:color w:val="0000FF"/>
                </w:rPr>
                <w:t>Spinco   Assignment   and   Assumption   Agreement   among</w:t>
              </w:r>
            </w:hyperlink>
          </w:p>
        </w:tc>
        <w:tc>
          <w:tcPr>
            <w:tcW w:w="4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10.6 to the Registrant's Current Report on Form 8-K (No.</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IAC/InterActiveCorp, Tree.com, Inc., Liberty Media Corporation and</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Liberty USA Holdings, LLC, dated August 20, 2008.</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2.6</w:t>
            </w:r>
          </w:p>
        </w:tc>
        <w:tc>
          <w:tcPr>
            <w:tcW w:w="5380" w:type="dxa"/>
            <w:vAlign w:val="bottom"/>
            <w:tcBorders>
              <w:bottom w:val="single" w:sz="8" w:color="0000FF"/>
            </w:tcBorders>
            <w:gridSpan w:val="19"/>
          </w:tcPr>
          <w:p>
            <w:pPr>
              <w:spacing w:after="0" w:line="189" w:lineRule="exact"/>
              <w:rPr>
                <w:rFonts w:ascii="Arial" w:cs="Arial" w:eastAsia="Arial" w:hAnsi="Arial"/>
                <w:sz w:val="18"/>
                <w:szCs w:val="18"/>
                <w:color w:val="0000FF"/>
              </w:rPr>
            </w:pPr>
            <w:hyperlink r:id="rId126">
              <w:r>
                <w:rPr>
                  <w:rFonts w:ascii="Arial" w:cs="Arial" w:eastAsia="Arial" w:hAnsi="Arial"/>
                  <w:sz w:val="18"/>
                  <w:szCs w:val="18"/>
                  <w:color w:val="0000FF"/>
                </w:rPr>
                <w:t>Asset Purchase Agreement among Home Loan Center, Inc., First</w:t>
              </w:r>
            </w:hyperlink>
          </w:p>
        </w:tc>
        <w:tc>
          <w:tcPr>
            <w:tcW w:w="4640" w:type="dxa"/>
            <w:vAlign w:val="bottom"/>
          </w:tcPr>
          <w:p>
            <w:pPr>
              <w:spacing w:after="0" w:line="189" w:lineRule="exact"/>
              <w:rPr>
                <w:sz w:val="20"/>
                <w:szCs w:val="20"/>
                <w:color w:val="auto"/>
              </w:rPr>
            </w:pPr>
            <w:r>
              <w:rPr>
                <w:rFonts w:ascii="Arial" w:cs="Arial" w:eastAsia="Arial" w:hAnsi="Arial"/>
                <w:sz w:val="18"/>
                <w:szCs w:val="18"/>
                <w:color w:val="auto"/>
                <w:w w:val="90"/>
              </w:rPr>
              <w:t>Exhibit 2.1 to Registrant's Current Report on Form 8-K (No. 001-</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380" w:type="dxa"/>
            <w:vAlign w:val="bottom"/>
            <w:gridSpan w:val="19"/>
          </w:tcPr>
          <w:p>
            <w:pPr>
              <w:spacing w:after="0" w:line="156"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Residential Mortgage Network, Inc. dba SurePoint Lending, and the</w:t>
              </w:r>
            </w:hyperlink>
          </w:p>
        </w:tc>
        <w:tc>
          <w:tcPr>
            <w:tcW w:w="4640" w:type="dxa"/>
            <w:vAlign w:val="bottom"/>
          </w:tcPr>
          <w:p>
            <w:pPr>
              <w:spacing w:after="0" w:line="156" w:lineRule="exact"/>
              <w:rPr>
                <w:sz w:val="20"/>
                <w:szCs w:val="20"/>
                <w:color w:val="auto"/>
              </w:rPr>
            </w:pPr>
            <w:r>
              <w:rPr>
                <w:rFonts w:ascii="Arial" w:cs="Arial" w:eastAsia="Arial" w:hAnsi="Arial"/>
                <w:sz w:val="18"/>
                <w:szCs w:val="18"/>
                <w:color w:val="auto"/>
              </w:rPr>
              <w:t>34063) filed November 16, 2010</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260" w:type="dxa"/>
            <w:vAlign w:val="bottom"/>
            <w:tcBorders>
              <w:top w:val="single" w:sz="8" w:color="0000FF"/>
            </w:tcBorders>
            <w:gridSpan w:val="13"/>
          </w:tcPr>
          <w:p>
            <w:pPr>
              <w:spacing w:after="0" w:line="156" w:lineRule="exact"/>
              <w:rPr>
                <w:rFonts w:ascii="Arial" w:cs="Arial" w:eastAsia="Arial" w:hAnsi="Arial"/>
                <w:sz w:val="18"/>
                <w:szCs w:val="18"/>
                <w:color w:val="0000FF"/>
                <w:w w:val="97"/>
              </w:rPr>
            </w:pPr>
            <w:hyperlink r:id="rId126">
              <w:r>
                <w:rPr>
                  <w:rFonts w:ascii="Arial" w:cs="Arial" w:eastAsia="Arial" w:hAnsi="Arial"/>
                  <w:sz w:val="18"/>
                  <w:szCs w:val="18"/>
                  <w:color w:val="0000FF"/>
                  <w:w w:val="97"/>
                </w:rPr>
                <w:t>shareholders of First Residential Mortgage Network named therein,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1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dated November 15, 2010.</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2.7</w:t>
            </w:r>
          </w:p>
        </w:tc>
        <w:tc>
          <w:tcPr>
            <w:tcW w:w="5380" w:type="dxa"/>
            <w:vAlign w:val="bottom"/>
            <w:gridSpan w:val="19"/>
            <w:shd w:val="clear" w:color="auto" w:fill="CCEEFF"/>
          </w:tcPr>
          <w:p>
            <w:pPr>
              <w:spacing w:after="0" w:line="189" w:lineRule="exact"/>
              <w:rPr>
                <w:rFonts w:ascii="Arial" w:cs="Arial" w:eastAsia="Arial" w:hAnsi="Arial"/>
                <w:sz w:val="18"/>
                <w:szCs w:val="18"/>
                <w:color w:val="0000FF"/>
              </w:rPr>
            </w:pPr>
            <w:hyperlink r:id="rId127">
              <w:r>
                <w:rPr>
                  <w:rFonts w:ascii="Arial" w:cs="Arial" w:eastAsia="Arial" w:hAnsi="Arial"/>
                  <w:sz w:val="18"/>
                  <w:szCs w:val="18"/>
                  <w:color w:val="0000FF"/>
                </w:rPr>
                <w:t>First  Amendment  to  Asset  Purchase  Agreement  among  HLC,</w:t>
              </w:r>
            </w:hyperlink>
          </w:p>
        </w:tc>
        <w:tc>
          <w:tcPr>
            <w:tcW w:w="4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Exhibit 2.1 to the Registrant's Current Report on Form 8-K filed</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536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u w:val="single" w:color="auto"/>
                <w:color w:val="0000FF"/>
                <w:w w:val="97"/>
              </w:rPr>
            </w:pPr>
            <w:hyperlink r:id="rId127">
              <w:r>
                <w:rPr>
                  <w:rFonts w:ascii="Arial" w:cs="Arial" w:eastAsia="Arial" w:hAnsi="Arial"/>
                  <w:sz w:val="18"/>
                  <w:szCs w:val="18"/>
                  <w:u w:val="single" w:color="auto"/>
                  <w:color w:val="0000FF"/>
                  <w:w w:val="97"/>
                </w:rPr>
                <w:t>SurePoint and the shareholders party thereto, dated March 14, 2011.</w:t>
              </w:r>
            </w:hyperlink>
          </w:p>
        </w:tc>
        <w:tc>
          <w:tcPr>
            <w:tcW w:w="2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21, 2011</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2.8</w:t>
            </w:r>
          </w:p>
        </w:tc>
        <w:tc>
          <w:tcPr>
            <w:tcW w:w="5380" w:type="dxa"/>
            <w:vAlign w:val="bottom"/>
            <w:gridSpan w:val="19"/>
          </w:tcPr>
          <w:p>
            <w:pPr>
              <w:spacing w:after="0" w:line="189" w:lineRule="exact"/>
              <w:rPr>
                <w:rFonts w:ascii="Arial" w:cs="Arial" w:eastAsia="Arial" w:hAnsi="Arial"/>
                <w:sz w:val="18"/>
                <w:szCs w:val="18"/>
                <w:color w:val="0000FF"/>
                <w:w w:val="97"/>
              </w:rPr>
            </w:pPr>
            <w:hyperlink r:id="rId128">
              <w:r>
                <w:rPr>
                  <w:rFonts w:ascii="Arial" w:cs="Arial" w:eastAsia="Arial" w:hAnsi="Arial"/>
                  <w:sz w:val="18"/>
                  <w:szCs w:val="18"/>
                  <w:color w:val="0000FF"/>
                  <w:w w:val="97"/>
                </w:rPr>
                <w:t>Second  Amendment  to  Asset  Purchase  Agreement  among  HLC,</w:t>
              </w:r>
            </w:hyperlink>
          </w:p>
        </w:tc>
        <w:tc>
          <w:tcPr>
            <w:tcW w:w="4640" w:type="dxa"/>
            <w:vAlign w:val="bottom"/>
          </w:tcPr>
          <w:p>
            <w:pPr>
              <w:spacing w:after="0" w:line="189" w:lineRule="exact"/>
              <w:rPr>
                <w:sz w:val="20"/>
                <w:szCs w:val="20"/>
                <w:color w:val="auto"/>
              </w:rPr>
            </w:pPr>
            <w:r>
              <w:rPr>
                <w:rFonts w:ascii="Arial" w:cs="Arial" w:eastAsia="Arial" w:hAnsi="Arial"/>
                <w:sz w:val="18"/>
                <w:szCs w:val="18"/>
                <w:color w:val="auto"/>
                <w:w w:val="92"/>
              </w:rPr>
              <w:t>Exhibit 2.2 to the Registrant's Current Report on Form 8-K filed</w:t>
            </w: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5300" w:type="dxa"/>
            <w:vAlign w:val="bottom"/>
            <w:tcBorders>
              <w:top w:val="single" w:sz="8" w:color="0000FF"/>
            </w:tcBorders>
            <w:gridSpan w:val="15"/>
          </w:tcPr>
          <w:p>
            <w:pPr>
              <w:spacing w:after="0"/>
              <w:rPr>
                <w:rFonts w:ascii="Arial" w:cs="Arial" w:eastAsia="Arial" w:hAnsi="Arial"/>
                <w:sz w:val="18"/>
                <w:szCs w:val="18"/>
                <w:u w:val="single" w:color="auto"/>
                <w:color w:val="0000FF"/>
                <w:w w:val="96"/>
              </w:rPr>
            </w:pPr>
            <w:hyperlink r:id="rId128">
              <w:r>
                <w:rPr>
                  <w:rFonts w:ascii="Arial" w:cs="Arial" w:eastAsia="Arial" w:hAnsi="Arial"/>
                  <w:sz w:val="18"/>
                  <w:szCs w:val="18"/>
                  <w:u w:val="single" w:color="auto"/>
                  <w:color w:val="0000FF"/>
                  <w:w w:val="96"/>
                </w:rPr>
                <w:t>SurePoint and the shareholders party thereto, dated March 15, 2011.</w:t>
              </w:r>
            </w:hyperlink>
          </w:p>
        </w:tc>
        <w:tc>
          <w:tcPr>
            <w:tcW w:w="80" w:type="dxa"/>
            <w:vAlign w:val="bottom"/>
            <w:gridSpan w:val="4"/>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March 21, 2011</w:t>
            </w:r>
          </w:p>
        </w:tc>
        <w:tc>
          <w:tcPr>
            <w:tcW w:w="0" w:type="dxa"/>
            <w:vAlign w:val="bottom"/>
          </w:tcPr>
          <w:p>
            <w:pPr>
              <w:spacing w:after="0"/>
              <w:rPr>
                <w:sz w:val="1"/>
                <w:szCs w:val="1"/>
                <w:color w:val="auto"/>
              </w:rPr>
            </w:pPr>
          </w:p>
        </w:tc>
      </w:tr>
      <w:tr>
        <w:trPr>
          <w:trHeight w:val="850"/>
        </w:trPr>
        <w:tc>
          <w:tcPr>
            <w:tcW w:w="1220" w:type="dxa"/>
            <w:vAlign w:val="bottom"/>
          </w:tcPr>
          <w:p>
            <w:pPr>
              <w:spacing w:after="0"/>
              <w:rPr>
                <w:sz w:val="24"/>
                <w:szCs w:val="24"/>
                <w:color w:val="auto"/>
              </w:rPr>
            </w:pPr>
          </w:p>
        </w:tc>
        <w:tc>
          <w:tcPr>
            <w:tcW w:w="5120" w:type="dxa"/>
            <w:vAlign w:val="bottom"/>
            <w:gridSpan w:val="6"/>
          </w:tcPr>
          <w:p>
            <w:pPr>
              <w:ind w:left="42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80" w:type="dxa"/>
            <w:vAlign w:val="bottom"/>
            <w:gridSpan w:val="26"/>
            <w:vMerge w:val="restart"/>
          </w:tcPr>
          <w:p>
            <w:pPr>
              <w:ind w:left="160"/>
              <w:spacing w:after="0"/>
              <w:rPr>
                <w:sz w:val="20"/>
                <w:szCs w:val="20"/>
                <w:color w:val="auto"/>
              </w:rPr>
            </w:pPr>
            <w:r>
              <w:rPr>
                <w:rFonts w:ascii="Arial" w:cs="Arial" w:eastAsia="Arial" w:hAnsi="Arial"/>
                <w:sz w:val="18"/>
                <w:szCs w:val="18"/>
                <w:b w:val="1"/>
                <w:bCs w:val="1"/>
                <w:color w:val="auto"/>
              </w:rPr>
              <w:t>Description</w:t>
            </w:r>
          </w:p>
        </w:tc>
        <w:tc>
          <w:tcPr>
            <w:tcW w:w="448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6"/>
            <w:vMerge w:val="continue"/>
          </w:tcPr>
          <w:p>
            <w:pPr>
              <w:spacing w:after="0"/>
              <w:rPr>
                <w:sz w:val="19"/>
                <w:szCs w:val="19"/>
                <w:color w:val="auto"/>
              </w:rPr>
            </w:pPr>
          </w:p>
        </w:tc>
        <w:tc>
          <w:tcPr>
            <w:tcW w:w="4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2.9</w:t>
            </w:r>
          </w:p>
        </w:tc>
        <w:tc>
          <w:tcPr>
            <w:tcW w:w="5540" w:type="dxa"/>
            <w:vAlign w:val="bottom"/>
            <w:gridSpan w:val="32"/>
            <w:shd w:val="clear" w:color="auto" w:fill="CCEEFF"/>
          </w:tcPr>
          <w:p>
            <w:pPr>
              <w:spacing w:after="0" w:line="182"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Asset Purchase Agreement among Tree.com, Inc., Home Loan Center,</w:t>
              </w:r>
            </w:hyperlink>
          </w:p>
        </w:tc>
        <w:tc>
          <w:tcPr>
            <w:tcW w:w="4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9"/>
              </w:rPr>
              <w:t>Exhibit 2.1 to the Registrant's Current Report on Form 8-K filed</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12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Inc., LendingTree, LLC, HLC Escrow, Inc. and Discover Bank, dated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May 16, 2011</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0000FF"/>
            </w:tcBorders>
            <w:gridSpan w:val="3"/>
            <w:shd w:val="clear" w:color="auto" w:fill="CCEEFF"/>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May 12, 2011**</w:t>
              </w:r>
            </w:hyperlink>
          </w:p>
        </w:tc>
        <w:tc>
          <w:tcPr>
            <w:tcW w:w="4220" w:type="dxa"/>
            <w:vAlign w:val="bottom"/>
            <w:tcBorders>
              <w:bottom w:val="single" w:sz="8" w:color="CCEEFF"/>
            </w:tcBorders>
            <w:gridSpan w:val="2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2.10</w:t>
            </w:r>
          </w:p>
        </w:tc>
        <w:tc>
          <w:tcPr>
            <w:tcW w:w="5540" w:type="dxa"/>
            <w:vAlign w:val="bottom"/>
            <w:gridSpan w:val="32"/>
          </w:tcPr>
          <w:p>
            <w:pPr>
              <w:spacing w:after="0" w:line="189"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Asset Purchase Agreement among LendingTree, LLC, RealEstate.com,</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Inc. and Market Leader, Inc., dated September 15,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September 21, 2011</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2.11</w:t>
            </w:r>
          </w:p>
        </w:tc>
        <w:tc>
          <w:tcPr>
            <w:tcW w:w="5540" w:type="dxa"/>
            <w:vAlign w:val="bottom"/>
            <w:gridSpan w:val="32"/>
            <w:shd w:val="clear" w:color="auto" w:fill="CCEEFF"/>
          </w:tcPr>
          <w:p>
            <w:pPr>
              <w:spacing w:after="0" w:line="189" w:lineRule="exact"/>
              <w:rPr>
                <w:rFonts w:ascii="Arial" w:cs="Arial" w:eastAsia="Arial" w:hAnsi="Arial"/>
                <w:sz w:val="18"/>
                <w:szCs w:val="18"/>
                <w:color w:val="0000FF"/>
                <w:w w:val="97"/>
              </w:rPr>
            </w:pPr>
            <w:hyperlink r:id="rId133">
              <w:r>
                <w:rPr>
                  <w:rFonts w:ascii="Arial" w:cs="Arial" w:eastAsia="Arial" w:hAnsi="Arial"/>
                  <w:sz w:val="18"/>
                  <w:szCs w:val="18"/>
                  <w:color w:val="0000FF"/>
                  <w:w w:val="97"/>
                </w:rPr>
                <w:t>Amendment to Asset Purchase Agreement among Home Loan Center,</w:t>
              </w:r>
            </w:hyperlink>
          </w:p>
        </w:tc>
        <w:tc>
          <w:tcPr>
            <w:tcW w:w="4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95"/>
              </w:rPr>
            </w:pPr>
            <w:hyperlink r:id="rId133">
              <w:r>
                <w:rPr>
                  <w:rFonts w:ascii="Arial" w:cs="Arial" w:eastAsia="Arial" w:hAnsi="Arial"/>
                  <w:sz w:val="18"/>
                  <w:szCs w:val="18"/>
                  <w:color w:val="0000FF"/>
                  <w:w w:val="95"/>
                </w:rPr>
                <w:t>Inc., HLC Escrow, Inc., LendingTree, LLC, Tree.com, Inc., Discover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February 8, 2012</w:t>
            </w: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5200" w:type="dxa"/>
            <w:vAlign w:val="bottom"/>
            <w:gridSpan w:val="15"/>
            <w:shd w:val="clear" w:color="auto" w:fill="CCEEFF"/>
          </w:tcPr>
          <w:p>
            <w:pPr>
              <w:spacing w:after="0" w:line="196" w:lineRule="exact"/>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Bank and Discover Financial Services, dated February 7, 2012**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2.12</w:t>
            </w:r>
          </w:p>
        </w:tc>
        <w:tc>
          <w:tcPr>
            <w:tcW w:w="5540" w:type="dxa"/>
            <w:vAlign w:val="bottom"/>
            <w:gridSpan w:val="32"/>
          </w:tcPr>
          <w:p>
            <w:pPr>
              <w:spacing w:after="0" w:line="189"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Membership Interest Purchase Agreement, dated as of November 16,</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2016, by and among LendingTree, LLC, Iron Horse Holdings, LLC,</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November 22, 2016</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240" w:type="dxa"/>
            <w:vAlign w:val="bottom"/>
            <w:gridSpan w:val="17"/>
          </w:tcPr>
          <w:p>
            <w:pPr>
              <w:spacing w:after="0" w:line="156"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all of the members of Iron Horse Holdings, LLC and Christopher J.</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1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Mettler. **</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2.13</w:t>
            </w:r>
          </w:p>
        </w:tc>
        <w:tc>
          <w:tcPr>
            <w:tcW w:w="5540" w:type="dxa"/>
            <w:vAlign w:val="bottom"/>
            <w:gridSpan w:val="32"/>
            <w:shd w:val="clear" w:color="auto" w:fill="CCEEFF"/>
          </w:tcPr>
          <w:p>
            <w:pPr>
              <w:spacing w:after="0" w:line="189"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Assignment and Assumption Agreement, dated November 2, 2017, by</w:t>
              </w:r>
            </w:hyperlink>
          </w:p>
        </w:tc>
        <w:tc>
          <w:tcPr>
            <w:tcW w:w="4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99.7(D) to the Registrant's Current Report on Form SC</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and  among  General  Communication,  Inc.,  Liberty  Interactive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13D/A filed November 3, 2017</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280" w:type="dxa"/>
            <w:vAlign w:val="bottom"/>
            <w:tcBorders>
              <w:top w:val="single" w:sz="8" w:color="0000FF"/>
              <w:bottom w:val="single" w:sz="8" w:color="0000FF"/>
            </w:tcBorders>
            <w:gridSpan w:val="19"/>
            <w:shd w:val="clear" w:color="auto" w:fill="CCEEFF"/>
          </w:tcPr>
          <w:p>
            <w:pPr>
              <w:spacing w:after="0" w:line="156" w:lineRule="exact"/>
              <w:rPr>
                <w:rFonts w:ascii="Arial" w:cs="Arial" w:eastAsia="Arial" w:hAnsi="Arial"/>
                <w:sz w:val="18"/>
                <w:szCs w:val="18"/>
                <w:color w:val="0000FF"/>
                <w:w w:val="96"/>
              </w:rPr>
            </w:pPr>
            <w:hyperlink r:id="rId135">
              <w:r>
                <w:rPr>
                  <w:rFonts w:ascii="Arial" w:cs="Arial" w:eastAsia="Arial" w:hAnsi="Arial"/>
                  <w:sz w:val="18"/>
                  <w:szCs w:val="18"/>
                  <w:color w:val="0000FF"/>
                  <w:w w:val="96"/>
                </w:rPr>
                <w:t>Corporation, Liberty USA Holdings, LLC, Ventures Holdco, LLC, and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5360" w:type="dxa"/>
            <w:vAlign w:val="bottom"/>
            <w:gridSpan w:val="23"/>
            <w:shd w:val="clear" w:color="auto" w:fill="CCEEFF"/>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LendingTree, Inc.</w:t>
              </w:r>
            </w:hyperlink>
          </w:p>
        </w:tc>
        <w:tc>
          <w:tcPr>
            <w:tcW w:w="6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2.14</w:t>
            </w:r>
          </w:p>
        </w:tc>
        <w:tc>
          <w:tcPr>
            <w:tcW w:w="5540" w:type="dxa"/>
            <w:vAlign w:val="bottom"/>
            <w:gridSpan w:val="32"/>
          </w:tcPr>
          <w:p>
            <w:pPr>
              <w:spacing w:after="0" w:line="189" w:lineRule="exact"/>
              <w:rPr>
                <w:rFonts w:ascii="Arial" w:cs="Arial" w:eastAsia="Arial" w:hAnsi="Arial"/>
                <w:sz w:val="18"/>
                <w:szCs w:val="18"/>
                <w:color w:val="0000FF"/>
                <w:w w:val="99"/>
              </w:rPr>
            </w:pPr>
            <w:hyperlink r:id="rId136">
              <w:r>
                <w:rPr>
                  <w:rFonts w:ascii="Arial" w:cs="Arial" w:eastAsia="Arial" w:hAnsi="Arial"/>
                  <w:sz w:val="18"/>
                  <w:szCs w:val="18"/>
                  <w:color w:val="0000FF"/>
                  <w:w w:val="99"/>
                </w:rPr>
                <w:t>Unit Purchase Agreement dated as of October 4, 2018 by and among</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92"/>
              </w:rPr>
              <w:t>Exhibit 2.1 to the Registrant’s Current Report on Form 8-K/A</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4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LendingTree, LLC, QuoteWizard.com, LLC, all of the members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filed October 12, 2018</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3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QuoteWizard.com, LLC, and Scott Peyree as the Securityholders</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Representative. **</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2.15</w:t>
            </w:r>
          </w:p>
        </w:tc>
        <w:tc>
          <w:tcPr>
            <w:tcW w:w="5540" w:type="dxa"/>
            <w:vAlign w:val="bottom"/>
            <w:gridSpan w:val="32"/>
            <w:shd w:val="clear" w:color="auto" w:fill="CCEEFF"/>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Stock Purchase Agreement dated as of December 20, 2018 by and</w:t>
              </w:r>
            </w:hyperlink>
          </w:p>
        </w:tc>
        <w:tc>
          <w:tcPr>
            <w:tcW w:w="4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2.1 to the Registrant’s Current Report on Form 8-K filed</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22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among LendingTree, LLC, Value Holding Inc., all of the shareholders</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4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December 27, 2018</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5500" w:type="dxa"/>
            <w:vAlign w:val="bottom"/>
            <w:gridSpan w:val="30"/>
            <w:shd w:val="clear" w:color="auto" w:fill="CCEEFF"/>
          </w:tcPr>
          <w:p>
            <w:pPr>
              <w:spacing w:after="0" w:line="156" w:lineRule="exact"/>
              <w:rPr>
                <w:rFonts w:ascii="Arial" w:cs="Arial" w:eastAsia="Arial" w:hAnsi="Arial"/>
                <w:sz w:val="18"/>
                <w:szCs w:val="18"/>
                <w:color w:val="0000FF"/>
                <w:w w:val="96"/>
              </w:rPr>
            </w:pPr>
            <w:hyperlink r:id="rId137">
              <w:r>
                <w:rPr>
                  <w:rFonts w:ascii="Arial" w:cs="Arial" w:eastAsia="Arial" w:hAnsi="Arial"/>
                  <w:sz w:val="18"/>
                  <w:szCs w:val="18"/>
                  <w:color w:val="0000FF"/>
                  <w:w w:val="96"/>
                </w:rPr>
                <w:t>of Value Holding Inc., and Jonathan Wu as the Sellers’ Representative.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w:t>
              </w:r>
            </w:hyperlink>
          </w:p>
        </w:tc>
        <w:tc>
          <w:tcPr>
            <w:tcW w:w="600" w:type="dxa"/>
            <w:vAlign w:val="bottom"/>
            <w:tcBorders>
              <w:top w:val="single" w:sz="8" w:color="0000FF"/>
              <w:bottom w:val="single" w:sz="8" w:color="CCEEFF"/>
            </w:tcBorders>
            <w:shd w:val="clear" w:color="auto" w:fill="CCEEFF"/>
          </w:tcPr>
          <w:p>
            <w:pPr>
              <w:spacing w:after="0"/>
              <w:rPr>
                <w:sz w:val="15"/>
                <w:szCs w:val="15"/>
                <w:color w:val="auto"/>
              </w:rPr>
            </w:pPr>
          </w:p>
        </w:tc>
        <w:tc>
          <w:tcPr>
            <w:tcW w:w="4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920" w:type="dxa"/>
            <w:vAlign w:val="bottom"/>
            <w:tcBorders>
              <w:top w:val="single" w:sz="8" w:color="0000FF"/>
              <w:bottom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CCEEFF"/>
            </w:tcBorders>
            <w:shd w:val="clear" w:color="auto" w:fill="CCEEFF"/>
          </w:tcPr>
          <w:p>
            <w:pPr>
              <w:spacing w:after="0"/>
              <w:rPr>
                <w:sz w:val="15"/>
                <w:szCs w:val="15"/>
                <w:color w:val="auto"/>
              </w:rPr>
            </w:pPr>
          </w:p>
        </w:tc>
        <w:tc>
          <w:tcPr>
            <w:tcW w:w="9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CCEEFF"/>
            </w:tcBorders>
          </w:tcPr>
          <w:p>
            <w:pPr>
              <w:jc w:val="right"/>
              <w:ind w:right="110"/>
              <w:spacing w:after="0" w:line="189" w:lineRule="exact"/>
              <w:rPr>
                <w:sz w:val="20"/>
                <w:szCs w:val="20"/>
                <w:color w:val="auto"/>
              </w:rPr>
            </w:pPr>
            <w:r>
              <w:rPr>
                <w:rFonts w:ascii="Arial" w:cs="Arial" w:eastAsia="Arial" w:hAnsi="Arial"/>
                <w:sz w:val="18"/>
                <w:szCs w:val="18"/>
                <w:color w:val="auto"/>
              </w:rPr>
              <w:t>3.1</w:t>
            </w:r>
          </w:p>
        </w:tc>
        <w:tc>
          <w:tcPr>
            <w:tcW w:w="5540" w:type="dxa"/>
            <w:vAlign w:val="bottom"/>
            <w:tcBorders>
              <w:top w:val="single" w:sz="8" w:color="CCEEFF"/>
            </w:tcBorders>
            <w:gridSpan w:val="32"/>
          </w:tcPr>
          <w:p>
            <w:pPr>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Amended   and   Restated   Certificate   of   Incorporation   of</w:t>
              </w:r>
            </w:hyperlink>
          </w:p>
        </w:tc>
        <w:tc>
          <w:tcPr>
            <w:tcW w:w="448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w w:val="88"/>
              </w:rPr>
              <w:t>Exhibit 3.1 to the Registrant's Current Report on Form 8-K (No.</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3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LendingTree, Inc.</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3.2</w:t>
            </w:r>
          </w:p>
        </w:tc>
        <w:tc>
          <w:tcPr>
            <w:tcW w:w="5540" w:type="dxa"/>
            <w:vAlign w:val="bottom"/>
            <w:gridSpan w:val="32"/>
            <w:shd w:val="clear" w:color="auto" w:fill="CCEEFF"/>
          </w:tcPr>
          <w:p>
            <w:pPr>
              <w:spacing w:after="0" w:line="176" w:lineRule="exact"/>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Fourth Amended and Restated By-laws of LendingTree, Inc.</w:t>
              </w:r>
            </w:hyperlink>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Exhibit 3.1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2017</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4.1</w:t>
            </w:r>
          </w:p>
        </w:tc>
        <w:tc>
          <w:tcPr>
            <w:tcW w:w="5540" w:type="dxa"/>
            <w:vAlign w:val="bottom"/>
            <w:gridSpan w:val="32"/>
          </w:tcPr>
          <w:p>
            <w:pPr>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Amended and Restated Restricted Share Grant and Shareholders'</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90"/>
              </w:rPr>
              <w:t>Exhibit  10.8  to  the  Registrant's  Registration  Statement  on</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4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Agreement,  among  Forest  Merger  Corp.,  LendingTree,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Form S-1 (No. 333-152700), filed August 1, 2008</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260" w:type="dxa"/>
            <w:vAlign w:val="bottom"/>
            <w:tcBorders>
              <w:top w:val="single" w:sz="8" w:color="0000FF"/>
            </w:tcBorders>
            <w:gridSpan w:val="18"/>
          </w:tcPr>
          <w:p>
            <w:pPr>
              <w:spacing w:after="0" w:line="196" w:lineRule="exact"/>
              <w:rPr>
                <w:rFonts w:ascii="Arial" w:cs="Arial" w:eastAsia="Arial" w:hAnsi="Arial"/>
                <w:sz w:val="18"/>
                <w:szCs w:val="18"/>
                <w:u w:val="single" w:color="auto"/>
                <w:color w:val="0000FF"/>
                <w:w w:val="94"/>
              </w:rPr>
            </w:pPr>
            <w:hyperlink r:id="rId140">
              <w:r>
                <w:rPr>
                  <w:rFonts w:ascii="Arial" w:cs="Arial" w:eastAsia="Arial" w:hAnsi="Arial"/>
                  <w:sz w:val="18"/>
                  <w:szCs w:val="18"/>
                  <w:u w:val="single" w:color="auto"/>
                  <w:color w:val="0000FF"/>
                  <w:w w:val="94"/>
                </w:rPr>
                <w:t>InterActiveCorp and the Grantees named therein, dated July 7, 2003*</w:t>
              </w:r>
            </w:hyperlink>
          </w:p>
        </w:tc>
        <w:tc>
          <w:tcPr>
            <w:tcW w:w="40" w:type="dxa"/>
            <w:vAlign w:val="bottom"/>
            <w:gridSpan w:val="2"/>
          </w:tcPr>
          <w:p>
            <w:pPr>
              <w:spacing w:after="0"/>
              <w:rPr>
                <w:sz w:val="17"/>
                <w:szCs w:val="17"/>
                <w:color w:val="auto"/>
              </w:rPr>
            </w:pPr>
          </w:p>
        </w:tc>
        <w:tc>
          <w:tcPr>
            <w:tcW w:w="160" w:type="dxa"/>
            <w:vAlign w:val="bottom"/>
            <w:gridSpan w:val="8"/>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4.2</w:t>
            </w:r>
          </w:p>
        </w:tc>
        <w:tc>
          <w:tcPr>
            <w:tcW w:w="5540" w:type="dxa"/>
            <w:vAlign w:val="bottom"/>
            <w:gridSpan w:val="32"/>
            <w:shd w:val="clear" w:color="auto" w:fill="CCEEFF"/>
          </w:tcPr>
          <w:p>
            <w:pPr>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Registration Rights Agreement among Tree.com, Inc., Liberty Media</w:t>
              </w:r>
            </w:hyperlink>
          </w:p>
        </w:tc>
        <w:tc>
          <w:tcPr>
            <w:tcW w:w="4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7"/>
              </w:rPr>
              <w:t>Exhibit 10.5 to the Registrant's Current Report on Form 8-K (No.</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0000FF"/>
            </w:tcBorders>
            <w:gridSpan w:val="31"/>
            <w:shd w:val="clear" w:color="auto" w:fill="CCEEFF"/>
          </w:tcPr>
          <w:p>
            <w:pPr>
              <w:spacing w:after="0" w:line="196" w:lineRule="exact"/>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Corporation and Liberty USA Holdings, LLC, dated August 20, 2008.</w:t>
              </w:r>
            </w:hyperlink>
          </w:p>
        </w:tc>
        <w:tc>
          <w:tcPr>
            <w:tcW w:w="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001-34063) filed August 25, 2008</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4.3</w:t>
            </w:r>
          </w:p>
        </w:tc>
        <w:tc>
          <w:tcPr>
            <w:tcW w:w="5540" w:type="dxa"/>
            <w:vAlign w:val="bottom"/>
            <w:gridSpan w:val="32"/>
          </w:tcPr>
          <w:p>
            <w:pPr>
              <w:spacing w:after="0" w:line="176" w:lineRule="exact"/>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Indenture for .0625% Convertible Senior Notes due 2022</w:t>
              </w:r>
            </w:hyperlink>
          </w:p>
        </w:tc>
        <w:tc>
          <w:tcPr>
            <w:tcW w:w="4480" w:type="dxa"/>
            <w:vAlign w:val="bottom"/>
          </w:tcPr>
          <w:p>
            <w:pPr>
              <w:spacing w:after="0" w:line="176" w:lineRule="exact"/>
              <w:rPr>
                <w:sz w:val="20"/>
                <w:szCs w:val="20"/>
                <w:color w:val="auto"/>
              </w:rPr>
            </w:pPr>
            <w:r>
              <w:rPr>
                <w:rFonts w:ascii="Arial" w:cs="Arial" w:eastAsia="Arial" w:hAnsi="Arial"/>
                <w:sz w:val="18"/>
                <w:szCs w:val="18"/>
                <w:color w:val="auto"/>
                <w:w w:val="89"/>
              </w:rPr>
              <w:t>Exhibit 4.1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67"/>
        </w:trPr>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4.4</w:t>
            </w:r>
          </w:p>
        </w:tc>
        <w:tc>
          <w:tcPr>
            <w:tcW w:w="5540" w:type="dxa"/>
            <w:vAlign w:val="bottom"/>
            <w:gridSpan w:val="32"/>
            <w:shd w:val="clear" w:color="auto" w:fill="CCEEFF"/>
          </w:tcPr>
          <w:p>
            <w:pPr>
              <w:spacing w:after="0" w:line="176" w:lineRule="exact"/>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Purchase Agreement for .0625% Convertible Senior Notes due 2022</w:t>
              </w:r>
            </w:hyperlink>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7"/>
              </w:rPr>
              <w:t>Exhibit 99.1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4.5</w:t>
            </w:r>
          </w:p>
        </w:tc>
        <w:tc>
          <w:tcPr>
            <w:tcW w:w="5540" w:type="dxa"/>
            <w:vAlign w:val="bottom"/>
            <w:gridSpan w:val="32"/>
          </w:tcPr>
          <w:p>
            <w:pPr>
              <w:spacing w:after="0" w:line="176" w:lineRule="exact"/>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Base Issuer Warrant Transaction</w:t>
              </w:r>
            </w:hyperlink>
          </w:p>
        </w:tc>
        <w:tc>
          <w:tcPr>
            <w:tcW w:w="4480" w:type="dxa"/>
            <w:vAlign w:val="bottom"/>
          </w:tcPr>
          <w:p>
            <w:pPr>
              <w:spacing w:after="0" w:line="176" w:lineRule="exact"/>
              <w:rPr>
                <w:sz w:val="20"/>
                <w:szCs w:val="20"/>
                <w:color w:val="auto"/>
              </w:rPr>
            </w:pPr>
            <w:r>
              <w:rPr>
                <w:rFonts w:ascii="Arial" w:cs="Arial" w:eastAsia="Arial" w:hAnsi="Arial"/>
                <w:sz w:val="18"/>
                <w:szCs w:val="18"/>
                <w:color w:val="auto"/>
                <w:w w:val="87"/>
              </w:rPr>
              <w:t>Exhibit 99.4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4.6</w:t>
            </w:r>
          </w:p>
        </w:tc>
        <w:tc>
          <w:tcPr>
            <w:tcW w:w="5540" w:type="dxa"/>
            <w:vAlign w:val="bottom"/>
            <w:gridSpan w:val="32"/>
            <w:shd w:val="clear" w:color="auto" w:fill="CCEEFF"/>
          </w:tcPr>
          <w:p>
            <w:pPr>
              <w:spacing w:after="0" w:line="176" w:lineRule="exact"/>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Additional Issuer Warrant Transaction</w:t>
              </w:r>
            </w:hyperlink>
          </w:p>
        </w:tc>
        <w:tc>
          <w:tcPr>
            <w:tcW w:w="4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7"/>
              </w:rPr>
              <w:t>Exhibit 99.5 to the Registrant's Current Report on Form 8-K filed</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4.7</w:t>
            </w:r>
          </w:p>
        </w:tc>
        <w:tc>
          <w:tcPr>
            <w:tcW w:w="5540" w:type="dxa"/>
            <w:vAlign w:val="bottom"/>
            <w:gridSpan w:val="32"/>
          </w:tcPr>
          <w:p>
            <w:pPr>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Description  of  the  Registrant's  Securities  Registered  Pursuant  to</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88"/>
              </w:rPr>
              <w:t>Exhibit 4.7 to the Registrant's Annual Report on Form 10-K filed</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3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Section 12 of the Securities Exchange Act of 1934</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4480" w:type="dxa"/>
            <w:vAlign w:val="bottom"/>
          </w:tcPr>
          <w:p>
            <w:pPr>
              <w:spacing w:after="0" w:line="156" w:lineRule="exact"/>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Borders>
              <w:bottom w:val="single" w:sz="8" w:color="CCEEFF"/>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4.8</w:t>
            </w:r>
          </w:p>
        </w:tc>
        <w:tc>
          <w:tcPr>
            <w:tcW w:w="5540" w:type="dxa"/>
            <w:vAlign w:val="bottom"/>
            <w:tcBorders>
              <w:bottom w:val="single" w:sz="8" w:color="0000FF"/>
            </w:tcBorders>
            <w:gridSpan w:val="32"/>
            <w:shd w:val="clear" w:color="auto" w:fill="CCEEFF"/>
          </w:tcPr>
          <w:p>
            <w:pPr>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Indenture, dated as of July 24, 2020, between LendingTree, Inc. and</w:t>
              </w:r>
            </w:hyperlink>
          </w:p>
        </w:tc>
        <w:tc>
          <w:tcPr>
            <w:tcW w:w="44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Exhibit 4.1 to the Registrant’s Current Report on Form 8-K filed</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FF"/>
            </w:tcBorders>
            <w:gridSpan w:val="7"/>
            <w:shd w:val="clear" w:color="auto" w:fill="CCEEFF"/>
          </w:tcPr>
          <w:p>
            <w:pPr>
              <w:spacing w:after="0" w:line="156"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Wilmington Trust, National Association</w:t>
              </w:r>
            </w:hyperlink>
          </w:p>
        </w:tc>
        <w:tc>
          <w:tcPr>
            <w:tcW w:w="2660" w:type="dxa"/>
            <w:vAlign w:val="bottom"/>
            <w:tcBorders>
              <w:bottom w:val="single" w:sz="8" w:color="CCEEFF"/>
            </w:tcBorders>
            <w:gridSpan w:val="25"/>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on July 24, 2020</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10.1</w:t>
            </w:r>
          </w:p>
        </w:tc>
        <w:tc>
          <w:tcPr>
            <w:tcW w:w="5540" w:type="dxa"/>
            <w:vAlign w:val="bottom"/>
            <w:tcBorders>
              <w:bottom w:val="single" w:sz="8" w:color="0000FF"/>
            </w:tcBorders>
            <w:gridSpan w:val="32"/>
          </w:tcPr>
          <w:p>
            <w:pPr>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Employment Agreement between Douglas Lebda and the Company,</w:t>
              </w:r>
            </w:hyperlink>
          </w:p>
        </w:tc>
        <w:tc>
          <w:tcPr>
            <w:tcW w:w="4480" w:type="dxa"/>
            <w:vAlign w:val="bottom"/>
          </w:tcPr>
          <w:p>
            <w:pPr>
              <w:spacing w:after="0" w:line="189" w:lineRule="exact"/>
              <w:rPr>
                <w:sz w:val="20"/>
                <w:szCs w:val="20"/>
                <w:color w:val="auto"/>
              </w:rPr>
            </w:pPr>
            <w:r>
              <w:rPr>
                <w:rFonts w:ascii="Arial" w:cs="Arial" w:eastAsia="Arial" w:hAnsi="Arial"/>
                <w:sz w:val="18"/>
                <w:szCs w:val="18"/>
                <w:color w:val="auto"/>
                <w:w w:val="89"/>
              </w:rPr>
              <w:t>Exhibit 10.3 to the Registrant's Quarterly Report on Form 10-Q</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540" w:type="dxa"/>
            <w:vAlign w:val="bottom"/>
            <w:gridSpan w:val="32"/>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dated September 20, 2017*</w:t>
              </w:r>
            </w:hyperlink>
          </w:p>
        </w:tc>
        <w:tc>
          <w:tcPr>
            <w:tcW w:w="4480" w:type="dxa"/>
            <w:vAlign w:val="bottom"/>
          </w:tcPr>
          <w:p>
            <w:pPr>
              <w:spacing w:after="0" w:line="156" w:lineRule="exact"/>
              <w:rPr>
                <w:sz w:val="20"/>
                <w:szCs w:val="20"/>
                <w:color w:val="auto"/>
              </w:rPr>
            </w:pPr>
            <w:r>
              <w:rPr>
                <w:rFonts w:ascii="Arial" w:cs="Arial" w:eastAsia="Arial" w:hAnsi="Arial"/>
                <w:sz w:val="18"/>
                <w:szCs w:val="18"/>
                <w:color w:val="auto"/>
              </w:rPr>
              <w:t>filed October 26, 2017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10.2</w:t>
            </w:r>
          </w:p>
        </w:tc>
        <w:tc>
          <w:tcPr>
            <w:tcW w:w="5540" w:type="dxa"/>
            <w:vAlign w:val="bottom"/>
            <w:gridSpan w:val="32"/>
            <w:shd w:val="clear" w:color="auto" w:fill="CCEEFF"/>
          </w:tcPr>
          <w:p>
            <w:pPr>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Employment Agreement between Douglas Lebda, the Company and</w:t>
              </w:r>
            </w:hyperlink>
          </w:p>
        </w:tc>
        <w:tc>
          <w:tcPr>
            <w:tcW w:w="4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40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LendingTree, LLC, dated November 30, 2020*</w:t>
              </w:r>
            </w:hyperlink>
          </w:p>
        </w:tc>
        <w:tc>
          <w:tcPr>
            <w:tcW w:w="206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4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78"/>
        </w:trPr>
        <w:tc>
          <w:tcPr>
            <w:tcW w:w="1220" w:type="dxa"/>
            <w:vAlign w:val="bottom"/>
          </w:tcPr>
          <w:p>
            <w:pPr>
              <w:spacing w:after="0"/>
              <w:rPr>
                <w:sz w:val="24"/>
                <w:szCs w:val="24"/>
                <w:color w:val="auto"/>
              </w:rPr>
            </w:pPr>
          </w:p>
        </w:tc>
        <w:tc>
          <w:tcPr>
            <w:tcW w:w="5120" w:type="dxa"/>
            <w:vAlign w:val="bottom"/>
            <w:gridSpan w:val="11"/>
          </w:tcPr>
          <w:p>
            <w:pPr>
              <w:ind w:left="426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gridSpan w:val="12"/>
            <w:vMerge w:val="restart"/>
          </w:tcPr>
          <w:p>
            <w:pPr>
              <w:ind w:left="120"/>
              <w:spacing w:after="0"/>
              <w:rPr>
                <w:sz w:val="20"/>
                <w:szCs w:val="20"/>
                <w:color w:val="auto"/>
              </w:rPr>
            </w:pPr>
            <w:r>
              <w:rPr>
                <w:rFonts w:ascii="Arial" w:cs="Arial" w:eastAsia="Arial" w:hAnsi="Arial"/>
                <w:sz w:val="18"/>
                <w:szCs w:val="18"/>
                <w:b w:val="1"/>
                <w:bCs w:val="1"/>
                <w:color w:val="auto"/>
              </w:rPr>
              <w:t>Description</w:t>
            </w:r>
          </w:p>
        </w:tc>
        <w:tc>
          <w:tcPr>
            <w:tcW w:w="47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2"/>
            <w:vMerge w:val="continue"/>
          </w:tcPr>
          <w:p>
            <w:pPr>
              <w:spacing w:after="0"/>
              <w:rPr>
                <w:sz w:val="19"/>
                <w:szCs w:val="19"/>
                <w:color w:val="auto"/>
              </w:rPr>
            </w:pPr>
          </w:p>
        </w:tc>
        <w:tc>
          <w:tcPr>
            <w:tcW w:w="4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2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10.3</w:t>
            </w:r>
          </w:p>
        </w:tc>
        <w:tc>
          <w:tcPr>
            <w:tcW w:w="5260" w:type="dxa"/>
            <w:vAlign w:val="bottom"/>
            <w:gridSpan w:val="18"/>
          </w:tcPr>
          <w:p>
            <w:pPr>
              <w:spacing w:after="0" w:line="182" w:lineRule="exact"/>
              <w:rPr>
                <w:rFonts w:ascii="Arial" w:cs="Arial" w:eastAsia="Arial" w:hAnsi="Arial"/>
                <w:sz w:val="18"/>
                <w:szCs w:val="18"/>
                <w:color w:val="0000FF"/>
                <w:w w:val="95"/>
              </w:rPr>
            </w:pPr>
            <w:hyperlink r:id="rId151">
              <w:r>
                <w:rPr>
                  <w:rFonts w:ascii="Arial" w:cs="Arial" w:eastAsia="Arial" w:hAnsi="Arial"/>
                  <w:sz w:val="18"/>
                  <w:szCs w:val="18"/>
                  <w:color w:val="0000FF"/>
                  <w:w w:val="95"/>
                </w:rPr>
                <w:t>Letter Agreement between Tree.com, Inc. and Carla Shumate, dated</w:t>
              </w:r>
            </w:hyperlink>
          </w:p>
        </w:tc>
        <w:tc>
          <w:tcPr>
            <w:tcW w:w="4760" w:type="dxa"/>
            <w:vAlign w:val="bottom"/>
          </w:tcPr>
          <w:p>
            <w:pPr>
              <w:spacing w:after="0" w:line="182" w:lineRule="exact"/>
              <w:rPr>
                <w:sz w:val="20"/>
                <w:szCs w:val="20"/>
                <w:color w:val="auto"/>
              </w:rPr>
            </w:pPr>
            <w:r>
              <w:rPr>
                <w:rFonts w:ascii="Arial" w:cs="Arial" w:eastAsia="Arial" w:hAnsi="Arial"/>
                <w:sz w:val="18"/>
                <w:szCs w:val="18"/>
                <w:color w:val="auto"/>
                <w:w w:val="99"/>
              </w:rPr>
              <w:t>Exhibit 10.1 to the Registrant's Annual Report on Form 10-K</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December 11,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line="156" w:lineRule="exact"/>
              <w:rPr>
                <w:sz w:val="20"/>
                <w:szCs w:val="20"/>
                <w:color w:val="auto"/>
              </w:rPr>
            </w:pPr>
            <w:r>
              <w:rPr>
                <w:rFonts w:ascii="Arial" w:cs="Arial" w:eastAsia="Arial" w:hAnsi="Arial"/>
                <w:sz w:val="18"/>
                <w:szCs w:val="18"/>
                <w:color w:val="auto"/>
              </w:rPr>
              <w:t>filed April 1, 2013</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10.4</w:t>
            </w:r>
          </w:p>
        </w:tc>
        <w:tc>
          <w:tcPr>
            <w:tcW w:w="5260" w:type="dxa"/>
            <w:vAlign w:val="bottom"/>
            <w:gridSpan w:val="18"/>
            <w:shd w:val="clear" w:color="auto" w:fill="CCEEFF"/>
          </w:tcPr>
          <w:p>
            <w:pPr>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Letter Agreement between LendingTree, Inc. and Carla Shumate,</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Exhibit 10.1 to the Registrant's Quarterly Report on Form 10-Q</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dated March 11, 2015*</w:t>
              </w:r>
            </w:hyperlink>
          </w:p>
        </w:tc>
        <w:tc>
          <w:tcPr>
            <w:tcW w:w="352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76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April 30, 2015</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10.5</w:t>
            </w:r>
          </w:p>
        </w:tc>
        <w:tc>
          <w:tcPr>
            <w:tcW w:w="5260" w:type="dxa"/>
            <w:vAlign w:val="bottom"/>
            <w:gridSpan w:val="18"/>
          </w:tcPr>
          <w:p>
            <w:pPr>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Letter Agreement between LendingTree, Inc. and Carla Shumate,</w:t>
              </w:r>
            </w:hyperlink>
          </w:p>
        </w:tc>
        <w:tc>
          <w:tcPr>
            <w:tcW w:w="4760" w:type="dxa"/>
            <w:vAlign w:val="bottom"/>
          </w:tcPr>
          <w:p>
            <w:pPr>
              <w:spacing w:after="0" w:line="189" w:lineRule="exact"/>
              <w:rPr>
                <w:sz w:val="20"/>
                <w:szCs w:val="20"/>
                <w:color w:val="auto"/>
              </w:rPr>
            </w:pPr>
            <w:r>
              <w:rPr>
                <w:rFonts w:ascii="Arial" w:cs="Arial" w:eastAsia="Arial" w:hAnsi="Arial"/>
                <w:sz w:val="18"/>
                <w:szCs w:val="18"/>
                <w:color w:val="auto"/>
                <w:w w:val="99"/>
              </w:rPr>
              <w:t>Exhibit 10.6 to the Registrant's Annual Report on Form 10-K</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dated December 31,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line="156" w:lineRule="exact"/>
              <w:rPr>
                <w:sz w:val="20"/>
                <w:szCs w:val="20"/>
                <w:color w:val="auto"/>
              </w:rPr>
            </w:pPr>
            <w:r>
              <w:rPr>
                <w:rFonts w:ascii="Arial" w:cs="Arial" w:eastAsia="Arial" w:hAnsi="Arial"/>
                <w:sz w:val="18"/>
                <w:szCs w:val="18"/>
                <w:color w:val="auto"/>
              </w:rPr>
              <w:t>filed March 1, 2016</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10.6</w:t>
            </w:r>
          </w:p>
        </w:tc>
        <w:tc>
          <w:tcPr>
            <w:tcW w:w="5260" w:type="dxa"/>
            <w:vAlign w:val="bottom"/>
            <w:gridSpan w:val="18"/>
            <w:shd w:val="clear" w:color="auto" w:fill="CCEEFF"/>
          </w:tcPr>
          <w:p>
            <w:pPr>
              <w:spacing w:after="0" w:line="176" w:lineRule="exact"/>
              <w:rPr>
                <w:rFonts w:ascii="Arial" w:cs="Arial" w:eastAsia="Arial" w:hAnsi="Arial"/>
                <w:sz w:val="18"/>
                <w:szCs w:val="18"/>
                <w:u w:val="single" w:color="auto"/>
                <w:color w:val="0000FF"/>
                <w:w w:val="96"/>
              </w:rPr>
            </w:pPr>
            <w:hyperlink r:id="rId154">
              <w:r>
                <w:rPr>
                  <w:rFonts w:ascii="Arial" w:cs="Arial" w:eastAsia="Arial" w:hAnsi="Arial"/>
                  <w:sz w:val="18"/>
                  <w:szCs w:val="18"/>
                  <w:u w:val="single" w:color="auto"/>
                  <w:color w:val="0000FF"/>
                  <w:w w:val="96"/>
                </w:rPr>
                <w:t>Fifth Amended and Restated 2008 Stock and Annual Incentive Plan*</w:t>
              </w:r>
            </w:hyperlink>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Exhibit 4.3(A) to the Registrant's Registration Statement on</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10.7</w:t>
            </w:r>
          </w:p>
        </w:tc>
        <w:tc>
          <w:tcPr>
            <w:tcW w:w="5260" w:type="dxa"/>
            <w:vAlign w:val="bottom"/>
            <w:tcBorders>
              <w:bottom w:val="single" w:sz="8" w:color="0000FF"/>
            </w:tcBorders>
            <w:gridSpan w:val="18"/>
          </w:tcPr>
          <w:p>
            <w:pPr>
              <w:spacing w:after="0" w:line="189" w:lineRule="exact"/>
              <w:rPr>
                <w:rFonts w:ascii="Arial" w:cs="Arial" w:eastAsia="Arial" w:hAnsi="Arial"/>
                <w:sz w:val="18"/>
                <w:szCs w:val="18"/>
                <w:color w:val="0000FF"/>
                <w:w w:val="95"/>
              </w:rPr>
            </w:pPr>
            <w:hyperlink r:id="rId155">
              <w:r>
                <w:rPr>
                  <w:rFonts w:ascii="Arial" w:cs="Arial" w:eastAsia="Arial" w:hAnsi="Arial"/>
                  <w:sz w:val="18"/>
                  <w:szCs w:val="18"/>
                  <w:color w:val="0000FF"/>
                  <w:w w:val="95"/>
                </w:rPr>
                <w:t>Form of Notice of Stock Option Award Granted Under the 2008 Stock</w:t>
              </w:r>
            </w:hyperlink>
          </w:p>
        </w:tc>
        <w:tc>
          <w:tcPr>
            <w:tcW w:w="4760" w:type="dxa"/>
            <w:vAlign w:val="bottom"/>
          </w:tcPr>
          <w:p>
            <w:pPr>
              <w:spacing w:after="0" w:line="189" w:lineRule="exact"/>
              <w:rPr>
                <w:sz w:val="20"/>
                <w:szCs w:val="20"/>
                <w:color w:val="auto"/>
              </w:rPr>
            </w:pPr>
            <w:r>
              <w:rPr>
                <w:rFonts w:ascii="Arial" w:cs="Arial" w:eastAsia="Arial" w:hAnsi="Arial"/>
                <w:sz w:val="18"/>
                <w:szCs w:val="18"/>
                <w:color w:val="auto"/>
                <w:w w:val="92"/>
              </w:rPr>
              <w:t>Exhibit 10.6 to the Registrant's Current Report on Form 8-K (No.</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260" w:type="dxa"/>
            <w:vAlign w:val="bottom"/>
            <w:gridSpan w:val="18"/>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and Annual Incentive Plan*</w:t>
              </w:r>
            </w:hyperlink>
          </w:p>
        </w:tc>
        <w:tc>
          <w:tcPr>
            <w:tcW w:w="4760" w:type="dxa"/>
            <w:vAlign w:val="bottom"/>
          </w:tcPr>
          <w:p>
            <w:pPr>
              <w:spacing w:after="0" w:line="156" w:lineRule="exact"/>
              <w:rPr>
                <w:sz w:val="20"/>
                <w:szCs w:val="20"/>
                <w:color w:val="auto"/>
              </w:rPr>
            </w:pPr>
            <w:r>
              <w:rPr>
                <w:rFonts w:ascii="Arial" w:cs="Arial" w:eastAsia="Arial" w:hAnsi="Arial"/>
                <w:sz w:val="18"/>
                <w:szCs w:val="18"/>
                <w:color w:val="auto"/>
              </w:rPr>
              <w:t>001-34063) filed March 27, 2009</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10.8</w:t>
            </w:r>
          </w:p>
        </w:tc>
        <w:tc>
          <w:tcPr>
            <w:tcW w:w="5260" w:type="dxa"/>
            <w:vAlign w:val="bottom"/>
            <w:gridSpan w:val="18"/>
            <w:shd w:val="clear" w:color="auto" w:fill="CCEEFF"/>
          </w:tcPr>
          <w:p>
            <w:pPr>
              <w:spacing w:after="0" w:line="176" w:lineRule="exact"/>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Form of Notice of Restricted Stock Unit Award*</w:t>
              </w:r>
            </w:hyperlink>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Exhibit 10.3 to the Registrant's Quarterly Report on Form 10-Q</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filed May 7, 2014</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10.9</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Form of Notice of Restricted Stock Award*</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w w:val="95"/>
              </w:rPr>
              <w:t>Exhibit 10.4 to the Registrant's Quarterly Report on Form 10-Q</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filed May 7, 2014</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CCEEFF"/>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10.10</w:t>
            </w:r>
          </w:p>
        </w:tc>
        <w:tc>
          <w:tcPr>
            <w:tcW w:w="5260" w:type="dxa"/>
            <w:vAlign w:val="bottom"/>
            <w:tcBorders>
              <w:bottom w:val="single" w:sz="8" w:color="0000FF"/>
            </w:tcBorders>
            <w:gridSpan w:val="18"/>
            <w:shd w:val="clear" w:color="auto" w:fill="CCEEFF"/>
          </w:tcPr>
          <w:p>
            <w:pPr>
              <w:spacing w:after="0" w:line="189"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Form of Notice of Stock Option Award Granted Under the 2008 Stock</w:t>
              </w:r>
            </w:hyperlink>
          </w:p>
        </w:tc>
        <w:tc>
          <w:tcPr>
            <w:tcW w:w="47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Exhibit 10.5 to the Registrant's Quarterly Report on Form 10-Q</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0000FF"/>
            </w:tcBorders>
            <w:gridSpan w:val="6"/>
            <w:shd w:val="clear" w:color="auto" w:fill="CCEEFF"/>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and Annual Incentive Plan*</w:t>
              </w:r>
            </w:hyperlink>
          </w:p>
        </w:tc>
        <w:tc>
          <w:tcPr>
            <w:tcW w:w="3260" w:type="dxa"/>
            <w:vAlign w:val="bottom"/>
            <w:tcBorders>
              <w:bottom w:val="single" w:sz="8" w:color="CCEEFF"/>
            </w:tcBorders>
            <w:gridSpan w:val="12"/>
            <w:shd w:val="clear" w:color="auto" w:fill="CCEEFF"/>
          </w:tcPr>
          <w:p>
            <w:pPr>
              <w:spacing w:after="0"/>
              <w:rPr>
                <w:sz w:val="15"/>
                <w:szCs w:val="15"/>
                <w:color w:val="auto"/>
              </w:rPr>
            </w:pPr>
          </w:p>
        </w:tc>
        <w:tc>
          <w:tcPr>
            <w:tcW w:w="47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May 7, 2014</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10.11</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LendingTree, Inc. 2017 Inducement Grant Plan*</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rPr>
              <w:t>Exhibit 4.4(A) to the Registrant's Registration Statement on</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10.12</w:t>
            </w:r>
          </w:p>
        </w:tc>
        <w:tc>
          <w:tcPr>
            <w:tcW w:w="5260" w:type="dxa"/>
            <w:vAlign w:val="bottom"/>
            <w:gridSpan w:val="18"/>
            <w:shd w:val="clear" w:color="auto" w:fill="CCEEFF"/>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Notice  of  Restricted  Stock  Unit  Award  Granted  Under  the</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Exhibit 4.4(B) to the Registrant's Registration Statement on</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04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LendingTree, Inc. 2017 Inducement Plan*</w:t>
              </w:r>
            </w:hyperlink>
          </w:p>
        </w:tc>
        <w:tc>
          <w:tcPr>
            <w:tcW w:w="21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76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10.13</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Restricted Stock Award Agreement*</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rPr>
              <w:t>Exhibit 4.4(C) to the Registrant's Registration Statement on</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10.14</w:t>
            </w:r>
          </w:p>
        </w:tc>
        <w:tc>
          <w:tcPr>
            <w:tcW w:w="5260" w:type="dxa"/>
            <w:vAlign w:val="bottom"/>
            <w:gridSpan w:val="18"/>
            <w:shd w:val="clear" w:color="auto" w:fill="CCEEFF"/>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Notice  of  [YEAR]  Stock  Option  Award  Granted  Under  the</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Exhibit 4.4(D) to the Registrant's Registration Statement on</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50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LendingTree, Inc. 2017 Inducement Grant Plan*</w:t>
              </w:r>
            </w:hyperlink>
          </w:p>
        </w:tc>
        <w:tc>
          <w:tcPr>
            <w:tcW w:w="162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76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Form S-8 (No. 333-218747), filed June 14, 2017</w:t>
            </w:r>
          </w:p>
        </w:tc>
        <w:tc>
          <w:tcPr>
            <w:tcW w:w="0" w:type="dxa"/>
            <w:vAlign w:val="bottom"/>
          </w:tcPr>
          <w:p>
            <w:pPr>
              <w:spacing w:after="0"/>
              <w:rPr>
                <w:sz w:val="1"/>
                <w:szCs w:val="1"/>
                <w:color w:val="auto"/>
              </w:rPr>
            </w:pPr>
          </w:p>
        </w:tc>
      </w:tr>
      <w:tr>
        <w:trPr>
          <w:trHeight w:val="176"/>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10.15</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2011 Deferred Compensation Plan for Non-Employee Directors*</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w w:val="95"/>
              </w:rPr>
              <w:t>Exhibit 10.2 to the Registrant's Quarterly Report on Form 10-Q</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filed April 30, 2015</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10.16</w:t>
            </w:r>
          </w:p>
        </w:tc>
        <w:tc>
          <w:tcPr>
            <w:tcW w:w="5260" w:type="dxa"/>
            <w:vAlign w:val="bottom"/>
            <w:gridSpan w:val="18"/>
            <w:shd w:val="clear" w:color="auto" w:fill="CCEEFF"/>
          </w:tcPr>
          <w:p>
            <w:pPr>
              <w:spacing w:after="0" w:line="176" w:lineRule="exact"/>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Deferred Compensation Plan for Non-Employee Directors*</w:t>
              </w:r>
            </w:hyperlink>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Exhibit  10.15  to  the  Registrant's  Registration  Statement  on</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Form S-1 (No. 333-152700), filed August 1, 2008</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10.17</w:t>
            </w:r>
          </w:p>
        </w:tc>
        <w:tc>
          <w:tcPr>
            <w:tcW w:w="5260" w:type="dxa"/>
            <w:vAlign w:val="bottom"/>
            <w:gridSpan w:val="18"/>
          </w:tcPr>
          <w:p>
            <w:pPr>
              <w:spacing w:after="0" w:line="189"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Standard Terms and Conditions to Restricted Stock Award Letters of</w:t>
              </w:r>
            </w:hyperlink>
          </w:p>
        </w:tc>
        <w:tc>
          <w:tcPr>
            <w:tcW w:w="4760" w:type="dxa"/>
            <w:vAlign w:val="bottom"/>
          </w:tcPr>
          <w:p>
            <w:pPr>
              <w:spacing w:after="0" w:line="189" w:lineRule="exact"/>
              <w:rPr>
                <w:sz w:val="20"/>
                <w:szCs w:val="20"/>
                <w:color w:val="auto"/>
              </w:rPr>
            </w:pPr>
            <w:r>
              <w:rPr>
                <w:rFonts w:ascii="Arial" w:cs="Arial" w:eastAsia="Arial" w:hAnsi="Arial"/>
                <w:sz w:val="18"/>
                <w:szCs w:val="18"/>
                <w:color w:val="auto"/>
                <w:w w:val="92"/>
              </w:rPr>
              <w:t>Exhibit 10.2 to the Registrant's Current Report on Form 8-K filed</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2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Tree.com BU Holding Company, Inc.*</w:t>
              </w:r>
            </w:hyperlink>
          </w:p>
        </w:tc>
        <w:tc>
          <w:tcPr>
            <w:tcW w:w="20" w:type="dxa"/>
            <w:vAlign w:val="bottom"/>
          </w:tcPr>
          <w:p>
            <w:pPr>
              <w:spacing w:after="0"/>
              <w:rPr>
                <w:sz w:val="13"/>
                <w:szCs w:val="13"/>
                <w:color w:val="auto"/>
              </w:rPr>
            </w:pPr>
          </w:p>
        </w:tc>
        <w:tc>
          <w:tcPr>
            <w:tcW w:w="4760" w:type="dxa"/>
            <w:vAlign w:val="bottom"/>
          </w:tcPr>
          <w:p>
            <w:pPr>
              <w:spacing w:after="0" w:line="156" w:lineRule="exact"/>
              <w:rPr>
                <w:sz w:val="20"/>
                <w:szCs w:val="20"/>
                <w:color w:val="auto"/>
              </w:rPr>
            </w:pPr>
            <w:r>
              <w:rPr>
                <w:rFonts w:ascii="Arial" w:cs="Arial" w:eastAsia="Arial" w:hAnsi="Arial"/>
                <w:sz w:val="18"/>
                <w:szCs w:val="18"/>
                <w:color w:val="auto"/>
              </w:rPr>
              <w:t>February 3, 2011</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10.18</w:t>
            </w:r>
          </w:p>
        </w:tc>
        <w:tc>
          <w:tcPr>
            <w:tcW w:w="5260" w:type="dxa"/>
            <w:vAlign w:val="bottom"/>
            <w:gridSpan w:val="18"/>
            <w:shd w:val="clear" w:color="auto" w:fill="CCEEFF"/>
          </w:tcPr>
          <w:p>
            <w:pPr>
              <w:spacing w:after="0" w:line="176" w:lineRule="exact"/>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Form of Notice of Restricted Stock Unit Award*</w:t>
              </w:r>
            </w:hyperlink>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Exhibit 10.86(b) to the Registrant's Post-Effective Amendment to</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its Registration Statement on Form S-1 (No. 333-152700),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10.19</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Form of Restricted Stock Award*</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w w:val="92"/>
              </w:rPr>
              <w:t>Exhibit 10.86(c) to the Registrant's Post-Effective Amendment to</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Pr>
          <w:p>
            <w:pPr>
              <w:spacing w:after="0" w:line="176" w:lineRule="exact"/>
              <w:rPr>
                <w:sz w:val="20"/>
                <w:szCs w:val="20"/>
                <w:color w:val="auto"/>
              </w:rPr>
            </w:pPr>
            <w:r>
              <w:rPr>
                <w:rFonts w:ascii="Arial" w:cs="Arial" w:eastAsia="Arial" w:hAnsi="Arial"/>
                <w:sz w:val="18"/>
                <w:szCs w:val="18"/>
                <w:color w:val="auto"/>
                <w:w w:val="94"/>
              </w:rPr>
              <w:t>its Registration Statement on Form S-1 (No. 333-152700),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10.20</w:t>
            </w:r>
          </w:p>
        </w:tc>
        <w:tc>
          <w:tcPr>
            <w:tcW w:w="5260" w:type="dxa"/>
            <w:vAlign w:val="bottom"/>
            <w:gridSpan w:val="18"/>
            <w:shd w:val="clear" w:color="auto" w:fill="CCEEFF"/>
          </w:tcPr>
          <w:p>
            <w:pPr>
              <w:spacing w:after="0" w:line="189"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Form of Notice of Stock Option Award Granted Under the Amended</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Exhibit 10.86(d) to the Registrant's Post-Effective Amendment to</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and Restated 2008 Stock and Annual Incentive Plan*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7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4"/>
              </w:rPr>
              <w:t>its Registration Statement on Form S-1 (No. 333-152700), filed</w:t>
            </w:r>
          </w:p>
        </w:tc>
        <w:tc>
          <w:tcPr>
            <w:tcW w:w="0" w:type="dxa"/>
            <w:vAlign w:val="bottom"/>
          </w:tcPr>
          <w:p>
            <w:pPr>
              <w:spacing w:after="0"/>
              <w:rPr>
                <w:sz w:val="1"/>
                <w:szCs w:val="1"/>
                <w:color w:val="auto"/>
              </w:rPr>
            </w:pPr>
          </w:p>
        </w:tc>
      </w:tr>
      <w:tr>
        <w:trPr>
          <w:trHeight w:val="196"/>
        </w:trPr>
        <w:tc>
          <w:tcPr>
            <w:tcW w:w="1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8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July 13, 2012</w:t>
            </w: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10.21</w:t>
            </w:r>
          </w:p>
        </w:tc>
        <w:tc>
          <w:tcPr>
            <w:tcW w:w="5260" w:type="dxa"/>
            <w:vAlign w:val="bottom"/>
            <w:gridSpan w:val="18"/>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Form of Notice of Stock Option Award Granted Under the Second</w:t>
              </w:r>
            </w:hyperlink>
          </w:p>
        </w:tc>
        <w:tc>
          <w:tcPr>
            <w:tcW w:w="4760" w:type="dxa"/>
            <w:vAlign w:val="bottom"/>
          </w:tcPr>
          <w:p>
            <w:pPr>
              <w:spacing w:after="0" w:line="189" w:lineRule="exact"/>
              <w:rPr>
                <w:sz w:val="20"/>
                <w:szCs w:val="20"/>
                <w:color w:val="auto"/>
              </w:rPr>
            </w:pPr>
            <w:r>
              <w:rPr>
                <w:rFonts w:ascii="Arial" w:cs="Arial" w:eastAsia="Arial" w:hAnsi="Arial"/>
                <w:sz w:val="18"/>
                <w:szCs w:val="18"/>
                <w:color w:val="auto"/>
                <w:w w:val="93"/>
              </w:rPr>
              <w:t>Exhibit 10.13 to the Registrant's Quarterly Report on Form 10-Q</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220" w:type="dxa"/>
            <w:vAlign w:val="bottom"/>
            <w:tcBorders>
              <w:top w:val="single" w:sz="8" w:color="0000FF"/>
            </w:tcBorders>
            <w:gridSpan w:val="16"/>
          </w:tcPr>
          <w:p>
            <w:pPr>
              <w:spacing w:after="0" w:line="196" w:lineRule="exact"/>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Amended and Restated 2008 Stock and Annual Incentive Plan*</w:t>
              </w:r>
            </w:hyperlink>
          </w:p>
        </w:tc>
        <w:tc>
          <w:tcPr>
            <w:tcW w:w="40" w:type="dxa"/>
            <w:vAlign w:val="bottom"/>
            <w:gridSpan w:val="2"/>
          </w:tcPr>
          <w:p>
            <w:pPr>
              <w:spacing w:after="0"/>
              <w:rPr>
                <w:sz w:val="17"/>
                <w:szCs w:val="17"/>
                <w:color w:val="auto"/>
              </w:rPr>
            </w:pPr>
          </w:p>
        </w:tc>
        <w:tc>
          <w:tcPr>
            <w:tcW w:w="4760" w:type="dxa"/>
            <w:vAlign w:val="bottom"/>
          </w:tcPr>
          <w:p>
            <w:pPr>
              <w:spacing w:after="0" w:line="196" w:lineRule="exact"/>
              <w:rPr>
                <w:sz w:val="20"/>
                <w:szCs w:val="20"/>
                <w:color w:val="auto"/>
              </w:rPr>
            </w:pPr>
            <w:r>
              <w:rPr>
                <w:rFonts w:ascii="Arial" w:cs="Arial" w:eastAsia="Arial" w:hAnsi="Arial"/>
                <w:sz w:val="18"/>
                <w:szCs w:val="18"/>
                <w:color w:val="auto"/>
              </w:rPr>
              <w:t>(No. 001-34063) filed May 12, 2010</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10.22</w:t>
            </w:r>
          </w:p>
        </w:tc>
        <w:tc>
          <w:tcPr>
            <w:tcW w:w="5260" w:type="dxa"/>
            <w:vAlign w:val="bottom"/>
            <w:gridSpan w:val="18"/>
            <w:shd w:val="clear" w:color="auto" w:fill="CCEEFF"/>
          </w:tcPr>
          <w:p>
            <w:pPr>
              <w:spacing w:after="0" w:line="176" w:lineRule="exact"/>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Base Convertible Bond Hedge Transaction</w:t>
              </w:r>
            </w:hyperlink>
          </w:p>
        </w:tc>
        <w:tc>
          <w:tcPr>
            <w:tcW w:w="4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Exhibit 99.2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10.23</w:t>
            </w:r>
          </w:p>
        </w:tc>
        <w:tc>
          <w:tcPr>
            <w:tcW w:w="5260" w:type="dxa"/>
            <w:vAlign w:val="bottom"/>
            <w:gridSpan w:val="18"/>
          </w:tcPr>
          <w:p>
            <w:pPr>
              <w:spacing w:after="0" w:line="176" w:lineRule="exact"/>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Additional Convertible Bond Hedge Transaction</w:t>
              </w:r>
            </w:hyperlink>
          </w:p>
        </w:tc>
        <w:tc>
          <w:tcPr>
            <w:tcW w:w="4760" w:type="dxa"/>
            <w:vAlign w:val="bottom"/>
          </w:tcPr>
          <w:p>
            <w:pPr>
              <w:spacing w:after="0" w:line="176" w:lineRule="exact"/>
              <w:rPr>
                <w:sz w:val="20"/>
                <w:szCs w:val="20"/>
                <w:color w:val="auto"/>
              </w:rPr>
            </w:pPr>
            <w:r>
              <w:rPr>
                <w:rFonts w:ascii="Arial" w:cs="Arial" w:eastAsia="Arial" w:hAnsi="Arial"/>
                <w:sz w:val="18"/>
                <w:szCs w:val="18"/>
                <w:color w:val="auto"/>
                <w:w w:val="92"/>
              </w:rPr>
              <w:t>Exhibit 99.3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May 31, 2017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10.24</w:t>
            </w:r>
          </w:p>
        </w:tc>
        <w:tc>
          <w:tcPr>
            <w:tcW w:w="5260" w:type="dxa"/>
            <w:vAlign w:val="bottom"/>
            <w:gridSpan w:val="18"/>
            <w:shd w:val="clear" w:color="auto" w:fill="CCEEFF"/>
          </w:tcPr>
          <w:p>
            <w:pPr>
              <w:spacing w:after="0" w:line="189"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Amended and Restated Credit Agreement, dated as of November 21,</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Exhibit 10.38 to the Registrant's Annual Report on Form 10-K</w:t>
            </w:r>
          </w:p>
        </w:tc>
        <w:tc>
          <w:tcPr>
            <w:tcW w:w="0" w:type="dxa"/>
            <w:vAlign w:val="bottom"/>
          </w:tcPr>
          <w:p>
            <w:pPr>
              <w:spacing w:after="0"/>
              <w:rPr>
                <w:sz w:val="1"/>
                <w:szCs w:val="1"/>
                <w:color w:val="auto"/>
              </w:rPr>
            </w:pPr>
          </w:p>
        </w:tc>
      </w:tr>
      <w:tr>
        <w:trPr>
          <w:trHeight w:val="181"/>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6"/>
              </w:rPr>
            </w:pPr>
            <w:hyperlink r:id="rId172">
              <w:r>
                <w:rPr>
                  <w:rFonts w:ascii="Arial" w:cs="Arial" w:eastAsia="Arial" w:hAnsi="Arial"/>
                  <w:sz w:val="18"/>
                  <w:szCs w:val="18"/>
                  <w:color w:val="0000FF"/>
                  <w:w w:val="86"/>
                </w:rPr>
                <w:t>2017+</w:t>
              </w:r>
            </w:hyperlink>
          </w:p>
        </w:tc>
        <w:tc>
          <w:tcPr>
            <w:tcW w:w="88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78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13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76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February 26, 2018</w:t>
            </w:r>
          </w:p>
        </w:tc>
        <w:tc>
          <w:tcPr>
            <w:tcW w:w="0" w:type="dxa"/>
            <w:vAlign w:val="bottom"/>
          </w:tcPr>
          <w:p>
            <w:pPr>
              <w:spacing w:after="0"/>
              <w:rPr>
                <w:sz w:val="1"/>
                <w:szCs w:val="1"/>
                <w:color w:val="auto"/>
              </w:rPr>
            </w:pPr>
          </w:p>
        </w:tc>
      </w:tr>
      <w:tr>
        <w:trPr>
          <w:trHeight w:val="189"/>
        </w:trPr>
        <w:tc>
          <w:tcPr>
            <w:tcW w:w="1220" w:type="dxa"/>
            <w:vAlign w:val="bottom"/>
            <w:tcBorders>
              <w:top w:val="single" w:sz="8" w:color="CCEEFF"/>
            </w:tcBorders>
          </w:tcPr>
          <w:p>
            <w:pPr>
              <w:jc w:val="right"/>
              <w:ind w:right="110"/>
              <w:spacing w:after="0" w:line="189" w:lineRule="exact"/>
              <w:rPr>
                <w:sz w:val="20"/>
                <w:szCs w:val="20"/>
                <w:color w:val="auto"/>
              </w:rPr>
            </w:pPr>
            <w:r>
              <w:rPr>
                <w:rFonts w:ascii="Arial" w:cs="Arial" w:eastAsia="Arial" w:hAnsi="Arial"/>
                <w:sz w:val="18"/>
                <w:szCs w:val="18"/>
                <w:color w:val="auto"/>
              </w:rPr>
              <w:t>10.25</w:t>
            </w:r>
          </w:p>
        </w:tc>
        <w:tc>
          <w:tcPr>
            <w:tcW w:w="5260" w:type="dxa"/>
            <w:vAlign w:val="bottom"/>
            <w:tcBorders>
              <w:top w:val="single" w:sz="8" w:color="CCEEFF"/>
            </w:tcBorders>
            <w:gridSpan w:val="18"/>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Joinder to Amended and Restated Credit Agreement, dated as of</w:t>
              </w:r>
            </w:hyperlink>
          </w:p>
        </w:tc>
        <w:tc>
          <w:tcPr>
            <w:tcW w:w="47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w w:val="96"/>
              </w:rPr>
              <w:t>Exhibit 10.30 to the Registrant's Annual Report on Form 10-K</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October 26, 2018+</w:t>
              </w:r>
            </w:hyperlink>
          </w:p>
        </w:tc>
        <w:tc>
          <w:tcPr>
            <w:tcW w:w="120" w:type="dxa"/>
            <w:vAlign w:val="bottom"/>
            <w:gridSpan w:val="6"/>
          </w:tcPr>
          <w:p>
            <w:pPr>
              <w:spacing w:after="0"/>
              <w:rPr>
                <w:sz w:val="13"/>
                <w:szCs w:val="13"/>
                <w:color w:val="auto"/>
              </w:rPr>
            </w:pPr>
          </w:p>
        </w:tc>
        <w:tc>
          <w:tcPr>
            <w:tcW w:w="4760" w:type="dxa"/>
            <w:vAlign w:val="bottom"/>
          </w:tcPr>
          <w:p>
            <w:pPr>
              <w:spacing w:after="0" w:line="156" w:lineRule="exact"/>
              <w:rPr>
                <w:sz w:val="20"/>
                <w:szCs w:val="20"/>
                <w:color w:val="auto"/>
              </w:rPr>
            </w:pPr>
            <w:r>
              <w:rPr>
                <w:rFonts w:ascii="Arial" w:cs="Arial" w:eastAsia="Arial" w:hAnsi="Arial"/>
                <w:sz w:val="18"/>
                <w:szCs w:val="18"/>
                <w:color w:val="auto"/>
              </w:rPr>
              <w:t>filed February 28, 2019</w:t>
            </w:r>
          </w:p>
        </w:tc>
        <w:tc>
          <w:tcPr>
            <w:tcW w:w="0" w:type="dxa"/>
            <w:vAlign w:val="bottom"/>
          </w:tcPr>
          <w:p>
            <w:pPr>
              <w:spacing w:after="0"/>
              <w:rPr>
                <w:sz w:val="1"/>
                <w:szCs w:val="1"/>
                <w:color w:val="auto"/>
              </w:rPr>
            </w:pPr>
          </w:p>
        </w:tc>
      </w:tr>
      <w:tr>
        <w:trPr>
          <w:trHeight w:val="898"/>
        </w:trPr>
        <w:tc>
          <w:tcPr>
            <w:tcW w:w="1220" w:type="dxa"/>
            <w:vAlign w:val="bottom"/>
          </w:tcPr>
          <w:p>
            <w:pPr>
              <w:spacing w:after="0"/>
              <w:rPr>
                <w:sz w:val="24"/>
                <w:szCs w:val="24"/>
                <w:color w:val="auto"/>
              </w:rPr>
            </w:pPr>
          </w:p>
        </w:tc>
        <w:tc>
          <w:tcPr>
            <w:tcW w:w="1340" w:type="dxa"/>
            <w:vAlign w:val="bottom"/>
            <w:tcBorders>
              <w:top w:val="single" w:sz="8" w:color="0000FF"/>
            </w:tcBorders>
            <w:gridSpan w:val="2"/>
          </w:tcPr>
          <w:p>
            <w:pPr>
              <w:spacing w:after="0"/>
              <w:rPr>
                <w:sz w:val="24"/>
                <w:szCs w:val="24"/>
                <w:color w:val="auto"/>
              </w:rPr>
            </w:pPr>
          </w:p>
        </w:tc>
        <w:tc>
          <w:tcPr>
            <w:tcW w:w="3780" w:type="dxa"/>
            <w:vAlign w:val="bottom"/>
            <w:gridSpan w:val="9"/>
          </w:tcPr>
          <w:p>
            <w:pPr>
              <w:jc w:val="right"/>
              <w:ind w:right="58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Exhibit</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80" w:type="dxa"/>
            <w:vAlign w:val="bottom"/>
            <w:gridSpan w:val="2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454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2"/>
            <w:vMerge w:val="continue"/>
          </w:tcPr>
          <w:p>
            <w:pPr>
              <w:spacing w:after="0"/>
              <w:rPr>
                <w:sz w:val="19"/>
                <w:szCs w:val="19"/>
                <w:color w:val="auto"/>
              </w:rPr>
            </w:pPr>
          </w:p>
        </w:tc>
        <w:tc>
          <w:tcPr>
            <w:tcW w:w="4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10.26</w:t>
            </w:r>
          </w:p>
        </w:tc>
        <w:tc>
          <w:tcPr>
            <w:tcW w:w="5480" w:type="dxa"/>
            <w:vAlign w:val="bottom"/>
            <w:gridSpan w:val="29"/>
            <w:shd w:val="clear" w:color="auto" w:fill="CCEEFF"/>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Agreement of Purchase and Sale, by and among LendingTree, LLC</w:t>
              </w:r>
            </w:hyperlink>
          </w:p>
        </w:tc>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Exhibit 10.31 to the Registrant's Annual Report on Form 10-K</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and an affiliate of Greenstreet Real Estate Partners, L.P., dated October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4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February 28, 2017</w:t>
            </w: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17, 2016</w:t>
              </w:r>
            </w:hyperlink>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10.27</w:t>
            </w:r>
          </w:p>
        </w:tc>
        <w:tc>
          <w:tcPr>
            <w:tcW w:w="5480" w:type="dxa"/>
            <w:vAlign w:val="bottom"/>
            <w:gridSpan w:val="29"/>
          </w:tcPr>
          <w:p>
            <w:pPr>
              <w:spacing w:after="0" w:line="189"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First Amendment to Purchase and Sale, by and among LendingTree,</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2"/>
              </w:rPr>
              <w:t>Exhibit 10.32 to the Registrant's Annual Report on Form 10-K</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LLC and an affiliate of Greenstreet Real Estate Partners, L.P.,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8"/>
                <w:szCs w:val="18"/>
                <w:color w:val="auto"/>
              </w:rPr>
              <w:t>filed February 28, 2017</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340" w:type="dxa"/>
            <w:vAlign w:val="bottom"/>
            <w:gridSpan w:val="22"/>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November 28,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10.28</w:t>
            </w:r>
          </w:p>
        </w:tc>
        <w:tc>
          <w:tcPr>
            <w:tcW w:w="5480" w:type="dxa"/>
            <w:vAlign w:val="bottom"/>
            <w:gridSpan w:val="29"/>
            <w:shd w:val="clear" w:color="auto" w:fill="CCEEFF"/>
          </w:tcPr>
          <w:p>
            <w:pPr>
              <w:spacing w:after="0" w:line="189" w:lineRule="exact"/>
              <w:rPr>
                <w:rFonts w:ascii="Arial" w:cs="Arial" w:eastAsia="Arial" w:hAnsi="Arial"/>
                <w:sz w:val="18"/>
                <w:szCs w:val="18"/>
                <w:color w:val="0000FF"/>
                <w:w w:val="96"/>
              </w:rPr>
            </w:pPr>
            <w:hyperlink r:id="rId178">
              <w:r>
                <w:rPr>
                  <w:rFonts w:ascii="Arial" w:cs="Arial" w:eastAsia="Arial" w:hAnsi="Arial"/>
                  <w:sz w:val="18"/>
                  <w:szCs w:val="18"/>
                  <w:color w:val="0000FF"/>
                  <w:w w:val="96"/>
                </w:rPr>
                <w:t>Employment Agreement dated December 21, 2017, among John David</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10.1 to the Registrant’s Quarterly Report on Form 10-Q</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Moriarty, LendingTree, Inc., and LendingTree,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April 27, 2018</w:t>
            </w: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10.29</w:t>
            </w:r>
          </w:p>
        </w:tc>
        <w:tc>
          <w:tcPr>
            <w:tcW w:w="5480" w:type="dxa"/>
            <w:vAlign w:val="bottom"/>
            <w:gridSpan w:val="29"/>
          </w:tcPr>
          <w:p>
            <w:pPr>
              <w:spacing w:after="0" w:line="189"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Employment Agreement, dated January 2, 2018, among Neil Salvage,</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0"/>
              </w:rPr>
              <w:t>Exhibit 10.2 to the Registrant’s Quarterly Report on Form 10-Q</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4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LendingTree, Inc., and LendingTree,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8"/>
                <w:szCs w:val="18"/>
                <w:color w:val="auto"/>
              </w:rPr>
              <w:t>filed April 27, 2018</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10.30</w:t>
            </w:r>
          </w:p>
        </w:tc>
        <w:tc>
          <w:tcPr>
            <w:tcW w:w="5480" w:type="dxa"/>
            <w:vAlign w:val="bottom"/>
            <w:gridSpan w:val="29"/>
            <w:shd w:val="clear" w:color="auto" w:fill="CCEEF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Second  Amended  and  Restated  Credit  Agreement,  dated  as  of</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99.1 to the Registrant's Current Report on Form 8-K filed</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December 10, 2019</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December 13, 2019</w:t>
            </w: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10.31</w:t>
            </w:r>
          </w:p>
        </w:tc>
        <w:tc>
          <w:tcPr>
            <w:tcW w:w="5480" w:type="dxa"/>
            <w:vAlign w:val="bottom"/>
            <w:gridSpan w:val="29"/>
          </w:tcPr>
          <w:p>
            <w:pPr>
              <w:spacing w:after="0" w:line="189" w:lineRule="exact"/>
              <w:rPr>
                <w:rFonts w:ascii="Arial" w:cs="Arial" w:eastAsia="Arial" w:hAnsi="Arial"/>
                <w:sz w:val="18"/>
                <w:szCs w:val="18"/>
                <w:color w:val="0000FF"/>
              </w:rPr>
            </w:pPr>
            <w:hyperlink r:id="rId181">
              <w:r>
                <w:rPr>
                  <w:rFonts w:ascii="Arial" w:cs="Arial" w:eastAsia="Arial" w:hAnsi="Arial"/>
                  <w:sz w:val="18"/>
                  <w:szCs w:val="18"/>
                  <w:color w:val="0000FF"/>
                </w:rPr>
                <w:t>Sixth Amended and Restated LendingTree, Inc. 2008 Stock and</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6"/>
              </w:rPr>
              <w:t>Exhibit 4.3(A) to the Registrant's Registration Statement on</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4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Annual 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8"/>
                <w:szCs w:val="18"/>
                <w:color w:val="auto"/>
              </w:rPr>
              <w:t>Form S-8 (No. 333-233035), filed August 6, 2019</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10.32</w:t>
            </w:r>
          </w:p>
        </w:tc>
        <w:tc>
          <w:tcPr>
            <w:tcW w:w="5480" w:type="dxa"/>
            <w:vAlign w:val="bottom"/>
            <w:gridSpan w:val="29"/>
            <w:shd w:val="clear" w:color="auto" w:fill="CCEEFF"/>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Form  of  Notice  of  Stock  Option  Award  Granted  Under  the</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10.1 to the Registrant’s Quarterly Report on Form 10-Q</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LendingTree, Inc. 2008 Stock and Annual Incentive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August 4, 2020</w:t>
            </w:r>
          </w:p>
        </w:tc>
        <w:tc>
          <w:tcPr>
            <w:tcW w:w="0" w:type="dxa"/>
            <w:vAlign w:val="bottom"/>
          </w:tcPr>
          <w:p>
            <w:pPr>
              <w:spacing w:after="0"/>
              <w:rPr>
                <w:sz w:val="1"/>
                <w:szCs w:val="1"/>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10.33</w:t>
            </w:r>
          </w:p>
        </w:tc>
        <w:tc>
          <w:tcPr>
            <w:tcW w:w="5480" w:type="dxa"/>
            <w:vAlign w:val="bottom"/>
            <w:gridSpan w:val="29"/>
          </w:tcPr>
          <w:p>
            <w:pPr>
              <w:spacing w:after="0" w:line="189" w:lineRule="exact"/>
              <w:rPr>
                <w:rFonts w:ascii="Arial" w:cs="Arial" w:eastAsia="Arial" w:hAnsi="Arial"/>
                <w:sz w:val="18"/>
                <w:szCs w:val="18"/>
                <w:color w:val="0000FF"/>
              </w:rPr>
            </w:pPr>
            <w:hyperlink r:id="rId183">
              <w:r>
                <w:rPr>
                  <w:rFonts w:ascii="Arial" w:cs="Arial" w:eastAsia="Arial" w:hAnsi="Arial"/>
                  <w:sz w:val="18"/>
                  <w:szCs w:val="18"/>
                  <w:color w:val="0000FF"/>
                </w:rPr>
                <w:t>Form of Notice of Restricted Stock Unit Award Granted Under the</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0"/>
              </w:rPr>
              <w:t>Exhibit 10.2 to the Registrant’s Quarterly Report on Form 10-Q</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LendingTree, Inc. 2008 Stock and Annual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8"/>
                <w:szCs w:val="18"/>
                <w:color w:val="auto"/>
              </w:rPr>
              <w:t>filed August 4, 2020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10.34</w:t>
            </w:r>
          </w:p>
        </w:tc>
        <w:tc>
          <w:tcPr>
            <w:tcW w:w="5480" w:type="dxa"/>
            <w:vAlign w:val="bottom"/>
            <w:gridSpan w:val="29"/>
            <w:shd w:val="clear" w:color="auto" w:fill="CCEEFF"/>
          </w:tcPr>
          <w:p>
            <w:pPr>
              <w:spacing w:after="0" w:line="189" w:lineRule="exact"/>
              <w:rPr>
                <w:rFonts w:ascii="Arial" w:cs="Arial" w:eastAsia="Arial" w:hAnsi="Arial"/>
                <w:sz w:val="18"/>
                <w:szCs w:val="18"/>
                <w:color w:val="0000FF"/>
              </w:rPr>
            </w:pPr>
            <w:hyperlink r:id="rId184">
              <w:r>
                <w:rPr>
                  <w:rFonts w:ascii="Arial" w:cs="Arial" w:eastAsia="Arial" w:hAnsi="Arial"/>
                  <w:sz w:val="18"/>
                  <w:szCs w:val="18"/>
                  <w:color w:val="0000FF"/>
                </w:rPr>
                <w:t>Form of Notice of Stock Option Award Granted to Non- Employee</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10.3 to the Registrant’s Quarterly Report on Form 10-Q</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42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Directors  Under  the  LendingTree,  Inc.  2008  Stock  and  Annual</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filed August 4, 2020</w:t>
            </w: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Incentive Plan*</w:t>
              </w:r>
            </w:hyperlink>
          </w:p>
        </w:tc>
        <w:tc>
          <w:tcPr>
            <w:tcW w:w="400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5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10.35</w:t>
            </w:r>
          </w:p>
        </w:tc>
        <w:tc>
          <w:tcPr>
            <w:tcW w:w="5480" w:type="dxa"/>
            <w:vAlign w:val="bottom"/>
            <w:gridSpan w:val="29"/>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Form of Notice of Restricted Stock Unit Award Granted to Non-</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0"/>
              </w:rPr>
              <w:t>Exhibit 10.4 to the Registrant’s Quarterly Report on Form 10-Q</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Employee Directors Under the LendingTree, Inc. 2008 Stock and</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Pr>
          <w:p>
            <w:pPr>
              <w:spacing w:after="0" w:line="156" w:lineRule="exact"/>
              <w:rPr>
                <w:sz w:val="20"/>
                <w:szCs w:val="20"/>
                <w:color w:val="auto"/>
              </w:rPr>
            </w:pPr>
            <w:r>
              <w:rPr>
                <w:rFonts w:ascii="Arial" w:cs="Arial" w:eastAsia="Arial" w:hAnsi="Arial"/>
                <w:sz w:val="18"/>
                <w:szCs w:val="18"/>
                <w:color w:val="auto"/>
              </w:rPr>
              <w:t>filed August 4, 2020</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460" w:type="dxa"/>
            <w:vAlign w:val="bottom"/>
            <w:gridSpan w:val="28"/>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Annual Incentive Plan*</w:t>
              </w:r>
            </w:hyperlink>
          </w:p>
        </w:tc>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10.36</w:t>
            </w:r>
          </w:p>
        </w:tc>
        <w:tc>
          <w:tcPr>
            <w:tcW w:w="5480" w:type="dxa"/>
            <w:vAlign w:val="bottom"/>
            <w:gridSpan w:val="29"/>
            <w:shd w:val="clear" w:color="auto" w:fill="CCEEFF"/>
          </w:tcPr>
          <w:p>
            <w:pPr>
              <w:spacing w:after="0" w:line="189" w:lineRule="exact"/>
              <w:rPr>
                <w:rFonts w:ascii="Arial" w:cs="Arial" w:eastAsia="Arial" w:hAnsi="Arial"/>
                <w:sz w:val="18"/>
                <w:szCs w:val="18"/>
                <w:color w:val="0000FF"/>
                <w:w w:val="96"/>
              </w:rPr>
            </w:pPr>
            <w:hyperlink r:id="rId186">
              <w:r>
                <w:rPr>
                  <w:rFonts w:ascii="Arial" w:cs="Arial" w:eastAsia="Arial" w:hAnsi="Arial"/>
                  <w:sz w:val="18"/>
                  <w:szCs w:val="18"/>
                  <w:color w:val="0000FF"/>
                  <w:w w:val="96"/>
                </w:rPr>
                <w:t>First Amendment to and Waiver under Second Amended and Restated</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99.1 to the Registrant’s Current Report on Form 8-K filed</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2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Credit Agreement, dated as of July 21, 2020, by and among the</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200" w:type="dxa"/>
            <w:vAlign w:val="bottom"/>
            <w:tcBorders>
              <w:top w:val="single" w:sz="8" w:color="0000FF"/>
              <w:bottom w:val="single" w:sz="8" w:color="0000FF"/>
            </w:tcBorders>
            <w:gridSpan w:val="15"/>
            <w:shd w:val="clear" w:color="auto" w:fill="CCEEFF"/>
          </w:tcPr>
          <w:p>
            <w:pPr>
              <w:spacing w:after="0" w:line="156" w:lineRule="exact"/>
              <w:rPr>
                <w:rFonts w:ascii="Arial" w:cs="Arial" w:eastAsia="Arial" w:hAnsi="Arial"/>
                <w:sz w:val="18"/>
                <w:szCs w:val="18"/>
                <w:color w:val="0000FF"/>
                <w:w w:val="97"/>
              </w:rPr>
            </w:pPr>
            <w:hyperlink r:id="rId186">
              <w:r>
                <w:rPr>
                  <w:rFonts w:ascii="Arial" w:cs="Arial" w:eastAsia="Arial" w:hAnsi="Arial"/>
                  <w:sz w:val="18"/>
                  <w:szCs w:val="18"/>
                  <w:color w:val="0000FF"/>
                  <w:w w:val="97"/>
                </w:rPr>
                <w:t>LendingTree, LLC, LendingTree, Inc., the lenders from time to time</w:t>
              </w:r>
            </w:hyperlink>
          </w:p>
        </w:tc>
        <w:tc>
          <w:tcPr>
            <w:tcW w:w="160" w:type="dxa"/>
            <w:vAlign w:val="bottom"/>
            <w:tcBorders>
              <w:top w:val="single" w:sz="8" w:color="CCEEFF"/>
              <w:bottom w:val="single" w:sz="8" w:color="0000FF"/>
            </w:tcBorders>
            <w:gridSpan w:val="8"/>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5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5360" w:type="dxa"/>
            <w:vAlign w:val="bottom"/>
            <w:gridSpan w:val="23"/>
            <w:shd w:val="clear" w:color="auto" w:fill="CCEEFF"/>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party thereto and Truist Bank</w:t>
              </w:r>
            </w:hyperlink>
          </w:p>
        </w:tc>
        <w:tc>
          <w:tcPr>
            <w:tcW w:w="80" w:type="dxa"/>
            <w:vAlign w:val="bottom"/>
            <w:gridSpan w:val="4"/>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10.37</w:t>
            </w:r>
          </w:p>
        </w:tc>
        <w:tc>
          <w:tcPr>
            <w:tcW w:w="5480" w:type="dxa"/>
            <w:vAlign w:val="bottom"/>
            <w:gridSpan w:val="29"/>
          </w:tcPr>
          <w:p>
            <w:pPr>
              <w:spacing w:after="0" w:line="176" w:lineRule="exact"/>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Form of Base Convertible Note Hedge Confirmation</w:t>
              </w:r>
            </w:hyperlink>
          </w:p>
        </w:tc>
        <w:tc>
          <w:tcPr>
            <w:tcW w:w="4540" w:type="dxa"/>
            <w:vAlign w:val="bottom"/>
          </w:tcPr>
          <w:p>
            <w:pPr>
              <w:spacing w:after="0" w:line="176" w:lineRule="exact"/>
              <w:rPr>
                <w:sz w:val="20"/>
                <w:szCs w:val="20"/>
                <w:color w:val="auto"/>
              </w:rPr>
            </w:pPr>
            <w:r>
              <w:rPr>
                <w:rFonts w:ascii="Arial" w:cs="Arial" w:eastAsia="Arial" w:hAnsi="Arial"/>
                <w:sz w:val="18"/>
                <w:szCs w:val="18"/>
                <w:color w:val="auto"/>
                <w:w w:val="88"/>
              </w:rPr>
              <w:t>Exhibit 99.2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10.38</w:t>
            </w:r>
          </w:p>
        </w:tc>
        <w:tc>
          <w:tcPr>
            <w:tcW w:w="5480" w:type="dxa"/>
            <w:vAlign w:val="bottom"/>
            <w:gridSpan w:val="29"/>
            <w:shd w:val="clear" w:color="auto" w:fill="CCEEFF"/>
          </w:tcPr>
          <w:p>
            <w:pPr>
              <w:spacing w:after="0" w:line="176" w:lineRule="exact"/>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Form of Additional Convertible Note Hedge Confirmation</w:t>
              </w:r>
            </w:hyperlink>
          </w:p>
        </w:tc>
        <w:tc>
          <w:tcPr>
            <w:tcW w:w="4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Exhibit 99.3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75"/>
        </w:trPr>
        <w:tc>
          <w:tcPr>
            <w:tcW w:w="122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10.39</w:t>
            </w:r>
          </w:p>
        </w:tc>
        <w:tc>
          <w:tcPr>
            <w:tcW w:w="5480" w:type="dxa"/>
            <w:vAlign w:val="bottom"/>
            <w:gridSpan w:val="29"/>
          </w:tcPr>
          <w:p>
            <w:pPr>
              <w:spacing w:after="0" w:line="176" w:lineRule="exact"/>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Form of Base Warrant Confirmation</w:t>
              </w:r>
            </w:hyperlink>
          </w:p>
        </w:tc>
        <w:tc>
          <w:tcPr>
            <w:tcW w:w="4540" w:type="dxa"/>
            <w:vAlign w:val="bottom"/>
          </w:tcPr>
          <w:p>
            <w:pPr>
              <w:spacing w:after="0" w:line="176" w:lineRule="exact"/>
              <w:rPr>
                <w:sz w:val="20"/>
                <w:szCs w:val="20"/>
                <w:color w:val="auto"/>
              </w:rPr>
            </w:pPr>
            <w:r>
              <w:rPr>
                <w:rFonts w:ascii="Arial" w:cs="Arial" w:eastAsia="Arial" w:hAnsi="Arial"/>
                <w:sz w:val="18"/>
                <w:szCs w:val="18"/>
                <w:color w:val="auto"/>
                <w:w w:val="88"/>
              </w:rPr>
              <w:t>Exhibit 99.4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10.40</w:t>
            </w:r>
          </w:p>
        </w:tc>
        <w:tc>
          <w:tcPr>
            <w:tcW w:w="5480" w:type="dxa"/>
            <w:vAlign w:val="bottom"/>
            <w:gridSpan w:val="29"/>
            <w:shd w:val="clear" w:color="auto" w:fill="CCEEFF"/>
          </w:tcPr>
          <w:p>
            <w:pPr>
              <w:spacing w:after="0" w:line="176" w:lineRule="exact"/>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Form of Additional Warrant Confirmation</w:t>
              </w:r>
            </w:hyperlink>
          </w:p>
        </w:tc>
        <w:tc>
          <w:tcPr>
            <w:tcW w:w="4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8"/>
              </w:rPr>
              <w:t>Exhibit 99.5 to the Registrant’s Current Report on Form 8-K filed</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30"/>
        </w:trPr>
        <w:tc>
          <w:tcPr>
            <w:tcW w:w="122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5480" w:type="dxa"/>
            <w:vAlign w:val="bottom"/>
            <w:gridSpan w:val="29"/>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LendingTree Executive Severance Pay Plan*</w:t>
              </w:r>
            </w:hyperlink>
          </w:p>
        </w:tc>
        <w:tc>
          <w:tcPr>
            <w:tcW w:w="45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c>
          <w:tcPr>
            <w:tcW w:w="5480" w:type="dxa"/>
            <w:vAlign w:val="bottom"/>
            <w:gridSpan w:val="29"/>
            <w:shd w:val="clear" w:color="auto" w:fill="CCEEFF"/>
          </w:tcPr>
          <w:p>
            <w:pPr>
              <w:spacing w:after="0"/>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Subsidiaries of LendingTree, Inc.</w:t>
              </w:r>
            </w:hyperlink>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20" w:type="dxa"/>
            <w:vAlign w:val="bottom"/>
          </w:tcPr>
          <w:p>
            <w:pPr>
              <w:jc w:val="right"/>
              <w:ind w:right="110"/>
              <w:spacing w:after="0"/>
              <w:rPr>
                <w:sz w:val="20"/>
                <w:szCs w:val="20"/>
                <w:color w:val="auto"/>
              </w:rPr>
            </w:pPr>
            <w:r>
              <w:rPr>
                <w:rFonts w:ascii="Arial" w:cs="Arial" w:eastAsia="Arial" w:hAnsi="Arial"/>
                <w:sz w:val="18"/>
                <w:szCs w:val="18"/>
                <w:color w:val="auto"/>
              </w:rPr>
              <w:t>23.1</w:t>
            </w:r>
          </w:p>
        </w:tc>
        <w:tc>
          <w:tcPr>
            <w:tcW w:w="5480" w:type="dxa"/>
            <w:vAlign w:val="bottom"/>
            <w:gridSpan w:val="29"/>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Consent of independent registered public accounting firm.</w:t>
              </w:r>
            </w:hyperlink>
          </w:p>
        </w:tc>
        <w:tc>
          <w:tcPr>
            <w:tcW w:w="45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24.1</w:t>
            </w:r>
          </w:p>
        </w:tc>
        <w:tc>
          <w:tcPr>
            <w:tcW w:w="5480" w:type="dxa"/>
            <w:vAlign w:val="bottom"/>
            <w:gridSpan w:val="29"/>
            <w:shd w:val="clear" w:color="auto" w:fill="CCEEFF"/>
          </w:tcPr>
          <w:p>
            <w:pPr>
              <w:spacing w:after="0" w:line="189" w:lineRule="exact"/>
              <w:rPr>
                <w:rFonts w:ascii="Arial" w:cs="Arial" w:eastAsia="Arial" w:hAnsi="Arial"/>
                <w:sz w:val="18"/>
                <w:szCs w:val="18"/>
                <w:color w:val="0000FF"/>
              </w:rPr>
            </w:pPr>
            <w:hyperlink w:anchor="page109">
              <w:r>
                <w:rPr>
                  <w:rFonts w:ascii="Arial" w:cs="Arial" w:eastAsia="Arial" w:hAnsi="Arial"/>
                  <w:sz w:val="18"/>
                  <w:szCs w:val="18"/>
                  <w:color w:val="0000FF"/>
                </w:rPr>
                <w:t>Power of Attorney (included on signature page of this Annual Report</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on Form 10-K)</w:t>
              </w:r>
            </w:hyperlink>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1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5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31.1</w:t>
            </w:r>
          </w:p>
        </w:tc>
        <w:tc>
          <w:tcPr>
            <w:tcW w:w="5480" w:type="dxa"/>
            <w:vAlign w:val="bottom"/>
            <w:gridSpan w:val="29"/>
          </w:tcPr>
          <w:p>
            <w:pPr>
              <w:spacing w:after="0" w:line="189" w:lineRule="exact"/>
              <w:rPr>
                <w:rFonts w:ascii="Arial" w:cs="Arial" w:eastAsia="Arial" w:hAnsi="Arial"/>
                <w:sz w:val="18"/>
                <w:szCs w:val="18"/>
                <w:color w:val="0000FF"/>
                <w:w w:val="98"/>
              </w:rPr>
            </w:pPr>
            <w:hyperlink w:anchor="page168">
              <w:r>
                <w:rPr>
                  <w:rFonts w:ascii="Arial" w:cs="Arial" w:eastAsia="Arial" w:hAnsi="Arial"/>
                  <w:sz w:val="18"/>
                  <w:szCs w:val="18"/>
                  <w:color w:val="0000FF"/>
                  <w:w w:val="98"/>
                </w:rPr>
                <w:t>Certification of the Chief Executive Officer pursuant to Rule 13a-14(a)</w:t>
              </w:r>
            </w:hyperlink>
          </w:p>
        </w:tc>
        <w:tc>
          <w:tcPr>
            <w:tcW w:w="45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8"/>
              </w:rPr>
            </w:pPr>
            <w:hyperlink w:anchor="page168">
              <w:r>
                <w:rPr>
                  <w:rFonts w:ascii="Arial" w:cs="Arial" w:eastAsia="Arial" w:hAnsi="Arial"/>
                  <w:sz w:val="18"/>
                  <w:szCs w:val="18"/>
                  <w:color w:val="0000FF"/>
                  <w:w w:val="98"/>
                </w:rPr>
                <w:t>or Rule 15d-14(a) of the Securities Exchange Act of 1934 as adopted</w:t>
              </w:r>
            </w:hyperlink>
          </w:p>
        </w:tc>
        <w:tc>
          <w:tcPr>
            <w:tcW w:w="40" w:type="dxa"/>
            <w:vAlign w:val="bottom"/>
            <w:tcBorders>
              <w:bottom w:val="single" w:sz="8" w:color="0000FF"/>
            </w:tcBorders>
            <w:gridSpan w:val="2"/>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480" w:type="dxa"/>
            <w:vAlign w:val="bottom"/>
            <w:gridSpan w:val="29"/>
          </w:tcPr>
          <w:p>
            <w:pPr>
              <w:spacing w:after="0" w:line="196" w:lineRule="exact"/>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pursuant to Section 302 of the Sarbanes-Oxley Act of 2002</w:t>
              </w:r>
            </w:hyperlink>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31.2</w:t>
            </w:r>
          </w:p>
        </w:tc>
        <w:tc>
          <w:tcPr>
            <w:tcW w:w="5480" w:type="dxa"/>
            <w:vAlign w:val="bottom"/>
            <w:gridSpan w:val="29"/>
            <w:shd w:val="clear" w:color="auto" w:fill="CCEEFF"/>
          </w:tcPr>
          <w:p>
            <w:pPr>
              <w:spacing w:after="0" w:line="189" w:lineRule="exact"/>
              <w:rPr>
                <w:rFonts w:ascii="Arial" w:cs="Arial" w:eastAsia="Arial" w:hAnsi="Arial"/>
                <w:sz w:val="18"/>
                <w:szCs w:val="18"/>
                <w:color w:val="0000FF"/>
                <w:w w:val="99"/>
              </w:rPr>
            </w:pPr>
            <w:hyperlink w:anchor="page169">
              <w:r>
                <w:rPr>
                  <w:rFonts w:ascii="Arial" w:cs="Arial" w:eastAsia="Arial" w:hAnsi="Arial"/>
                  <w:sz w:val="18"/>
                  <w:szCs w:val="18"/>
                  <w:color w:val="0000FF"/>
                  <w:w w:val="99"/>
                </w:rPr>
                <w:t>Certification of the Chief Financial Officer pursuant to Rule 13a-14(a)</w:t>
              </w:r>
            </w:hyperlink>
          </w:p>
        </w:tc>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516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3"/>
              </w:rPr>
            </w:pPr>
            <w:hyperlink w:anchor="page169">
              <w:r>
                <w:rPr>
                  <w:rFonts w:ascii="Arial" w:cs="Arial" w:eastAsia="Arial" w:hAnsi="Arial"/>
                  <w:sz w:val="18"/>
                  <w:szCs w:val="18"/>
                  <w:color w:val="0000FF"/>
                  <w:w w:val="93"/>
                </w:rPr>
                <w:t>or Rule 15d-14(a) of the Securities Exchange Act of 1934 as adopted</w:t>
              </w:r>
            </w:hyperlink>
          </w:p>
        </w:tc>
        <w:tc>
          <w:tcPr>
            <w:tcW w:w="320" w:type="dxa"/>
            <w:vAlign w:val="bottom"/>
            <w:tcBorders>
              <w:top w:val="single" w:sz="8" w:color="CCEEFF"/>
              <w:bottom w:val="single" w:sz="8" w:color="0000FF"/>
            </w:tcBorders>
            <w:gridSpan w:val="16"/>
            <w:shd w:val="clear" w:color="auto" w:fill="CCEEFF"/>
          </w:tcPr>
          <w:p>
            <w:pPr>
              <w:spacing w:after="0"/>
              <w:rPr>
                <w:sz w:val="13"/>
                <w:szCs w:val="13"/>
                <w:color w:val="auto"/>
              </w:rPr>
            </w:pPr>
          </w:p>
        </w:tc>
        <w:tc>
          <w:tcPr>
            <w:tcW w:w="45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shd w:val="clear" w:color="auto" w:fill="CCEEFF"/>
          </w:tcPr>
          <w:p>
            <w:pPr>
              <w:spacing w:after="0"/>
              <w:rPr>
                <w:sz w:val="17"/>
                <w:szCs w:val="17"/>
                <w:color w:val="auto"/>
              </w:rPr>
            </w:pPr>
          </w:p>
        </w:tc>
        <w:tc>
          <w:tcPr>
            <w:tcW w:w="5480" w:type="dxa"/>
            <w:vAlign w:val="bottom"/>
            <w:gridSpan w:val="29"/>
            <w:shd w:val="clear" w:color="auto" w:fill="CCEEFF"/>
          </w:tcPr>
          <w:p>
            <w:pPr>
              <w:spacing w:after="0" w:line="196" w:lineRule="exact"/>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pursuant to Section 302 of the Sarbanes-Oxley Act of 2002</w:t>
              </w:r>
            </w:hyperlink>
          </w:p>
        </w:tc>
        <w:tc>
          <w:tcPr>
            <w:tcW w:w="4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77"/>
        </w:trPr>
        <w:tc>
          <w:tcPr>
            <w:tcW w:w="1220" w:type="dxa"/>
            <w:vAlign w:val="bottom"/>
          </w:tcPr>
          <w:p>
            <w:pPr>
              <w:spacing w:after="0"/>
              <w:rPr>
                <w:sz w:val="24"/>
                <w:szCs w:val="24"/>
                <w:color w:val="auto"/>
              </w:rPr>
            </w:pPr>
          </w:p>
        </w:tc>
        <w:tc>
          <w:tcPr>
            <w:tcW w:w="5120" w:type="dxa"/>
            <w:vAlign w:val="bottom"/>
            <w:gridSpan w:val="11"/>
          </w:tcPr>
          <w:p>
            <w:pPr>
              <w:ind w:left="42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17"/>
                <w:szCs w:val="17"/>
                <w:color w:val="auto"/>
              </w:rPr>
            </w:pPr>
          </w:p>
        </w:tc>
        <w:tc>
          <w:tcPr>
            <w:tcW w:w="3840" w:type="dxa"/>
            <w:vAlign w:val="bottom"/>
            <w:gridSpan w:val="4"/>
            <w:vMerge w:val="restart"/>
          </w:tcPr>
          <w:p>
            <w:pPr>
              <w:ind w:left="780"/>
              <w:spacing w:after="0"/>
              <w:rPr>
                <w:sz w:val="20"/>
                <w:szCs w:val="20"/>
                <w:color w:val="auto"/>
              </w:rPr>
            </w:pPr>
            <w:r>
              <w:rPr>
                <w:rFonts w:ascii="Arial" w:cs="Arial" w:eastAsia="Arial" w:hAnsi="Arial"/>
                <w:sz w:val="18"/>
                <w:szCs w:val="18"/>
                <w:b w:val="1"/>
                <w:bCs w:val="1"/>
                <w:color w:val="auto"/>
              </w:rPr>
              <w:t>Description</w:t>
            </w:r>
          </w:p>
        </w:tc>
        <w:tc>
          <w:tcPr>
            <w:tcW w:w="484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Number</w:t>
            </w:r>
          </w:p>
        </w:tc>
        <w:tc>
          <w:tcPr>
            <w:tcW w:w="13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vMerge w:val="continue"/>
          </w:tcPr>
          <w:p>
            <w:pPr>
              <w:spacing w:after="0"/>
              <w:rPr>
                <w:sz w:val="19"/>
                <w:szCs w:val="19"/>
                <w:color w:val="auto"/>
              </w:rPr>
            </w:pPr>
          </w:p>
        </w:tc>
        <w:tc>
          <w:tcPr>
            <w:tcW w:w="4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2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32.1</w:t>
            </w:r>
          </w:p>
        </w:tc>
        <w:tc>
          <w:tcPr>
            <w:tcW w:w="5180" w:type="dxa"/>
            <w:vAlign w:val="bottom"/>
            <w:gridSpan w:val="5"/>
          </w:tcPr>
          <w:p>
            <w:pPr>
              <w:spacing w:after="0" w:line="182" w:lineRule="exact"/>
              <w:rPr>
                <w:rFonts w:ascii="Arial" w:cs="Arial" w:eastAsia="Arial" w:hAnsi="Arial"/>
                <w:sz w:val="18"/>
                <w:szCs w:val="18"/>
                <w:color w:val="0000FF"/>
              </w:rPr>
            </w:pPr>
            <w:hyperlink w:anchor="page170">
              <w:r>
                <w:rPr>
                  <w:rFonts w:ascii="Arial" w:cs="Arial" w:eastAsia="Arial" w:hAnsi="Arial"/>
                  <w:sz w:val="18"/>
                  <w:szCs w:val="18"/>
                  <w:color w:val="0000FF"/>
                </w:rPr>
                <w:t>Certification of the Chief Executive Officer pursuant to 18 U.S.C.</w:t>
              </w:r>
            </w:hyperlink>
          </w:p>
        </w:tc>
        <w:tc>
          <w:tcPr>
            <w:tcW w:w="484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w:anchor="page170">
              <w:r>
                <w:rPr>
                  <w:rFonts w:ascii="Arial" w:cs="Arial" w:eastAsia="Arial" w:hAnsi="Arial"/>
                  <w:sz w:val="18"/>
                  <w:szCs w:val="18"/>
                  <w:color w:val="0000FF"/>
                  <w:w w:val="95"/>
                </w:rPr>
                <w:t>Section 1350 as adopted pursuant to Section 906 of the Sarbanes-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140" w:type="dxa"/>
            <w:vAlign w:val="bottom"/>
            <w:gridSpan w:val="3"/>
          </w:tcPr>
          <w:p>
            <w:pPr>
              <w:spacing w:after="0" w:line="156" w:lineRule="exact"/>
              <w:rPr>
                <w:rFonts w:ascii="Arial" w:cs="Arial" w:eastAsia="Arial" w:hAnsi="Arial"/>
                <w:sz w:val="18"/>
                <w:szCs w:val="18"/>
                <w:color w:val="0000FF"/>
              </w:rPr>
            </w:pPr>
            <w:hyperlink w:anchor="page170">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32.2</w:t>
            </w:r>
          </w:p>
        </w:tc>
        <w:tc>
          <w:tcPr>
            <w:tcW w:w="5180" w:type="dxa"/>
            <w:vAlign w:val="bottom"/>
            <w:gridSpan w:val="5"/>
            <w:shd w:val="clear" w:color="auto" w:fill="CCEEFF"/>
          </w:tcPr>
          <w:p>
            <w:pPr>
              <w:spacing w:after="0" w:line="189" w:lineRule="exact"/>
              <w:rPr>
                <w:rFonts w:ascii="Arial" w:cs="Arial" w:eastAsia="Arial" w:hAnsi="Arial"/>
                <w:sz w:val="18"/>
                <w:szCs w:val="18"/>
                <w:color w:val="0000FF"/>
              </w:rPr>
            </w:pPr>
            <w:hyperlink w:anchor="page171">
              <w:r>
                <w:rPr>
                  <w:rFonts w:ascii="Arial" w:cs="Arial" w:eastAsia="Arial" w:hAnsi="Arial"/>
                  <w:sz w:val="18"/>
                  <w:szCs w:val="18"/>
                  <w:color w:val="0000FF"/>
                </w:rPr>
                <w:t>Certification of the Chief Financial Officer pursuant to 18 U.S.C.</w:t>
              </w:r>
            </w:hyperlink>
          </w:p>
        </w:tc>
        <w:tc>
          <w:tcPr>
            <w:tcW w:w="48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w w:val="96"/>
              </w:rPr>
            </w:pPr>
            <w:hyperlink w:anchor="page171">
              <w:r>
                <w:rPr>
                  <w:rFonts w:ascii="Arial" w:cs="Arial" w:eastAsia="Arial" w:hAnsi="Arial"/>
                  <w:sz w:val="18"/>
                  <w:szCs w:val="18"/>
                  <w:color w:val="0000FF"/>
                  <w:w w:val="96"/>
                </w:rPr>
                <w:t>Section 1350 as adopted pursuant to Section 906 of the Sarbanes-</w:t>
              </w:r>
            </w:hyperlink>
          </w:p>
        </w:tc>
        <w:tc>
          <w:tcPr>
            <w:tcW w:w="20" w:type="dxa"/>
            <w:vAlign w:val="bottom"/>
            <w:tcBorders>
              <w:top w:val="single" w:sz="8" w:color="CCEEFF"/>
            </w:tcBorders>
            <w:shd w:val="clear" w:color="auto" w:fill="CCEEFF"/>
          </w:tcPr>
          <w:p>
            <w:pPr>
              <w:spacing w:after="0"/>
              <w:rPr>
                <w:sz w:val="13"/>
                <w:szCs w:val="13"/>
                <w:color w:val="auto"/>
              </w:rPr>
            </w:pPr>
          </w:p>
        </w:tc>
        <w:tc>
          <w:tcPr>
            <w:tcW w:w="4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2"/>
              </w:rPr>
            </w:pPr>
            <w:hyperlink w:anchor="page171">
              <w:r>
                <w:rPr>
                  <w:rFonts w:ascii="Arial" w:cs="Arial" w:eastAsia="Arial" w:hAnsi="Arial"/>
                  <w:sz w:val="18"/>
                  <w:szCs w:val="18"/>
                  <w:color w:val="0000FF"/>
                  <w:w w:val="92"/>
                </w:rPr>
                <w:t>Oxley Act of 2002</w:t>
              </w:r>
            </w:hyperlink>
          </w:p>
        </w:tc>
        <w:tc>
          <w:tcPr>
            <w:tcW w:w="380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8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101.CAL</w:t>
            </w:r>
          </w:p>
        </w:tc>
        <w:tc>
          <w:tcPr>
            <w:tcW w:w="51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8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101.DEF</w:t>
            </w: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22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101.INS</w:t>
            </w:r>
          </w:p>
        </w:tc>
        <w:tc>
          <w:tcPr>
            <w:tcW w:w="5180" w:type="dxa"/>
            <w:vAlign w:val="bottom"/>
            <w:gridSpan w:val="5"/>
          </w:tcPr>
          <w:p>
            <w:pPr>
              <w:spacing w:after="0" w:line="176" w:lineRule="exact"/>
              <w:rPr>
                <w:sz w:val="20"/>
                <w:szCs w:val="20"/>
                <w:color w:val="auto"/>
              </w:rPr>
            </w:pPr>
            <w:r>
              <w:rPr>
                <w:rFonts w:ascii="Arial" w:cs="Arial" w:eastAsia="Arial" w:hAnsi="Arial"/>
                <w:sz w:val="18"/>
                <w:szCs w:val="18"/>
                <w:color w:val="auto"/>
                <w:w w:val="92"/>
              </w:rPr>
              <w:t>XBRL Instance Document — The instance document does not appear</w:t>
            </w:r>
          </w:p>
        </w:tc>
        <w:tc>
          <w:tcPr>
            <w:tcW w:w="48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5180" w:type="dxa"/>
            <w:vAlign w:val="bottom"/>
            <w:gridSpan w:val="5"/>
          </w:tcPr>
          <w:p>
            <w:pPr>
              <w:spacing w:after="0" w:line="176" w:lineRule="exact"/>
              <w:rPr>
                <w:sz w:val="20"/>
                <w:szCs w:val="20"/>
                <w:color w:val="auto"/>
              </w:rPr>
            </w:pPr>
            <w:r>
              <w:rPr>
                <w:rFonts w:ascii="Arial" w:cs="Arial" w:eastAsia="Arial" w:hAnsi="Arial"/>
                <w:sz w:val="18"/>
                <w:szCs w:val="18"/>
                <w:color w:val="auto"/>
                <w:w w:val="99"/>
              </w:rPr>
              <w:t>in the Interactive Data File because its XBRL tags are embedded</w:t>
            </w: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51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101.LAB</w:t>
            </w: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101.PRE</w:t>
            </w:r>
          </w:p>
        </w:tc>
        <w:tc>
          <w:tcPr>
            <w:tcW w:w="51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8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101.SCH</w:t>
            </w:r>
          </w:p>
        </w:tc>
        <w:tc>
          <w:tcPr>
            <w:tcW w:w="5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1220" w:hanging="406"/>
        <w:spacing w:after="0" w:line="22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w:t>
      </w:r>
    </w:p>
    <w:p>
      <w:pPr>
        <w:ind w:left="1220"/>
        <w:spacing w:after="0"/>
        <w:rPr>
          <w:rFonts w:ascii="Arial" w:cs="Arial" w:eastAsia="Arial" w:hAnsi="Arial"/>
          <w:sz w:val="18"/>
          <w:szCs w:val="18"/>
          <w:color w:val="auto"/>
        </w:rPr>
      </w:pPr>
      <w:r>
        <w:rPr>
          <w:rFonts w:ascii="Arial" w:cs="Arial" w:eastAsia="Arial" w:hAnsi="Arial"/>
          <w:sz w:val="18"/>
          <w:szCs w:val="18"/>
          <w:color w:val="auto"/>
        </w:rPr>
        <w:t>document contained in Exhibit 101)</w:t>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16" w:lineRule="exact"/>
        <w:rPr>
          <w:sz w:val="20"/>
          <w:szCs w:val="20"/>
          <w:color w:val="auto"/>
        </w:rPr>
      </w:pPr>
    </w:p>
    <w:p>
      <w:pPr>
        <w:jc w:val="both"/>
        <w:ind w:firstLine="8"/>
        <w:spacing w:after="0" w:line="286"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44" w:lineRule="exact"/>
        <w:rPr>
          <w:sz w:val="20"/>
          <w:szCs w:val="20"/>
          <w:color w:val="auto"/>
        </w:rPr>
      </w:pPr>
    </w:p>
    <w:p>
      <w:pPr>
        <w:ind w:right="20" w:firstLine="8"/>
        <w:spacing w:after="0" w:line="277" w:lineRule="auto"/>
        <w:tabs>
          <w:tab w:leader="none" w:pos="2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 Portions of this exhibit have been omitted pursuant to a request for confidential treatment and this exhibit has been submitted separately to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8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550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150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each of J.D. Moriarty and Lisa Young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2020,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2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680" w:type="dxa"/>
            <w:vAlign w:val="bottom"/>
          </w:tcPr>
          <w:p>
            <w:pPr>
              <w:spacing w:after="0"/>
              <w:rPr>
                <w:sz w:val="14"/>
                <w:szCs w:val="14"/>
                <w:color w:val="auto"/>
              </w:rPr>
            </w:pPr>
          </w:p>
        </w:tc>
        <w:tc>
          <w:tcPr>
            <w:tcW w:w="440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3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DOUGLAS R. LEBDA</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94"/>
        </w:trPr>
        <w:tc>
          <w:tcPr>
            <w:tcW w:w="1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40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Douglas R. Lebda</w:t>
            </w:r>
          </w:p>
        </w:tc>
        <w:tc>
          <w:tcPr>
            <w:tcW w:w="440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J.D. MORIARTY</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95"/>
        </w:trPr>
        <w:tc>
          <w:tcPr>
            <w:tcW w:w="1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40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J.D. Moriarty</w:t>
            </w:r>
          </w:p>
        </w:tc>
        <w:tc>
          <w:tcPr>
            <w:tcW w:w="440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CARLA SHUMATE</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Accounting Officer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94"/>
        </w:trPr>
        <w:tc>
          <w:tcPr>
            <w:tcW w:w="1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40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Carla Shumate</w:t>
            </w:r>
          </w:p>
        </w:tc>
        <w:tc>
          <w:tcPr>
            <w:tcW w:w="440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2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GABRIEL DALPORTO</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Gabriel Dalporto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THOMAS DAVIDSON</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Thomas Davidson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ROBIN HENDERSON</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Robin Henderson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STEVEN OZONIAN</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Steven Ozonian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SARAS SARASVATHY</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Saras Sarasvathy</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 KENNEDY THOMPSON</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 Kennedy Thompson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JENNIFER WITZ</w:t>
            </w: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89"/>
              </w:rPr>
              <w:t>February 26, 2021</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Jennifer Witz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EMPLOYMENT AGREEMENT (“Agreement”), dated as of November 30, 2020 (the “Agreement Date”), is entered into by and between Douglas R. Lebda (the “Employee”) and LendingTree, Inc. (the “Company”) and LendingTree, LLC (“LTLLC” which as of the Agreement Date is a wholly-owned subsidiary of the Company; the Company, LTLLC (collectively, the “Company Parties”) and their respective subsidiaries are collectively the “Company Group”).</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Employee is currently serving as Chairman and Chief Executive Officer of the Company;</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Employee and the Company Parties were parties to an Employment Agreement, dated September 20, 2017 (the “Prior Agreement”), which will expire on January 9, 2021; and</w:t>
      </w:r>
    </w:p>
    <w:p>
      <w:pPr>
        <w:spacing w:after="0" w:line="1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WHEREAS, Employee and the Company Parties now wish to enter into this Agreement on the terms and conditions set forth below, which Agreement shall supersede and replace in its entirety the Prior Agreement effective as of the Commencement Date (as defined below).</w:t>
      </w:r>
    </w:p>
    <w:p>
      <w:pPr>
        <w:spacing w:after="0" w:line="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mutual agreements hereinafter set forth, Employee, LTLLC and the Company have agreed and do hereby agree as follows:</w:t>
      </w:r>
    </w:p>
    <w:p>
      <w:pPr>
        <w:spacing w:after="0" w:line="177" w:lineRule="exact"/>
        <w:rPr>
          <w:sz w:val="20"/>
          <w:szCs w:val="20"/>
          <w:color w:val="auto"/>
        </w:rPr>
      </w:pPr>
    </w:p>
    <w:p>
      <w:pPr>
        <w:jc w:val="both"/>
        <w:ind w:firstLine="656"/>
        <w:spacing w:after="0" w:line="243" w:lineRule="auto"/>
        <w:tabs>
          <w:tab w:leader="none" w:pos="1296"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During the Term (as defined below), LTLLC agrees to continue to employ Employee and Employee will continue to serve as Company Chairman and Chief Executive Officer as of the Commencement Date and Employee accepts and agrees to such employment. During the Term, Employee will perform all services and acts necessary or advisable to fulfill the duties and responsibilities as are commensurate and consistent with Employee’s position and will render such services on the terms set forth herein. During the Term, Employee will report to the Board of Directors of the Company (the “Board”). Employee agrees to devote all of Employee’s working time, attention and efforts to the Company Group and to perform the duties of Employee’s position in accordance with the Company Group’s policies as in effect from time to time.</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Notwithstanding anything to the contrary in this Agreement, Employee may (i) serve as a corporate board member for up to two (2) organizations as Employee may reasonably determine from time to time, provided said service does not compete with, or present an actual or apparent conflict of interest for, the Company Group, which will be determined by the Board, in its sole, good faith judgment, (ii) serve on civic or charitable boards or committees and (iii) manage his personal investments, in each case, so long as such activities do not interfere with Employee’s ability to perform his duties for the Company Group as contemplated hereunder. The Company Parties acknowledge that, as of the Agreement Date, Employee is serving as a corporate board member of The LendingTree Foundation, Seven 12, LLC and Movements of Hope.</w:t>
      </w:r>
    </w:p>
    <w:p>
      <w:pPr>
        <w:spacing w:after="0" w:line="193" w:lineRule="exact"/>
        <w:rPr>
          <w:sz w:val="20"/>
          <w:szCs w:val="20"/>
          <w:color w:val="auto"/>
        </w:rPr>
      </w:pPr>
    </w:p>
    <w:p>
      <w:pPr>
        <w:jc w:val="both"/>
        <w:ind w:firstLine="656"/>
        <w:spacing w:after="0" w:line="257" w:lineRule="auto"/>
        <w:tabs>
          <w:tab w:leader="none" w:pos="129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The term (“Term”) of this Agreement will commence on December 1, 2020 (the “Commencement Date”) and will continue through December 31, 2023, unless sooner terminated in accordance with the provisions of Section 1 of the Standard Terms and Conditions attached hereto; provided, that certain terms and conditions herein may specify a greater period of effectiveness. Employee and the Company Parties will enter into good faith negotiations to extend the Term no later than six months prior to the end of the Term, provided, that Employee has provided written notice to the Company between eight and six months prior to the end of the Term which sets forth his interest in entering into such negotiations. For purposes of clarity, if the Agreement is not renewed in accordance with this Section 2, the Agreement will automatically expire at the end of the Term. Such expiration will not entitle Employee to any compensation or benefits except as earned by Employee through the date of expiration of the Term.</w:t>
      </w:r>
    </w:p>
    <w:p>
      <w:pPr>
        <w:sectPr>
          <w:pgSz w:w="11900" w:h="16838" w:orient="portrait"/>
          <w:cols w:equalWidth="0" w:num="1">
            <w:col w:w="11240"/>
          </w:cols>
          <w:pgMar w:left="320" w:top="115" w:right="339" w:bottom="1440" w:gutter="0" w:footer="0" w:header="0"/>
        </w:sectPr>
      </w:pPr>
    </w:p>
    <w:bookmarkStart w:id="112" w:name="page113"/>
    <w:bookmarkEnd w:id="112"/>
    <w:p>
      <w:pPr>
        <w:ind w:left="644" w:hanging="644"/>
        <w:spacing w:after="0"/>
        <w:tabs>
          <w:tab w:leader="none" w:pos="644"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56" w:firstLine="1304"/>
        <w:spacing w:after="0" w:line="259" w:lineRule="auto"/>
        <w:tabs>
          <w:tab w:leader="none" w:pos="1278"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LTLLC will pay Employee an annual base salary of $750,000 (the “Base Salary”) payable in equal biweekly installments or in such other installments as may be in accordance with LTLLC’s standard payroll practices as in effect from time to time. The Base Salary will be reviewed by the Compensation Committee (the “Committee”) of the Board as the Committee determines to be appropriate or, if requested by Employee in writing, no less frequently than annually in a manner consistent with similarly situated executives of LTLLC and may be increased but not decreased. For all purposes under this Agreement, the term “Base Salary” will refer to the Base Salary as in effect from time to time.</w:t>
      </w:r>
    </w:p>
    <w:p>
      <w:pPr>
        <w:spacing w:after="0" w:line="178" w:lineRule="exact"/>
        <w:rPr>
          <w:rFonts w:ascii="Arial" w:cs="Arial" w:eastAsia="Arial" w:hAnsi="Arial"/>
          <w:sz w:val="19"/>
          <w:szCs w:val="19"/>
          <w:color w:val="auto"/>
        </w:rPr>
      </w:pPr>
    </w:p>
    <w:p>
      <w:pPr>
        <w:jc w:val="both"/>
        <w:ind w:left="-656" w:firstLine="1304"/>
        <w:spacing w:after="0" w:line="256" w:lineRule="auto"/>
        <w:tabs>
          <w:tab w:leader="none" w:pos="1276"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Term, Employee will be eligible to receive a target annual bonus of up to 125% of his Base Salary with respect to each fiscal year of the Company (each a “Performance Year”) during the Term, beginning with the Performance Year that begins on January 1, 2021. The terms and conditions of the annual bonus, including the applicable performance criteria for a Performance Year, and the amount of the annual bonus payable to Employee for a Performance Year, if any, will be determined by the Committee in its sole discretion. Except as expressly provided in this Agreement, the annual bonus will be paid in accordance with LTLLC’s standard policies and procedures for the payment of annual bonuses to its other similarly situated employees and no later than March 15 of the year following the applicable Performance Year. Notwithstanding anything set forth in this Agreement or otherwise, Employee’s eligibility to receive an annual bonus for the Company’s fiscal year that began on January 1, 2020 shall continue to be governed by the terms and conditions of the Prior Agreement.</w:t>
      </w:r>
    </w:p>
    <w:p>
      <w:pPr>
        <w:spacing w:after="0" w:line="184" w:lineRule="exact"/>
        <w:rPr>
          <w:rFonts w:ascii="Arial" w:cs="Arial" w:eastAsia="Arial" w:hAnsi="Arial"/>
          <w:sz w:val="19"/>
          <w:szCs w:val="19"/>
          <w:color w:val="auto"/>
        </w:rPr>
      </w:pPr>
    </w:p>
    <w:p>
      <w:pPr>
        <w:jc w:val="both"/>
        <w:ind w:left="-656" w:firstLine="1304"/>
        <w:spacing w:after="0" w:line="257" w:lineRule="auto"/>
        <w:tabs>
          <w:tab w:leader="none" w:pos="1278"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Subject to Employee remaining employed by LTLLC through the applicable grant dates referenced below and to the Company having sufficient shares available on each grant date under a Company stockholder approved equity compensation plan, on the Base Date (as defined below), Employee will receive grants of a performance-based stock option (the “Performance-Based Option Award”) and a time-based stock option (the “Time-Based Option Award”) under the Company’s Sixth Amended and Restated 2008 Stock and Annual Incentive Plan, as may be amended (or replaced) by the Company (the “2008 Plan”), as described in this Section 3(c). The share numbers and exercise prices referenced herein will be subject to adjustment in the event there is a “Share Change” (as defined in the 2008 Plan) pursuant to the terms of the 2008 Plan.</w:t>
      </w:r>
    </w:p>
    <w:p>
      <w:pPr>
        <w:spacing w:after="0" w:line="185" w:lineRule="exact"/>
        <w:rPr>
          <w:sz w:val="20"/>
          <w:szCs w:val="20"/>
          <w:color w:val="auto"/>
        </w:rPr>
      </w:pPr>
    </w:p>
    <w:p>
      <w:pPr>
        <w:ind w:left="1104"/>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Definitions</w:t>
      </w:r>
      <w:r>
        <w:rPr>
          <w:rFonts w:ascii="Arial" w:cs="Arial" w:eastAsia="Arial" w:hAnsi="Arial"/>
          <w:sz w:val="20"/>
          <w:szCs w:val="20"/>
          <w:color w:val="auto"/>
        </w:rPr>
        <w:t>. Certain definitions used in this Agreement are provided below in this subsection (i).</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Date</w:t>
      </w:r>
      <w:r>
        <w:rPr>
          <w:rFonts w:ascii="Arial" w:cs="Arial" w:eastAsia="Arial" w:hAnsi="Arial"/>
          <w:sz w:val="20"/>
          <w:szCs w:val="20"/>
          <w:color w:val="auto"/>
        </w:rPr>
        <w:t>” means December 3, 2020.</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Base Price</w:t>
      </w:r>
      <w:r>
        <w:rPr>
          <w:rFonts w:ascii="Arial" w:cs="Arial" w:eastAsia="Arial" w:hAnsi="Arial"/>
          <w:sz w:val="20"/>
          <w:szCs w:val="20"/>
          <w:color w:val="auto"/>
        </w:rPr>
        <w:t>” means the greater of the closing price per common share of the Company on the Base Date and $300.</w:t>
      </w:r>
    </w:p>
    <w:p>
      <w:pPr>
        <w:spacing w:after="0" w:line="216"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Performance-Based Option Target Shares</w:t>
      </w:r>
      <w:r>
        <w:rPr>
          <w:rFonts w:ascii="Arial" w:cs="Arial" w:eastAsia="Arial" w:hAnsi="Arial"/>
          <w:sz w:val="20"/>
          <w:szCs w:val="20"/>
          <w:color w:val="auto"/>
        </w:rPr>
        <w:t>” means the nearest whole number of shares that generates a stock option grant date value of $30.0 million (as measured under the Committee’s model, which applies conventional performance-based option valuation methodology assumptions and principles) on the Base Date and using the Base Price as the per share exercise price and per share fair market value.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Termination of Employment</w:t>
      </w:r>
      <w:r>
        <w:rPr>
          <w:rFonts w:ascii="Arial" w:cs="Arial" w:eastAsia="Arial" w:hAnsi="Arial"/>
          <w:sz w:val="20"/>
          <w:szCs w:val="20"/>
          <w:color w:val="auto"/>
        </w:rPr>
        <w:t>” means the termination of Employee’s employment with LTLLC.</w:t>
      </w:r>
    </w:p>
    <w:p>
      <w:pPr>
        <w:spacing w:after="0" w:line="216" w:lineRule="exact"/>
        <w:rPr>
          <w:sz w:val="20"/>
          <w:szCs w:val="20"/>
          <w:color w:val="auto"/>
        </w:rPr>
      </w:pPr>
    </w:p>
    <w:p>
      <w:pPr>
        <w:jc w:val="both"/>
        <w:ind w:left="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Termination of Service</w:t>
      </w:r>
      <w:r>
        <w:rPr>
          <w:rFonts w:ascii="Arial" w:cs="Arial" w:eastAsia="Arial" w:hAnsi="Arial"/>
          <w:sz w:val="20"/>
          <w:szCs w:val="20"/>
          <w:color w:val="auto"/>
        </w:rPr>
        <w:t>” means the complete termination of Employee’s employment with, or performance of services for, all members of the Company Group. For the avoidance of</w:t>
      </w:r>
    </w:p>
    <w:p>
      <w:pPr>
        <w:sectPr>
          <w:pgSz w:w="11900" w:h="16838" w:orient="portrait"/>
          <w:cols w:equalWidth="0" w:num="1">
            <w:col w:w="10584"/>
          </w:cols>
          <w:pgMar w:left="976" w:top="1419" w:right="339" w:bottom="1440" w:gutter="0" w:footer="0" w:header="0"/>
        </w:sectPr>
      </w:pPr>
    </w:p>
    <w:bookmarkStart w:id="113" w:name="page114"/>
    <w:bookmarkEnd w:id="113"/>
    <w:p>
      <w:pPr>
        <w:jc w:val="both"/>
        <w:spacing w:after="0" w:line="291" w:lineRule="auto"/>
        <w:rPr>
          <w:sz w:val="20"/>
          <w:szCs w:val="20"/>
          <w:color w:val="auto"/>
        </w:rPr>
      </w:pPr>
      <w:r>
        <w:rPr>
          <w:rFonts w:ascii="Arial" w:cs="Arial" w:eastAsia="Arial" w:hAnsi="Arial"/>
          <w:sz w:val="18"/>
          <w:szCs w:val="18"/>
          <w:color w:val="auto"/>
        </w:rPr>
        <w:t>doubt, the continuation of Employee’s service with the Company as a non-employee director, advisor or consultant following Employee’s Termination of Employment (among other potential ways in which Employee’s services with any member of the Company Group may be continued following such Termination of Employment) shall not to constitute a Termination of Service.</w:t>
      </w:r>
    </w:p>
    <w:p>
      <w:pPr>
        <w:spacing w:after="0" w:line="1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Time-Based Option Shares</w:t>
      </w:r>
      <w:r>
        <w:rPr>
          <w:rFonts w:ascii="Arial" w:cs="Arial" w:eastAsia="Arial" w:hAnsi="Arial"/>
          <w:sz w:val="16"/>
          <w:szCs w:val="16"/>
          <w:color w:val="auto"/>
        </w:rPr>
        <w:t>” means the nearest whole number of shares that generates a stock option grant date value of $12.9 million (as measured under the Committee’s model, which applies conventional time-based option valuation methodology assumptions and principles) on the Base Date and using the Base Price as the per share exercise price and per share fair market value.</w:t>
      </w:r>
    </w:p>
    <w:p>
      <w:pPr>
        <w:spacing w:after="0" w:line="118" w:lineRule="exact"/>
        <w:rPr>
          <w:sz w:val="20"/>
          <w:szCs w:val="20"/>
          <w:color w:val="auto"/>
        </w:rPr>
      </w:pPr>
    </w:p>
    <w:p>
      <w:pPr>
        <w:jc w:val="both"/>
        <w:ind w:firstLine="1054"/>
        <w:spacing w:after="0" w:line="269"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Performance-Based Option Award and Time-Based Option Award</w:t>
      </w:r>
      <w:r>
        <w:rPr>
          <w:rFonts w:ascii="Arial" w:cs="Arial" w:eastAsia="Arial" w:hAnsi="Arial"/>
          <w:sz w:val="18"/>
          <w:szCs w:val="18"/>
          <w:color w:val="auto"/>
        </w:rPr>
        <w:t xml:space="preserve">. The Performance-Based Option Award and the Time-Based Option Award will be evidenced by the agreement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“Performance-Based Option Award Agreement”)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“Time-Based Option Award Agreement”), respectively. Employee must execute such agreements as a condition of such grants. The number of Company common shares subject to the Performance-Based Option Award at target performance will be the Performance-Based Option Target Shares and the number of Company common shares subject to the Time-Based Option Award will be the Time-Based Option Shares. All terms and conditions of the Performance-Based Option Award and the Time-Based Option Award, including the per share exercise price and the vesting terms, will be provided in the Performance-Based Option Award Agreement or the Time-Based Option Award Agreement, as applicable, subject to accelerated vesting pursuant to Sections 1(a), 1(b), 1(d) or 1(g) of the Standard Terms and Conditions. Except as may be otherwise provided under Sections 1(a), 1(b) or 1(d) of the Standard Terms and Conditions, no shares under the Performance-Based Option Award or the Time-Based Option Award will vest after Employee experiences a Termination of Service and any then unvested shares will be forfeited without consideration as of such Termination of Service. In the event of any conflict in terms between this Agreement and the Performance-Based Option Award or the Time-Based Option Award Agreement, the terms of the Performance-Based Option Award Agreement or the Time-Based Option Award Agreement, as applicable, will prevail and govern.</w:t>
      </w:r>
    </w:p>
    <w:p>
      <w:pPr>
        <w:spacing w:after="0" w:line="181" w:lineRule="exact"/>
        <w:rPr>
          <w:sz w:val="20"/>
          <w:szCs w:val="20"/>
          <w:color w:val="auto"/>
        </w:rPr>
      </w:pPr>
    </w:p>
    <w:p>
      <w:pPr>
        <w:jc w:val="both"/>
        <w:ind w:firstLine="999"/>
        <w:spacing w:after="0" w:line="260" w:lineRule="auto"/>
        <w:rPr>
          <w:sz w:val="20"/>
          <w:szCs w:val="20"/>
          <w:color w:val="auto"/>
        </w:rPr>
      </w:pPr>
      <w:r>
        <w:rPr>
          <w:rFonts w:ascii="Arial" w:cs="Arial" w:eastAsia="Arial" w:hAnsi="Arial"/>
          <w:sz w:val="20"/>
          <w:szCs w:val="20"/>
          <w:color w:val="auto"/>
        </w:rPr>
        <w:t>(iii)During the Term, Employee shall not receive any equity compensation awards, other than the Performance-Based Option Award and the Time-Based Option Award.</w:t>
      </w:r>
    </w:p>
    <w:p>
      <w:pPr>
        <w:spacing w:after="0" w:line="177" w:lineRule="exact"/>
        <w:rPr>
          <w:sz w:val="20"/>
          <w:szCs w:val="20"/>
          <w:color w:val="auto"/>
        </w:rPr>
      </w:pPr>
    </w:p>
    <w:p>
      <w:pPr>
        <w:jc w:val="both"/>
        <w:ind w:left="-660" w:firstLine="1304"/>
        <w:spacing w:after="0" w:line="257" w:lineRule="auto"/>
        <w:tabs>
          <w:tab w:leader="none" w:pos="127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During the Term, Employee will be eligible to participate in any welfare, health, life insurance, pension benefit, incentive, fringe benefit, perquisite and benefit plans, programs, policies and practices as may be adopted from time to time by the Company Group on the same basis as that provided to similarly situated employees of LTLLC generally; provided that, during the Term, Employee shall be provided with fringe benefits and perquisites (including, without limitation, reimbursement of country club dues) on a basis that is no less favorable than those provided to Employee as of the Commencement Date, provided however, that Employee’s personal use of Company aircraft will continue to be subject to the Company Group’s corporate aircraft policy and further provided that the Company retains the discretion as to whether or not to continue to have a Company aircraft (and what type of aircraft). Without limiting the generality of the foregoing, Employee will be eligible for the following benefits:</w:t>
      </w:r>
    </w:p>
    <w:p>
      <w:pPr>
        <w:spacing w:after="0" w:line="180" w:lineRule="exact"/>
        <w:rPr>
          <w:sz w:val="20"/>
          <w:szCs w:val="20"/>
          <w:color w:val="auto"/>
        </w:rPr>
      </w:pPr>
    </w:p>
    <w:p>
      <w:pPr>
        <w:jc w:val="both"/>
        <w:ind w:firstLine="1109"/>
        <w:spacing w:after="0" w:line="250"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Reimbursement for Business Expenses</w:t>
      </w:r>
      <w:r>
        <w:rPr>
          <w:rFonts w:ascii="Arial" w:cs="Arial" w:eastAsia="Arial" w:hAnsi="Arial"/>
          <w:sz w:val="20"/>
          <w:szCs w:val="20"/>
          <w:color w:val="auto"/>
        </w:rPr>
        <w:t>. During the Term, the Company Parties will reimburse Employee for all reasonable and necessary expenses incurred by Employee in performing Employee’s duties for the Company Group, on the same basis as</w:t>
      </w:r>
    </w:p>
    <w:p>
      <w:pPr>
        <w:sectPr>
          <w:pgSz w:w="11900" w:h="16838" w:orient="portrait"/>
          <w:cols w:equalWidth="0" w:num="1">
            <w:col w:w="10580"/>
          </w:cols>
          <w:pgMar w:left="980" w:top="1419" w:right="339" w:bottom="1440" w:gutter="0" w:footer="0" w:header="0"/>
        </w:sectPr>
      </w:pPr>
    </w:p>
    <w:bookmarkStart w:id="114" w:name="page115"/>
    <w:bookmarkEnd w:id="114"/>
    <w:p>
      <w:pPr>
        <w:ind w:left="660"/>
        <w:spacing w:after="0" w:line="260" w:lineRule="auto"/>
        <w:rPr>
          <w:sz w:val="20"/>
          <w:szCs w:val="20"/>
          <w:color w:val="auto"/>
        </w:rPr>
      </w:pPr>
      <w:r>
        <w:rPr>
          <w:rFonts w:ascii="Arial" w:cs="Arial" w:eastAsia="Arial" w:hAnsi="Arial"/>
          <w:sz w:val="20"/>
          <w:szCs w:val="20"/>
          <w:color w:val="auto"/>
        </w:rPr>
        <w:t>similarly situated employees of LTLLC generally and in accordance with the Company Group’s policies as in effect from time to time.</w:t>
      </w:r>
    </w:p>
    <w:p>
      <w:pPr>
        <w:spacing w:after="0" w:line="177" w:lineRule="exact"/>
        <w:rPr>
          <w:sz w:val="20"/>
          <w:szCs w:val="20"/>
          <w:color w:val="auto"/>
        </w:rPr>
      </w:pPr>
    </w:p>
    <w:p>
      <w:pPr>
        <w:ind w:left="660" w:firstLine="1054"/>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Employee will be eligible for paid vacation in accordance with the plans, policies, programs and practices of LTLLC applicable to similarly situated employees of LTLLC generally.</w:t>
      </w:r>
    </w:p>
    <w:p>
      <w:pPr>
        <w:spacing w:after="0" w:line="177" w:lineRule="exact"/>
        <w:rPr>
          <w:sz w:val="20"/>
          <w:szCs w:val="20"/>
          <w:color w:val="auto"/>
        </w:rPr>
      </w:pPr>
    </w:p>
    <w:p>
      <w:pPr>
        <w:jc w:val="both"/>
        <w:ind w:firstLine="656"/>
        <w:spacing w:after="0" w:line="246" w:lineRule="auto"/>
        <w:tabs>
          <w:tab w:leader="none" w:pos="129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under this Agreement will be in writing and will be given by email, first-class mail, certified or registered with return receipt requested or hand delivery, with email or hand delivery acknowledged in writing by the recipient personally, and will be deemed to have been duly given three days after mailing or immediately upon duly acknowledged email or hand delivery, as applicable, to the respective persons named below:</w:t>
      </w:r>
    </w:p>
    <w:p>
      <w:pPr>
        <w:spacing w:after="0" w:line="245"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20"/>
          <w:szCs w:val="20"/>
          <w:color w:val="auto"/>
        </w:rPr>
        <w:t>If to the Company Parties:</w:t>
      </w:r>
      <w:r>
        <w:rPr>
          <w:sz w:val="20"/>
          <w:szCs w:val="20"/>
          <w:color w:val="auto"/>
        </w:rPr>
        <w:tab/>
      </w:r>
      <w:r>
        <w:rPr>
          <w:rFonts w:ascii="Arial" w:cs="Arial" w:eastAsia="Arial" w:hAnsi="Arial"/>
          <w:sz w:val="18"/>
          <w:szCs w:val="18"/>
          <w:color w:val="auto"/>
        </w:rPr>
        <w:t>LendingTree, Inc.</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11115 Rushmore Drive</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Charlotte, NC 28277</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Attention: General Counsel &amp; Corporate Secretary</w:t>
      </w:r>
    </w:p>
    <w:p>
      <w:pPr>
        <w:spacing w:after="0" w:line="5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Legal@lendingtree.com</w:t>
      </w:r>
    </w:p>
    <w:p>
      <w:pPr>
        <w:spacing w:after="0" w:line="324"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20"/>
          <w:szCs w:val="20"/>
          <w:color w:val="auto"/>
        </w:rPr>
        <w:t>If to Employee:</w:t>
      </w:r>
      <w:r>
        <w:rPr>
          <w:sz w:val="20"/>
          <w:szCs w:val="20"/>
          <w:color w:val="auto"/>
        </w:rPr>
        <w:tab/>
      </w:r>
      <w:r>
        <w:rPr>
          <w:rFonts w:ascii="Arial" w:cs="Arial" w:eastAsia="Arial" w:hAnsi="Arial"/>
          <w:sz w:val="16"/>
          <w:szCs w:val="16"/>
          <w:color w:val="auto"/>
        </w:rPr>
        <w:t>At the most recent address on file at the Company Group.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Any party may change such party’s address for notices by notice duly given pursuant hereto.</w:t>
      </w:r>
    </w:p>
    <w:p>
      <w:pPr>
        <w:spacing w:after="0" w:line="216" w:lineRule="exact"/>
        <w:rPr>
          <w:sz w:val="20"/>
          <w:szCs w:val="20"/>
          <w:color w:val="auto"/>
        </w:rPr>
      </w:pPr>
    </w:p>
    <w:p>
      <w:pPr>
        <w:jc w:val="both"/>
        <w:ind w:firstLine="656"/>
        <w:spacing w:after="0" w:line="257"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Dispute Resolution</w:t>
      </w:r>
      <w:r>
        <w:rPr>
          <w:rFonts w:ascii="Arial" w:cs="Arial" w:eastAsia="Arial" w:hAnsi="Arial"/>
          <w:sz w:val="19"/>
          <w:szCs w:val="19"/>
          <w:color w:val="auto"/>
        </w:rPr>
        <w:t>. This Agreement and the legal relations thus created between the parties hereto will be governed by and construed under and in accordance with the laws of the State of North Carolina without reference to the principles of conflicts of laws. Except as set forth in Subsection (c) below, the parties agree that any dispute arising under this Agreement or involving the subject matter of this Agreement shall first be mediated and, if not resolved by mediation, submitted to mandatory binding arbitration as set forth below. The costs of any such mediation or arbitration proceedings shall be borne equally by the Company and Employee and neither party shall be entitled to recover attorneys’ fees or costs expended in the course of such mediation or arbitration or enforcement of the award rendered thereunder.</w:t>
      </w:r>
    </w:p>
    <w:p>
      <w:pPr>
        <w:spacing w:after="0" w:line="184" w:lineRule="exact"/>
        <w:rPr>
          <w:rFonts w:ascii="Arial" w:cs="Arial" w:eastAsia="Arial" w:hAnsi="Arial"/>
          <w:sz w:val="19"/>
          <w:szCs w:val="19"/>
          <w:color w:val="auto"/>
        </w:rPr>
      </w:pPr>
    </w:p>
    <w:p>
      <w:pPr>
        <w:jc w:val="both"/>
        <w:ind w:firstLine="1304"/>
        <w:spacing w:after="0" w:line="244" w:lineRule="auto"/>
        <w:tabs>
          <w:tab w:leader="none" w:pos="1934"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Mediation</w:t>
      </w:r>
      <w:r>
        <w:rPr>
          <w:rFonts w:ascii="Arial" w:cs="Arial" w:eastAsia="Arial" w:hAnsi="Arial"/>
          <w:sz w:val="20"/>
          <w:szCs w:val="20"/>
          <w:color w:val="auto"/>
        </w:rPr>
        <w:t>. No arbitration of any dispute between the parties shall occur until the parties’ dispute has been submitted to mediation. If the mediation does not resolve the dispute within sixty (60) days of the commencement of mediation (which period may be extended by mutual agreement), then the parties agree to immediately submit the dispute to binding arbitration. Otherwise, the dispute shall be mediated in conformity with the rules governing court-ordered mediation in the State of North Carolina then in effect at the time of the mediation.</w:t>
      </w:r>
    </w:p>
    <w:p>
      <w:pPr>
        <w:spacing w:after="0" w:line="194" w:lineRule="exact"/>
        <w:rPr>
          <w:rFonts w:ascii="Arial" w:cs="Arial" w:eastAsia="Arial" w:hAnsi="Arial"/>
          <w:sz w:val="20"/>
          <w:szCs w:val="20"/>
          <w:color w:val="auto"/>
        </w:rPr>
      </w:pPr>
    </w:p>
    <w:p>
      <w:pPr>
        <w:jc w:val="both"/>
        <w:ind w:firstLine="1304"/>
        <w:spacing w:after="0" w:line="272" w:lineRule="auto"/>
        <w:tabs>
          <w:tab w:leader="none" w:pos="193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In the event the parties do not resolve their dispute by mediation as set forth in Subsection (a) above, either party may commence an arbitration by making a demand on the other. The demand shall contain a short and concise statement of the claims that the party seeks to arbitrate. Within ten (10) calendar days, the responding party shall reply to the claimant’s demand with a short and concise statement of the responding party’s defenses, offsets, and counterclaims. The claimant shall then have ten (10) calendar days in which to reply to any counterclaims raised by the responding party by serving a short and concise statement of the claimant’s defenses and offsets. The arbitration shall be conducted in accordance with the employment arbitration rules of the American Arbitration Association (“AAA”), but not necessarily by or under the auspices of the AAA. Except as set forth in Subsection (c) below, the arbitration shall be the sole and exclusive means of resolving such disputes, and neither party shall initiate any action, suit, or proceeding in any court in respect of this Agreement except as may be necessary to enforce any such arbitration determination. The Federal</w:t>
      </w:r>
    </w:p>
    <w:p>
      <w:pPr>
        <w:sectPr>
          <w:pgSz w:w="11900" w:h="16838" w:orient="portrait"/>
          <w:cols w:equalWidth="0" w:num="1">
            <w:col w:w="11240"/>
          </w:cols>
          <w:pgMar w:left="320" w:top="1419" w:right="339" w:bottom="1440" w:gutter="0" w:footer="0" w:header="0"/>
        </w:sectPr>
      </w:pPr>
    </w:p>
    <w:bookmarkStart w:id="115" w:name="page116"/>
    <w:bookmarkEnd w:id="115"/>
    <w:p>
      <w:pPr>
        <w:ind w:right="20"/>
        <w:spacing w:after="0" w:line="260" w:lineRule="auto"/>
        <w:rPr>
          <w:sz w:val="20"/>
          <w:szCs w:val="20"/>
          <w:color w:val="auto"/>
        </w:rPr>
      </w:pPr>
      <w:r>
        <w:rPr>
          <w:rFonts w:ascii="Arial" w:cs="Arial" w:eastAsia="Arial" w:hAnsi="Arial"/>
          <w:sz w:val="20"/>
          <w:szCs w:val="20"/>
          <w:color w:val="auto"/>
        </w:rPr>
        <w:t>Arbitration Act, 9 U.S.C. §§ 1-16 (“FAA”), shall govern the parties’ obligation to arbitrate disputes. All awards of the arbitration will be non-appealable except as otherwise provided in the FAA.</w:t>
      </w:r>
    </w:p>
    <w:p>
      <w:pPr>
        <w:spacing w:after="0" w:line="177" w:lineRule="exact"/>
        <w:rPr>
          <w:sz w:val="20"/>
          <w:szCs w:val="20"/>
          <w:color w:val="auto"/>
        </w:rPr>
      </w:pPr>
    </w:p>
    <w:p>
      <w:pPr>
        <w:jc w:val="both"/>
        <w:ind w:firstLine="1304"/>
        <w:spacing w:after="0" w:line="246" w:lineRule="auto"/>
        <w:tabs>
          <w:tab w:leader="none" w:pos="1934"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Exclusions</w:t>
      </w:r>
      <w:r>
        <w:rPr>
          <w:rFonts w:ascii="Arial" w:cs="Arial" w:eastAsia="Arial" w:hAnsi="Arial"/>
          <w:sz w:val="20"/>
          <w:szCs w:val="20"/>
          <w:color w:val="auto"/>
        </w:rPr>
        <w:t>. Employee is not prohibited from pursuing an administrative claim with a federal or state administrative body that is authorized to enforce or administer laws related to employment. In addition, disputes arising under Section 2 of the Standard Terms and Conditions of this Agreement may be resolved either in court in the appropriate jurisdiction set forth above, or through mediation and arbitration as described above.</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several counterparts, each of which will be deemed to be an original but all of which together will constitute one and the same instrument. Employee expressly understands and acknowledges that the Standard Terms and Conditions, together with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attached hereto, are incorporated herein by reference, deemed a part of this Agreement and are binding and enforceable provisions of this Agreement. References to “this Agreement” or the use of the term “hereof’ will refer to this Agreement and the Standard Terms and Conditions, together with </w:t>
      </w:r>
      <w:r>
        <w:rPr>
          <w:rFonts w:ascii="Arial" w:cs="Arial" w:eastAsia="Arial" w:hAnsi="Arial"/>
          <w:sz w:val="18"/>
          <w:szCs w:val="18"/>
          <w:u w:val="single" w:color="auto"/>
          <w:color w:val="auto"/>
        </w:rPr>
        <w:t>Exhibits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attached hereto, taken as a whole.</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Effect on Prior Agreements</w:t>
      </w:r>
      <w:r>
        <w:rPr>
          <w:rFonts w:ascii="Arial" w:cs="Arial" w:eastAsia="Arial" w:hAnsi="Arial"/>
          <w:sz w:val="20"/>
          <w:szCs w:val="20"/>
          <w:color w:val="auto"/>
        </w:rPr>
        <w:t>. This Agreement, together with all Exhibits hereto, constitutes the entire agreement between the parties and supersedes any and all prior agreements, term sheets between the parties with respect to the subject matter hereof, including without limitation, the Prior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419" w:right="339" w:bottom="1440" w:gutter="0" w:footer="0" w:header="0"/>
        </w:sectPr>
      </w:pPr>
    </w:p>
    <w:bookmarkStart w:id="116" w:name="page117"/>
    <w:bookmarkEnd w:id="116"/>
    <w:p>
      <w:pPr>
        <w:ind w:firstLine="648"/>
        <w:spacing w:after="0" w:line="260" w:lineRule="auto"/>
        <w:rPr>
          <w:sz w:val="20"/>
          <w:szCs w:val="20"/>
          <w:color w:val="auto"/>
        </w:rPr>
      </w:pPr>
      <w:r>
        <w:rPr>
          <w:rFonts w:ascii="Arial" w:cs="Arial" w:eastAsia="Arial" w:hAnsi="Arial"/>
          <w:sz w:val="20"/>
          <w:szCs w:val="20"/>
          <w:color w:val="auto"/>
        </w:rPr>
        <w:t>IN WITNESS WHEREOF, each of the Company Parties has caused this Agreement to be executed and delivered by its duly authorized officer and Employee has executed and delivered this Agreement as of the Agreement Date.</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LENDINGTREE, INC.</w:t>
      </w:r>
    </w:p>
    <w:p>
      <w:pPr>
        <w:spacing w:after="0" w:line="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3077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7"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Jill Olmstead</w:t>
      </w:r>
    </w:p>
    <w:p>
      <w:pPr>
        <w:spacing w:after="0" w:line="54"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LENDINGTREE, LLC.</w:t>
      </w:r>
    </w:p>
    <w:p>
      <w:pPr>
        <w:spacing w:after="0" w:line="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Jill Olmstead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3077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7"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Jill Olmstead</w:t>
      </w:r>
    </w:p>
    <w:p>
      <w:pPr>
        <w:spacing w:after="0" w:line="54"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EMPLOYEE</w:t>
      </w:r>
    </w:p>
    <w:p>
      <w:pPr>
        <w:spacing w:after="0" w:line="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30772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47"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R. Lebda</w:t>
      </w:r>
    </w:p>
    <w:p>
      <w:pPr>
        <w:sectPr>
          <w:pgSz w:w="11900" w:h="16838" w:orient="portrait"/>
          <w:cols w:equalWidth="0" w:num="1">
            <w:col w:w="11240"/>
          </w:cols>
          <w:pgMar w:left="320" w:top="1419"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b w:val="1"/>
          <w:bCs w:val="1"/>
          <w:u w:val="single" w:color="auto"/>
          <w:color w:val="auto"/>
        </w:rPr>
        <w:t>STANDARD TERMS AND CONDITIONS</w:t>
      </w:r>
    </w:p>
    <w:p>
      <w:pPr>
        <w:spacing w:after="0" w:line="222"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Termination of Employee’s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71" w:lineRule="auto"/>
        <w:tabs>
          <w:tab w:leader="none" w:pos="193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Upon Employee’s Termination of Employment prior to the expiration of the Term by reason of Employee’s death, LTLLC will pay Employee’s designated beneficiary or beneficiaries or Employee’s estate (collectively, the “Beneficiary”), within 30 days of Employee’s death (or earlier, to the extent required by applicable law) in a lump sum in cash, (i) Employee’s Base Salary from the date of Employee’s death through the end of the month in which Employee’s death occurs and (ii) any Accrued Obligations (as defined in Section 1(f) below). Additionally, the Beneficiary will receive the payments and benefits described in clauses (A) through (C) below, but (with respect to clauses (A) through (C) below) only if the Beneficiary timely executes and does not revoke a general release of the Company Group and its affiliates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“Release”). If the Beneficiary does not execute the Release within forty-five (45) days following Employee’s Termination of Employment, or if the Beneficiary revokes the Release (the end of the permitted revocation period following execution without revocation being exercised, the “Release Effective Date”), Beneficiary’s entitlement to the payments and benefits described in clauses (A) through (C) below will immediately become null and void.</w:t>
      </w:r>
    </w:p>
    <w:p>
      <w:pPr>
        <w:spacing w:after="0" w:line="174" w:lineRule="exact"/>
        <w:rPr>
          <w:sz w:val="20"/>
          <w:szCs w:val="20"/>
          <w:color w:val="auto"/>
        </w:rPr>
      </w:pPr>
    </w:p>
    <w:p>
      <w:pPr>
        <w:ind w:left="660" w:firstLine="644"/>
        <w:spacing w:after="0" w:line="287" w:lineRule="auto"/>
        <w:tabs>
          <w:tab w:leader="none" w:pos="1947" w:val="left"/>
        </w:tabs>
        <w:numPr>
          <w:ilvl w:val="0"/>
          <w:numId w:val="52"/>
        </w:numPr>
        <w:rPr>
          <w:rFonts w:ascii="Arial" w:cs="Arial" w:eastAsia="Arial" w:hAnsi="Arial"/>
          <w:sz w:val="19"/>
          <w:szCs w:val="19"/>
          <w:color w:val="auto"/>
        </w:rPr>
      </w:pPr>
      <w:r>
        <w:rPr>
          <w:rFonts w:ascii="Arial" w:cs="Arial" w:eastAsia="Arial" w:hAnsi="Arial"/>
          <w:sz w:val="19"/>
          <w:szCs w:val="19"/>
          <w:color w:val="auto"/>
        </w:rPr>
        <w:t>Full vesting of the 2018 RSA Grant (as defined in the Prior Agreement) and the Time-Based Option Award as of Employee’s Termination of Employment if such grants were outstanding as of Employee’s Termination of Employment;</w:t>
      </w:r>
    </w:p>
    <w:p>
      <w:pPr>
        <w:spacing w:after="0" w:line="152" w:lineRule="exact"/>
        <w:rPr>
          <w:rFonts w:ascii="Arial" w:cs="Arial" w:eastAsia="Arial" w:hAnsi="Arial"/>
          <w:sz w:val="19"/>
          <w:szCs w:val="19"/>
          <w:color w:val="auto"/>
        </w:rPr>
      </w:pPr>
    </w:p>
    <w:p>
      <w:pPr>
        <w:jc w:val="both"/>
        <w:ind w:left="660" w:firstLine="644"/>
        <w:spacing w:after="0" w:line="291" w:lineRule="auto"/>
        <w:tabs>
          <w:tab w:leader="none" w:pos="19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portion of the 2017 Performance Option (as defined in the Prior Agreement) and the Performance-Based Option Award, each to the extent that they Performance Vested (each as defined in the applicable award agreement) as of Employee’s Termination of Employment, will become fully vested and exercisable as of the date of Employee’s Termination of Employment; and</w:t>
      </w:r>
    </w:p>
    <w:p>
      <w:pPr>
        <w:spacing w:after="0" w:line="151" w:lineRule="exact"/>
        <w:rPr>
          <w:rFonts w:ascii="Arial" w:cs="Arial" w:eastAsia="Arial" w:hAnsi="Arial"/>
          <w:sz w:val="18"/>
          <w:szCs w:val="18"/>
          <w:color w:val="auto"/>
        </w:rPr>
      </w:pPr>
    </w:p>
    <w:p>
      <w:pPr>
        <w:jc w:val="both"/>
        <w:ind w:left="660" w:firstLine="644"/>
        <w:spacing w:after="0" w:line="246" w:lineRule="auto"/>
        <w:tabs>
          <w:tab w:leader="none" w:pos="195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Employee’s Termination of Employment precedes December 31, 2021, the portion of the Performance-Based Option Award that has not Performance Vested as of Employee’s Termination of Employment will become fully vested and exercisable to the extent that the VWAP increase over the Base Price hurdles (as set forth in the Performance-Based Option Award Agreement) are attained on or before December 31, 2021.</w:t>
      </w:r>
    </w:p>
    <w:p>
      <w:pPr>
        <w:spacing w:after="0" w:line="191" w:lineRule="exact"/>
        <w:rPr>
          <w:sz w:val="20"/>
          <w:szCs w:val="20"/>
          <w:color w:val="auto"/>
        </w:rPr>
      </w:pPr>
    </w:p>
    <w:p>
      <w:pPr>
        <w:jc w:val="both"/>
        <w:ind w:firstLine="1304"/>
        <w:spacing w:after="0" w:line="268" w:lineRule="auto"/>
        <w:tabs>
          <w:tab w:leader="none" w:pos="193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Upon Employee’s Termination of Employment by LTLLC prior to expiration of the Term by reason of Employee’s Disability, LTLLC will pay Employee, within 30 days of such Termination of Employment (or earlier, to the extent required by applicable law) in a lump sum in cash, (i) Employee’s Base Salary from the date of Employee’s Termination of Employment due to Disability through the end of the month in which such Termination of Employment occurs, offset by any amounts payable to Employee under any disability insurance plan or policy provided by LTLLC and (ii) any Accrued Obligations (as defined in Section 1(f) below). “Disability” means a condition, resulting from bodily injury or disease, that renders, and for a six consecutive month period has rendered, Employee unable to perform substantially the duties pertaining to his employment with LTLLC. A return to work of less than 14 consecutive days will not be considered an interruption in Employee’s six consecutive months of disability. Disability will be determined by LTLLC on the basis of medical evidence satisfactory to LTLLC. Additionally, Employee will receive the payments and benefits described in Section 1(a) clauses</w:t>
      </w:r>
    </w:p>
    <w:p>
      <w:pPr>
        <w:spacing w:after="0" w:line="1" w:lineRule="exact"/>
        <w:rPr>
          <w:rFonts w:ascii="Arial" w:cs="Arial" w:eastAsia="Arial" w:hAnsi="Arial"/>
          <w:sz w:val="18"/>
          <w:szCs w:val="18"/>
          <w:color w:val="auto"/>
        </w:rPr>
      </w:pPr>
    </w:p>
    <w:p>
      <w:pPr>
        <w:jc w:val="both"/>
        <w:ind w:firstLine="8"/>
        <w:spacing w:after="0" w:line="241" w:lineRule="auto"/>
        <w:tabs>
          <w:tab w:leader="none" w:pos="335"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through (C) above, but (with respect to such above clauses (A) through (C)) only if Employee timely executes and does not revoke the Release. If Employee does not execute the Release within forty-five (45) days following Employee’s Termination of Employment, or if Employee revokes the Release before the Release Effective Date, Employee’s entitlement to the payments and benefits described in such above clauses (A) through (C) will immediately become null and void.</w:t>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8" w:firstLine="1304"/>
        <w:spacing w:after="0" w:line="268" w:lineRule="auto"/>
        <w:tabs>
          <w:tab w:leader="none" w:pos="192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for Cause: Resignation by Employee Without Good Reason</w:t>
      </w:r>
      <w:r>
        <w:rPr>
          <w:rFonts w:ascii="Arial" w:cs="Arial" w:eastAsia="Arial" w:hAnsi="Arial"/>
          <w:sz w:val="18"/>
          <w:szCs w:val="18"/>
          <w:color w:val="auto"/>
        </w:rPr>
        <w:t xml:space="preserve">. Subject to the terms of this Agreement, LTLLC may terminate Employee’s employment under this Agreement with or without Cause at any time. Similarly, subject to the terms of this Agreement, Employee may terminate his employment under this Agreement with or without Good Reason at any time. Upon Employee’s Termination of Employment prior to expiration of the Term by LTLLC for Cause or upon Employee’s resignation without Good Reason, this Agreement will terminate without further obligation by the Company Group, except for the payment of any Accrued Obligations (as defined in Section 1(f) below) within thirty (30) days of such Termination of Employment (or earlier, to the extent required by applicable law). As used herein, “Cause” means: (a) the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or conviction for, a felony offense; provided however that after indictment, the Company Group may suspend Employee from the rendition of services, but without limiting or modifying in any other way the Company Group’s obligations to Employee under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Employee’s employment will be immediately reinstated if the indictment is dismissed or otherwise dropped and there is not otherwise grounds to terminate Employee’s employment for Cause; (b) a material breach by Employee of a fiduciary duty owed to the Company Group; (c) a material breach by Employee of any of the covenants made by Employee in Section 2 hereof; or (d) the willful or gross neglect by Employee of the material duties required by this Agreement. Before a cessation of Employee’s employment can be deemed to be a Termination of Employment for Cause, (A) the Company Group must provide written notice to Employee that identifies the conduct described in clauses (b), (c) or (d) above, as applicable, and (B) in the event that the event or condition is curable, Employee will have failed to remedy such event or condition within 30 days after Employee has received the written notice from the Company Group described above. As used herein, “Good Reason” means the occurrence of any of the following without Employee’s written consent, (i) a material adverse change in Employee’s title at the Company, duties for the Company Group, operational authorities or reporting responsibilities as they relate to Employee’s position as Chairman and Chief Executive Officer of the Company from those in effect immediately following the Agreement Date, excluding for this purpose any such change that is an isolated and inadvertent action not taken in bad faith and that is remedied by the Company Group promptly after receipt of notice thereof given by Employee and for purposes of this subclause it shall be considered a material adverse change if immediately following a Change of Control (as defined below) Employee is not the chief executive officer of the ultimate parent entity of the combined or surviving entity resulting from such Change of Control, (ii) a material reduction in Employee’s annual base salary, (iii) a relocation of Employee’s principal place of business more than 25 miles from the Charlotte, North Carolina metropolitan area, or (iv) a material breach by the Company Group of this Agreement, excluding for this purpose any such action that is an isolated and inadvertent action not taken in bad faith and that is remedied by the Company Group promptly after receipt of notice thereof given by Employee.</w:t>
      </w:r>
    </w:p>
    <w:p>
      <w:pPr>
        <w:spacing w:after="0" w:line="173" w:lineRule="exact"/>
        <w:rPr>
          <w:rFonts w:ascii="Arial" w:cs="Arial" w:eastAsia="Arial" w:hAnsi="Arial"/>
          <w:sz w:val="18"/>
          <w:szCs w:val="18"/>
          <w:color w:val="auto"/>
        </w:rPr>
      </w:pPr>
    </w:p>
    <w:p>
      <w:pPr>
        <w:jc w:val="both"/>
        <w:ind w:left="-8" w:firstLine="1304"/>
        <w:spacing w:after="0" w:line="269" w:lineRule="auto"/>
        <w:tabs>
          <w:tab w:leader="none" w:pos="192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or Cause; Resignation by Employee For Good Reason</w:t>
      </w:r>
      <w:r>
        <w:rPr>
          <w:rFonts w:ascii="Arial" w:cs="Arial" w:eastAsia="Arial" w:hAnsi="Arial"/>
          <w:sz w:val="18"/>
          <w:szCs w:val="18"/>
          <w:color w:val="auto"/>
        </w:rPr>
        <w:t>. Subject to Section 1(g), upon Employee’s Termination of Employment with LTLLC prior to expiration of the Term (i) by LTLLC without Cause (other than for death or Disability) or (ii) upon Employee’s resignation for Good Reason (either such termination, a “Qualifying Termination”), Employee will receive (x) payment of the Accrued Obligations within thirty (30) days of such Qualifying Termination (or earlier, to the extent required by applicable law) and (y) the payments and benefits described in clauses (A) through (I) below, but (with respect to clauses</w:t>
      </w:r>
    </w:p>
    <w:p>
      <w:pPr>
        <w:spacing w:after="0" w:line="3" w:lineRule="exact"/>
        <w:rPr>
          <w:rFonts w:ascii="Arial" w:cs="Arial" w:eastAsia="Arial" w:hAnsi="Arial"/>
          <w:sz w:val="18"/>
          <w:szCs w:val="18"/>
          <w:color w:val="auto"/>
        </w:rPr>
      </w:pPr>
    </w:p>
    <w:p>
      <w:pPr>
        <w:jc w:val="both"/>
        <w:ind w:left="-8" w:firstLine="8"/>
        <w:spacing w:after="0" w:line="257" w:lineRule="auto"/>
        <w:tabs>
          <w:tab w:leader="none" w:pos="333"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through (I) below) only if Employee timely executes and does not revoke the Release and Employee complies in all material respects with his obligations under Sections 2(a) through 2(e). If Employee does not execute the Release within forty-five (45) days following the date of such Qualifying Termination, or if Employee revokes the Release before the Release Effective Date, Employee’s entitlement to the payments and benefits described in clauses (A) through (I) below will immediately become null and void.</w:t>
      </w:r>
    </w:p>
    <w:p>
      <w:pPr>
        <w:sectPr>
          <w:pgSz w:w="11900" w:h="16838" w:orient="portrait"/>
          <w:cols w:equalWidth="0" w:num="1">
            <w:col w:w="11232"/>
          </w:cols>
          <w:pgMar w:left="328" w:top="1419" w:right="339" w:bottom="1440" w:gutter="0" w:footer="0" w:header="0"/>
        </w:sectPr>
      </w:pPr>
    </w:p>
    <w:bookmarkStart w:id="119" w:name="page120"/>
    <w:bookmarkEnd w:id="119"/>
    <w:p>
      <w:pPr>
        <w:jc w:val="both"/>
        <w:ind w:firstLine="644"/>
        <w:spacing w:after="0" w:line="244" w:lineRule="auto"/>
        <w:tabs>
          <w:tab w:leader="none" w:pos="12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 amount (the “Severance Amount”) equal to the greater of: (i) the amount of Base Salary (calculated using Employee’s then-current Base Salary) that Employee would have received had his employment continued over the period commencing on the date of the Qualifying Termination and ending on the second anniversary of the date of the Qualifying Termination, or (ii) the amount of Employee’s then-current Base Salary plus Employee’s target annual bonus for the bonus program in effect for Employee for the year in which Employee’s employment terminates.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Severance Amount will be paid in substantially equal payments over the two year period following the date of Qualifying Termination in accordance with LTLLC’s normal payroll practices in effect at the time of Employee’s Qualifying Termination beginning on the regularly scheduled payroll date immediately following the Release Effective Date provided however that if the Severance Amount is determined to be “nonqualified deferred compensation” that is subject to Section 409A (as defined below), then the first installment will be paid on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Qualifying Termination and will include the amount of all payments that would have been made after the Release Effective Date but before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such Qualifying Termination, and the remaining Severance Amount will be payable in installments as specified above on LTLLC’s regularly scheduled payroll dates following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such Qualifying Termination;</w:t>
      </w:r>
    </w:p>
    <w:p>
      <w:pPr>
        <w:spacing w:after="0" w:line="102" w:lineRule="exact"/>
        <w:rPr>
          <w:sz w:val="20"/>
          <w:szCs w:val="20"/>
          <w:color w:val="auto"/>
        </w:rPr>
      </w:pPr>
    </w:p>
    <w:p>
      <w:pPr>
        <w:jc w:val="both"/>
        <w:ind w:firstLine="644"/>
        <w:spacing w:after="0" w:line="278" w:lineRule="auto"/>
        <w:tabs>
          <w:tab w:leader="none" w:pos="1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cash lump-sum payment in an amount equal to the pro-rated portion of Employee’s annual bonus for the Company’s fiscal year in which the Qualifying Termination occurs based on actual performance achieved for such year (as if the entire annual bonus was based solely on the applicable Company performance metrics and without regard to any assessment of personal performance), with such proration based on the ratio of the number of days employed during such year to 365 (the amount of such payment, the “Pro-Rated Annual Bonus”), and paid when annual bonuses are paid to other employees;</w:t>
      </w:r>
    </w:p>
    <w:p>
      <w:pPr>
        <w:spacing w:after="0" w:line="164" w:lineRule="exact"/>
        <w:rPr>
          <w:rFonts w:ascii="Arial" w:cs="Arial" w:eastAsia="Arial" w:hAnsi="Arial"/>
          <w:sz w:val="18"/>
          <w:szCs w:val="18"/>
          <w:color w:val="auto"/>
        </w:rPr>
      </w:pPr>
    </w:p>
    <w:p>
      <w:pPr>
        <w:jc w:val="both"/>
        <w:ind w:firstLine="644"/>
        <w:spacing w:after="0" w:line="257" w:lineRule="auto"/>
        <w:tabs>
          <w:tab w:leader="none" w:pos="129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Employee timely making such requisite elections to continue such coverages, Employee will continue to receive group health and life insurance coverage by LTLLC for Employee and his dependents for up to 18 months after the Qualifying Termination on the same terms as if Employee was still a full-time active employee of LTLLC during such period (with Employee continuing to pay the same dollar amount for such coverage that he would need to pay if he were still an active employee), provided, that as soon as Employee is offered health insurance coverage in connection with new employment, then Employee’s status for purposes of this clause (C) will solely be that of a former employee of LTLLC (and any further coverages will be provided on that basis and not as if Employee was still a full-time active employee of LTLLC).</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any provision of this Agreement to the contrary but subject to the same terms and conditions set forth in the preceding paragraph, if LTLLC determines, in its sole discretion, that it cannot provide such COBRA premium payment benefits without adverse tax consequences to Employee or LTLLC or for any other reason, then LTLLC shall, in lieu thereof, provide to Employee a taxable monthly amount equal to the monthly plan premium payment in substantially equal monthly installments over such 18-month period (or the remaining portion thereof). The benefits described in this clause (C) (both the continuation of benefits and taxable cash payment), including the applicable terms and conditions, are referred to herein as the “Continued Health Benefit;”</w:t>
      </w:r>
    </w:p>
    <w:p>
      <w:pPr>
        <w:spacing w:after="0" w:line="165" w:lineRule="exact"/>
        <w:rPr>
          <w:sz w:val="20"/>
          <w:szCs w:val="20"/>
          <w:color w:val="auto"/>
        </w:rPr>
      </w:pPr>
    </w:p>
    <w:p>
      <w:pPr>
        <w:jc w:val="both"/>
        <w:ind w:firstLine="644"/>
        <w:spacing w:after="0" w:line="250" w:lineRule="auto"/>
        <w:tabs>
          <w:tab w:leader="none" w:pos="1287"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Provided that Employee’s Qualifying Termination also constitutes a Termination of Service, with respect to any performance-based equity compensation award (excluding the 2018 RSA Grant, the 2017 Performance Option, the 2018 Performance Awards</w:t>
      </w:r>
    </w:p>
    <w:p>
      <w:pPr>
        <w:sectPr>
          <w:pgSz w:w="11900" w:h="16838" w:orient="portrait"/>
          <w:cols w:equalWidth="0" w:num="1">
            <w:col w:w="10580"/>
          </w:cols>
          <w:pgMar w:left="980" w:top="1419" w:right="339" w:bottom="1440" w:gutter="0" w:footer="0" w:header="0"/>
        </w:sectPr>
      </w:pPr>
    </w:p>
    <w:bookmarkStart w:id="120" w:name="page121"/>
    <w:bookmarkEnd w:id="120"/>
    <w:p>
      <w:pPr>
        <w:jc w:val="both"/>
        <w:spacing w:after="0" w:line="257" w:lineRule="auto"/>
        <w:rPr>
          <w:sz w:val="20"/>
          <w:szCs w:val="20"/>
          <w:color w:val="auto"/>
        </w:rPr>
      </w:pPr>
      <w:r>
        <w:rPr>
          <w:rFonts w:ascii="Arial" w:cs="Arial" w:eastAsia="Arial" w:hAnsi="Arial"/>
          <w:sz w:val="19"/>
          <w:szCs w:val="19"/>
          <w:color w:val="auto"/>
        </w:rPr>
        <w:t>(as defined in the Prior Agreement) and the Performance-Based Option Award) then-outstanding with respect to which Employee has not yet vested as of the date of the Qualifying Termination, such award will remain eligible to vest and will become fully and immediately exercisable in accordance with the terms of the applicable award agreement evidencing such award following the completion of the applicable performance period in an amount equal to (i) the total number of shares, if any, that would have been ultimately awarded thereunder following completion of the performance period applicable to such award, multiplied by (ii) a fraction, the numerator of which is the number of days Employee was employed from the grant date of the award to the date of Employee’s Qualifying Termination, and the denominator of which is the number of days from the grant date to the latest in time date of any performance period in the applicable award.</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sake of clarity, in the event that Employee’s Qualifying Termination does not also constitute a Termination of Service, with respect to any performance-based equity compensation award (excluding the 2018 RSA Grant, the 2017 Performance Option, the 2018 Performance Awards and the Performance-Based Option Award) then-outstanding with respect to which Employee has not yet vested as of the date of the Qualifying Termination, such award will remain eligible to vest and will become fully and immediately exercisable in accordance with the terms of the applicable award agreement evidencing such award following the completion of the applicable performance period in an amount equal to the total number of shares, if any, that would have been ultimately awarded thereunder following completion of the performance period applicable to such award; provided that there is no Termination of Service prior to the completion of such performance period.</w:t>
      </w:r>
    </w:p>
    <w:p>
      <w:pPr>
        <w:spacing w:after="0" w:line="180" w:lineRule="exact"/>
        <w:rPr>
          <w:sz w:val="20"/>
          <w:szCs w:val="20"/>
          <w:color w:val="auto"/>
        </w:rPr>
      </w:pPr>
    </w:p>
    <w:p>
      <w:pPr>
        <w:jc w:val="both"/>
        <w:ind w:firstLine="644"/>
        <w:spacing w:after="0" w:line="260" w:lineRule="auto"/>
        <w:tabs>
          <w:tab w:leader="none" w:pos="12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respect to Employee’s then-outstanding unvested Company compensatory equity awards held by Employee that vest solely based on Employee’s continued service to the Company Group, excluding the Time-Based Option Award (the “Time-Based Equity Awards”), such portion of the Time-Based Equity Awards that would otherwise have become vested and exercisable by the second anniversary of the date of Qualifying Termination had Employee’s employment not been terminated will become fully vested and immediately exercisable as of the date of Qualifying Termination;</w:t>
      </w:r>
    </w:p>
    <w:p>
      <w:pPr>
        <w:spacing w:after="0" w:line="180" w:lineRule="exact"/>
        <w:rPr>
          <w:rFonts w:ascii="Arial" w:cs="Arial" w:eastAsia="Arial" w:hAnsi="Arial"/>
          <w:sz w:val="19"/>
          <w:szCs w:val="19"/>
          <w:color w:val="auto"/>
        </w:rPr>
      </w:pPr>
    </w:p>
    <w:p>
      <w:pPr>
        <w:jc w:val="both"/>
        <w:ind w:firstLine="644"/>
        <w:spacing w:after="0" w:line="278"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Employee’s then-outstanding vested stock options, excluding the Time-Based Option Award, (1) any restrictions on delaying Employee’s ability to exercise otherwise vested stock options will be removed as of the date of Qualifying Termination and (2) Employee will be able to exercise such vested stock options until the earliest of (i) their applicable expiration date, (ii) the date of a Change of Control of the Company (as defined in this Agreement) in which the stock options are not being continued, assumed, converted, or otherwise substituted for, or (iii) the first anniversary of the Qualifying Termination;</w:t>
      </w:r>
    </w:p>
    <w:p>
      <w:pPr>
        <w:spacing w:after="0" w:line="164" w:lineRule="exact"/>
        <w:rPr>
          <w:rFonts w:ascii="Arial" w:cs="Arial" w:eastAsia="Arial" w:hAnsi="Arial"/>
          <w:sz w:val="18"/>
          <w:szCs w:val="18"/>
          <w:color w:val="auto"/>
        </w:rPr>
      </w:pPr>
    </w:p>
    <w:p>
      <w:pPr>
        <w:jc w:val="both"/>
        <w:ind w:firstLine="644"/>
        <w:spacing w:after="0" w:line="246" w:lineRule="auto"/>
        <w:tabs>
          <w:tab w:leader="none" w:pos="1287"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the 2018 RSA Grant or the Time-Based Option Award is then-outstanding, then such portion of the 2018 RSA Grant or the Time-Based Option Award that would otherwise have become vested by the second anniversary of the date of Qualifying Termination had Employee’s employment not been terminated will become fully vested and immediately exercisable as of the date of Qualifying Termination;</w:t>
      </w:r>
    </w:p>
    <w:p>
      <w:pPr>
        <w:spacing w:after="0" w:line="191" w:lineRule="exact"/>
        <w:rPr>
          <w:rFonts w:ascii="Arial" w:cs="Arial" w:eastAsia="Arial" w:hAnsi="Arial"/>
          <w:sz w:val="20"/>
          <w:szCs w:val="20"/>
          <w:color w:val="auto"/>
        </w:rPr>
      </w:pPr>
    </w:p>
    <w:p>
      <w:pPr>
        <w:jc w:val="both"/>
        <w:ind w:firstLine="644"/>
        <w:spacing w:after="0" w:line="250" w:lineRule="auto"/>
        <w:tabs>
          <w:tab w:leader="none" w:pos="1287"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portion of the 2017 Performance Option and the Performance-Based Option Award, each to the extent that they Performance Vested as of the date of Qualifying Termination, will be fully vested and immediately exercisable as of such Qualifying Termination; and</w:t>
      </w:r>
    </w:p>
    <w:p>
      <w:pPr>
        <w:spacing w:after="0" w:line="185" w:lineRule="exact"/>
        <w:rPr>
          <w:rFonts w:ascii="Arial" w:cs="Arial" w:eastAsia="Arial" w:hAnsi="Arial"/>
          <w:sz w:val="20"/>
          <w:szCs w:val="20"/>
          <w:color w:val="auto"/>
        </w:rPr>
      </w:pPr>
    </w:p>
    <w:p>
      <w:pPr>
        <w:ind w:firstLine="644"/>
        <w:spacing w:after="0" w:line="260" w:lineRule="auto"/>
        <w:tabs>
          <w:tab w:leader="none" w:pos="129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portion of the 2017 Performance Option (and the 2018 Performance Awards if they were outstanding) and the Performance-Based Option Award that were not</w:t>
      </w:r>
    </w:p>
    <w:p>
      <w:pPr>
        <w:sectPr>
          <w:pgSz w:w="11900" w:h="16838" w:orient="portrait"/>
          <w:cols w:equalWidth="0" w:num="1">
            <w:col w:w="10580"/>
          </w:cols>
          <w:pgMar w:left="980" w:top="1419" w:right="339" w:bottom="1440" w:gutter="0" w:footer="0" w:header="0"/>
        </w:sectPr>
      </w:pPr>
    </w:p>
    <w:bookmarkStart w:id="121" w:name="page122"/>
    <w:bookmarkEnd w:id="121"/>
    <w:p>
      <w:pPr>
        <w:jc w:val="both"/>
        <w:spacing w:after="0" w:line="244" w:lineRule="auto"/>
        <w:rPr>
          <w:sz w:val="20"/>
          <w:szCs w:val="20"/>
          <w:color w:val="auto"/>
        </w:rPr>
      </w:pPr>
      <w:r>
        <w:rPr>
          <w:rFonts w:ascii="Arial" w:cs="Arial" w:eastAsia="Arial" w:hAnsi="Arial"/>
          <w:sz w:val="20"/>
          <w:szCs w:val="20"/>
          <w:color w:val="auto"/>
        </w:rPr>
        <w:t>Performance Vested as of the date of Qualifying Termination will become fully vested and immediately exercisable as of such date to the extent that the VWAP increase over the Base Price hurdles (as set forth in the applicable award agreement) are attained as of the date of Qualifying Termination with such last performance measurement based on the VWAP for the 30 consecutive day period ending on the date of Qualifying Termination (rather than at the end of the fiscal quarter in which the Qualifying Termination occurred as set forth in the applicable award agreement).</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in no event will Employee’s resignation be for Good Reason unless (x) an event or circumstance set forth in any of clauses (i) through (iv) of the definition thereof will have occurred and Employee provides the Company with written notice thereof within forty-five (45) days after Employee has knowledge of the occurrence or existence of such event or circumstance, which notice specifically identifies the event or circumstance that Employee believes constitutes Good Reason, (y) the Company Group fails to correct the circumstance or event so identified within thirty (30) days after the receipt of such notice, and (z) Employee resigns within ninety (90) days after the date of delivery of the notice referred to in clause (x) above.</w:t>
      </w:r>
    </w:p>
    <w:p>
      <w:pPr>
        <w:spacing w:after="0" w:line="165" w:lineRule="exact"/>
        <w:rPr>
          <w:sz w:val="20"/>
          <w:szCs w:val="20"/>
          <w:color w:val="auto"/>
        </w:rPr>
      </w:pPr>
    </w:p>
    <w:p>
      <w:pPr>
        <w:jc w:val="both"/>
        <w:ind w:left="-660" w:firstLine="1304"/>
        <w:spacing w:after="0" w:line="243" w:lineRule="auto"/>
        <w:tabs>
          <w:tab w:leader="none" w:pos="127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Mitigation; Offset</w:t>
      </w:r>
      <w:r>
        <w:rPr>
          <w:rFonts w:ascii="Arial" w:cs="Arial" w:eastAsia="Arial" w:hAnsi="Arial"/>
          <w:sz w:val="20"/>
          <w:szCs w:val="20"/>
          <w:color w:val="auto"/>
        </w:rPr>
        <w:t>. In the event of Employee’s Termination of Employment prior to the end of the Term, in no event will Employee be obligated to seek other employment or take any other action by way of mitigation of severance benefits or other compensation or benefits. If Employee obtains other employment during the Term, the amount of any severance payments to be made to Employee under Section 1(d) hereof after the date such employment is secured will be offset by the amount of compensation earned by Employee from such employment through the end of the Term. For purposes of this Section 1(e), Employee will have an obligation to inform the Company promptly regarding Employee’s employment status following Employee’s Termination of Employment and during the period encompassing the Term.</w:t>
      </w:r>
    </w:p>
    <w:p>
      <w:pPr>
        <w:spacing w:after="0" w:line="192" w:lineRule="exact"/>
        <w:rPr>
          <w:rFonts w:ascii="Arial" w:cs="Arial" w:eastAsia="Arial" w:hAnsi="Arial"/>
          <w:sz w:val="20"/>
          <w:szCs w:val="20"/>
          <w:color w:val="auto"/>
        </w:rPr>
      </w:pPr>
    </w:p>
    <w:p>
      <w:pPr>
        <w:jc w:val="both"/>
        <w:ind w:left="-660" w:firstLine="1304"/>
        <w:spacing w:after="0" w:line="256" w:lineRule="auto"/>
        <w:tabs>
          <w:tab w:leader="none" w:pos="127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As used in this Agreement, “Accrued Obligations” will mean the sum of (i) any portion of Employee’s accrued but unpaid Base Salary through the date of death or Employee’s Termination of Employment for any reason, as the case may be; any annual bonus earned, but unpaid, as of the date of Employee’s Termination of Employment for the immediately preceding fiscal year; (iii) any compensation previously earned but deferred by Employee (together with any interest or earnings thereon) that has not yet been paid, (iv) any reasonable and necessary business expenses incurred by Employee prior to the date of Employee’s Termination of Employment but not yet reimbursed and (v) any benefits earned by Employee (excluding any then-outstanding equity compensation awards which will continue to be governed by their applicable terms and conditions) but unpaid or unused at the date of Employee’s Termination of Employment provided that the payout of these benefits is consistent with the plans, policies, programs and practices of LTLLC at the date of Employee’s Termination of Employment.</w:t>
      </w:r>
    </w:p>
    <w:p>
      <w:pPr>
        <w:spacing w:after="0" w:line="184" w:lineRule="exact"/>
        <w:rPr>
          <w:rFonts w:ascii="Arial" w:cs="Arial" w:eastAsia="Arial" w:hAnsi="Arial"/>
          <w:sz w:val="19"/>
          <w:szCs w:val="19"/>
          <w:color w:val="auto"/>
        </w:rPr>
      </w:pPr>
    </w:p>
    <w:p>
      <w:pPr>
        <w:jc w:val="both"/>
        <w:ind w:left="-660" w:firstLine="1304"/>
        <w:spacing w:after="0" w:line="256" w:lineRule="auto"/>
        <w:tabs>
          <w:tab w:leader="none" w:pos="127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For purposes of this Agreement, a “Change of Control” results when: (i) any person or entity, other than Employee or persons or entities having beneficial ownership of securities of the Company also beneficially owned by Employee (a “Lebda Beneficial Owner”)), becomes a beneficial owner, directly or indirectly, of securities of the Company representing fifty percent or more of the total voting power of all of the Company’s then outstanding voting securities, excluding such event occurring via the acquisition by such person or entity of beneficial ownership of securities from, or via the sharing of beneficial ownership with, a Lebda Beneficial Owner,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w:t>
      </w:r>
    </w:p>
    <w:p>
      <w:pPr>
        <w:sectPr>
          <w:pgSz w:w="11900" w:h="16838" w:orient="portrait"/>
          <w:cols w:equalWidth="0" w:num="1">
            <w:col w:w="10580"/>
          </w:cols>
          <w:pgMar w:left="980" w:top="1419" w:right="33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0"/>
          <w:szCs w:val="20"/>
          <w:color w:val="auto"/>
        </w:rPr>
        <w:t>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86" w:lineRule="exact"/>
        <w:rPr>
          <w:sz w:val="20"/>
          <w:szCs w:val="20"/>
          <w:color w:val="auto"/>
        </w:rPr>
      </w:pPr>
    </w:p>
    <w:p>
      <w:pPr>
        <w:ind w:left="1940" w:hanging="636"/>
        <w:spacing w:after="0"/>
        <w:tabs>
          <w:tab w:leader="none" w:pos="1940"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a Change of Control occurs while Employee is employed by LTLLC then the benefits described in clauses</w:t>
      </w:r>
    </w:p>
    <w:p>
      <w:pPr>
        <w:spacing w:after="0" w:line="27" w:lineRule="exact"/>
        <w:rPr>
          <w:rFonts w:ascii="Arial" w:cs="Arial" w:eastAsia="Arial" w:hAnsi="Arial"/>
          <w:sz w:val="19"/>
          <w:szCs w:val="19"/>
          <w:color w:val="auto"/>
        </w:rPr>
      </w:pPr>
    </w:p>
    <w:p>
      <w:pPr>
        <w:ind w:left="900" w:hanging="244"/>
        <w:spacing w:after="0"/>
        <w:tabs>
          <w:tab w:leader="none" w:pos="9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through (v) below will be provided to Employee automatically upon the Change of Control:</w:t>
      </w:r>
    </w:p>
    <w:p>
      <w:pPr>
        <w:spacing w:after="0" w:line="199" w:lineRule="exact"/>
        <w:rPr>
          <w:rFonts w:ascii="Arial" w:cs="Arial" w:eastAsia="Arial" w:hAnsi="Arial"/>
          <w:sz w:val="20"/>
          <w:szCs w:val="20"/>
          <w:color w:val="auto"/>
        </w:rPr>
      </w:pPr>
    </w:p>
    <w:p>
      <w:pPr>
        <w:ind w:left="660" w:firstLine="1292"/>
        <w:spacing w:after="0" w:line="260" w:lineRule="auto"/>
        <w:tabs>
          <w:tab w:leader="none" w:pos="2603" w:val="left"/>
        </w:tabs>
        <w:numPr>
          <w:ilvl w:val="2"/>
          <w:numId w:val="63"/>
        </w:numPr>
        <w:rPr>
          <w:rFonts w:ascii="Arial" w:cs="Arial" w:eastAsia="Arial" w:hAnsi="Arial"/>
          <w:sz w:val="20"/>
          <w:szCs w:val="20"/>
          <w:color w:val="auto"/>
        </w:rPr>
      </w:pPr>
      <w:r>
        <w:rPr>
          <w:rFonts w:ascii="Arial" w:cs="Arial" w:eastAsia="Arial" w:hAnsi="Arial"/>
          <w:sz w:val="20"/>
          <w:szCs w:val="20"/>
          <w:color w:val="auto"/>
        </w:rPr>
        <w:t>All then-outstanding Time-Based Equity Awards held by Employee will become fully vested and immediately exercisable immediately prior to such Change of Control;</w:t>
      </w:r>
    </w:p>
    <w:p>
      <w:pPr>
        <w:spacing w:after="0" w:line="176" w:lineRule="exact"/>
        <w:rPr>
          <w:rFonts w:ascii="Arial" w:cs="Arial" w:eastAsia="Arial" w:hAnsi="Arial"/>
          <w:sz w:val="20"/>
          <w:szCs w:val="20"/>
          <w:color w:val="auto"/>
        </w:rPr>
      </w:pPr>
    </w:p>
    <w:p>
      <w:pPr>
        <w:jc w:val="both"/>
        <w:ind w:left="660" w:firstLine="1292"/>
        <w:spacing w:after="0" w:line="278" w:lineRule="auto"/>
        <w:tabs>
          <w:tab w:leader="none" w:pos="260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All then-outstanding unvested Company compensatory equity awards held by Employee that are subject to performance-based vesting (other than the 2018 RSA Grant, the 2017 Performance Option, the 2018 Performance Awards and the Performance-Based Option Award) will become fully vested and immediately exercisable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pacing w:after="0" w:line="164" w:lineRule="exact"/>
        <w:rPr>
          <w:rFonts w:ascii="Arial" w:cs="Arial" w:eastAsia="Arial" w:hAnsi="Arial"/>
          <w:sz w:val="18"/>
          <w:szCs w:val="18"/>
          <w:color w:val="auto"/>
        </w:rPr>
      </w:pPr>
    </w:p>
    <w:p>
      <w:pPr>
        <w:ind w:left="660" w:firstLine="1292"/>
        <w:spacing w:after="0" w:line="260" w:lineRule="auto"/>
        <w:tabs>
          <w:tab w:leader="none" w:pos="2593" w:val="left"/>
        </w:tabs>
        <w:numPr>
          <w:ilvl w:val="2"/>
          <w:numId w:val="63"/>
        </w:numPr>
        <w:rPr>
          <w:rFonts w:ascii="Arial" w:cs="Arial" w:eastAsia="Arial" w:hAnsi="Arial"/>
          <w:sz w:val="20"/>
          <w:szCs w:val="20"/>
          <w:color w:val="auto"/>
        </w:rPr>
      </w:pPr>
      <w:r>
        <w:rPr>
          <w:rFonts w:ascii="Arial" w:cs="Arial" w:eastAsia="Arial" w:hAnsi="Arial"/>
          <w:sz w:val="20"/>
          <w:szCs w:val="20"/>
          <w:color w:val="auto"/>
        </w:rPr>
        <w:t>Any then-outstanding unvested portion of the 2018 RSA Grant and the Time-Based Stock Option Award will become fully vested and fully exercisable immediately prior to the Change of Control;</w:t>
      </w:r>
    </w:p>
    <w:p>
      <w:pPr>
        <w:spacing w:after="0" w:line="176" w:lineRule="exact"/>
        <w:rPr>
          <w:rFonts w:ascii="Arial" w:cs="Arial" w:eastAsia="Arial" w:hAnsi="Arial"/>
          <w:sz w:val="20"/>
          <w:szCs w:val="20"/>
          <w:color w:val="auto"/>
        </w:rPr>
      </w:pPr>
    </w:p>
    <w:p>
      <w:pPr>
        <w:jc w:val="both"/>
        <w:ind w:left="660" w:firstLine="1292"/>
        <w:spacing w:after="0" w:line="272" w:lineRule="auto"/>
        <w:tabs>
          <w:tab w:leader="none" w:pos="2592" w:val="left"/>
        </w:tabs>
        <w:numPr>
          <w:ilvl w:val="2"/>
          <w:numId w:val="63"/>
        </w:numPr>
        <w:rPr>
          <w:rFonts w:ascii="Arial" w:cs="Arial" w:eastAsia="Arial" w:hAnsi="Arial"/>
          <w:sz w:val="18"/>
          <w:szCs w:val="18"/>
          <w:color w:val="auto"/>
        </w:rPr>
      </w:pPr>
      <w:r>
        <w:rPr>
          <w:rFonts w:ascii="Arial" w:cs="Arial" w:eastAsia="Arial" w:hAnsi="Arial"/>
          <w:sz w:val="18"/>
          <w:szCs w:val="18"/>
          <w:color w:val="auto"/>
        </w:rPr>
        <w:t>With respect to any then-outstanding 2017 Performance Option, 2018 Performance Option, 2018 Performance RSA (as defined in the Prior Agreement) and Performance-Based Option Award, (x) any portion of those awards that are not Performance Vested as of immediately prior to such Change of Control will be measured as of the fifth business day before the Change of Control pursuant to the terms of the applicable award agreements evidencing such awards, except that the VWAP (as defined in the applicable award agreement) will be replaced with the Company’s closing share price on the fifth business day before the Change of Control, and to the extent that the performance goals are achieved after giving effect to such measurement, such portion of the 2017 Performance Option, 2018 Performance Option, 2018 Performance RSA or Performance-Based Option Award, as applicable, will become Performance Vested and fully exercisable immediately prior to the Change of Control and any unvested portion of those awards will be forfeited without consideration upon the Change of Control; and</w:t>
      </w:r>
    </w:p>
    <w:p>
      <w:pPr>
        <w:spacing w:after="0" w:line="170" w:lineRule="exact"/>
        <w:rPr>
          <w:rFonts w:ascii="Arial" w:cs="Arial" w:eastAsia="Arial" w:hAnsi="Arial"/>
          <w:sz w:val="18"/>
          <w:szCs w:val="18"/>
          <w:color w:val="auto"/>
        </w:rPr>
      </w:pPr>
    </w:p>
    <w:p>
      <w:pPr>
        <w:jc w:val="both"/>
        <w:ind w:left="660" w:firstLine="1292"/>
        <w:spacing w:after="0" w:line="250" w:lineRule="auto"/>
        <w:tabs>
          <w:tab w:leader="none" w:pos="2593" w:val="left"/>
        </w:tabs>
        <w:numPr>
          <w:ilvl w:val="2"/>
          <w:numId w:val="63"/>
        </w:numPr>
        <w:rPr>
          <w:rFonts w:ascii="Arial" w:cs="Arial" w:eastAsia="Arial" w:hAnsi="Arial"/>
          <w:sz w:val="20"/>
          <w:szCs w:val="20"/>
          <w:color w:val="auto"/>
        </w:rPr>
      </w:pPr>
      <w:r>
        <w:rPr>
          <w:rFonts w:ascii="Arial" w:cs="Arial" w:eastAsia="Arial" w:hAnsi="Arial"/>
          <w:sz w:val="20"/>
          <w:szCs w:val="20"/>
          <w:color w:val="auto"/>
        </w:rPr>
        <w:t>After giving effect to clause (iv) above, the portion of any then-outstanding 2017 Performance Option, 2018 Performance Option, 2018 Performance RSA and Performance-Based Option Award which are Performance Vested will become fully vested and exercisable immediately prior to such Change of Control.</w:t>
      </w:r>
    </w:p>
    <w:p>
      <w:pPr>
        <w:spacing w:after="0" w:line="185" w:lineRule="exact"/>
        <w:rPr>
          <w:rFonts w:ascii="Arial" w:cs="Arial" w:eastAsia="Arial" w:hAnsi="Arial"/>
          <w:sz w:val="20"/>
          <w:szCs w:val="20"/>
          <w:color w:val="auto"/>
        </w:rPr>
      </w:pPr>
    </w:p>
    <w:p>
      <w:pPr>
        <w:jc w:val="both"/>
        <w:ind w:left="660" w:firstLine="644"/>
        <w:spacing w:after="0" w:line="276" w:lineRule="auto"/>
        <w:tabs>
          <w:tab w:leader="none" w:pos="19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that Employee experiences a Qualifying Termination upon or at any time during the 24 month period following the occurrence of a Change of Control, then Employee will receive (x) payment of the Accrued Obligations within thirty (30) days of such Qualifying Termination (or earlier, to the extent required by applicable law) and (y) the payments and benefits described in clauses (i) through (iii) below, but (with respect to clauses (i) through (iii) below) only if Employee timely executes and does not revoke the Release and Employee complies in all material respects with his obligations under Sections 2(a) through 2(e). If Employee does not execute the Release within forty-five (45) days following the date</w:t>
      </w:r>
    </w:p>
    <w:p>
      <w:pPr>
        <w:sectPr>
          <w:pgSz w:w="11900" w:h="16838" w:orient="portrait"/>
          <w:cols w:equalWidth="0" w:num="1">
            <w:col w:w="11240"/>
          </w:cols>
          <w:pgMar w:left="320" w:top="1419" w:right="339" w:bottom="1440" w:gutter="0" w:footer="0" w:header="0"/>
        </w:sectPr>
      </w:pPr>
    </w:p>
    <w:bookmarkStart w:id="123" w:name="page124"/>
    <w:bookmarkEnd w:id="123"/>
    <w:p>
      <w:pPr>
        <w:jc w:val="both"/>
        <w:ind w:left="4"/>
        <w:spacing w:after="0" w:line="260" w:lineRule="auto"/>
        <w:rPr>
          <w:sz w:val="20"/>
          <w:szCs w:val="20"/>
          <w:color w:val="auto"/>
        </w:rPr>
      </w:pPr>
      <w:r>
        <w:rPr>
          <w:rFonts w:ascii="Arial" w:cs="Arial" w:eastAsia="Arial" w:hAnsi="Arial"/>
          <w:sz w:val="19"/>
          <w:szCs w:val="19"/>
          <w:color w:val="auto"/>
        </w:rPr>
        <w:t>of such Qualifying Termination, or if Employee revokes the Release before the Release Effective Date, Employee’s entitlement to the payments and benefits described in clauses (i) through (iii) below will immediately become null and void. For avoidance of doubt, if Employee experiences a Qualifying Termination upon or at any time during the 24 month period following the occurrence of a Change of Control, then Employee will not be eligible to receive any payments or benefits under Section 1(d). There is no requirement for Employee to mitigate the benefits provided in clauses (i) through (iii) below.</w:t>
      </w:r>
    </w:p>
    <w:p>
      <w:pPr>
        <w:spacing w:after="0" w:line="180" w:lineRule="exact"/>
        <w:rPr>
          <w:sz w:val="20"/>
          <w:szCs w:val="20"/>
          <w:color w:val="auto"/>
        </w:rPr>
      </w:pPr>
    </w:p>
    <w:p>
      <w:pPr>
        <w:jc w:val="both"/>
        <w:ind w:left="644" w:firstLine="652"/>
        <w:spacing w:after="0" w:line="263" w:lineRule="auto"/>
        <w:tabs>
          <w:tab w:leader="none" w:pos="2201"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cash lump sum severance payment in an amount equal to the sum of (x) 200% of Employee’s then-current Base Salary plus (y) 200% of Employee’s target annual bonus for the bonus program in effect for Employee for the year in which Employee’s employment terminates plus (z) the Pro-Rated Annual Bonus, payable within 60 days following Employee’s Qualifying Termination but in no event prior to the Release Effective Date;</w:t>
      </w:r>
    </w:p>
    <w:p>
      <w:pPr>
        <w:spacing w:after="0" w:line="176" w:lineRule="exact"/>
        <w:rPr>
          <w:rFonts w:ascii="Arial" w:cs="Arial" w:eastAsia="Arial" w:hAnsi="Arial"/>
          <w:sz w:val="19"/>
          <w:szCs w:val="19"/>
          <w:color w:val="auto"/>
        </w:rPr>
      </w:pPr>
    </w:p>
    <w:p>
      <w:pPr>
        <w:jc w:val="both"/>
        <w:ind w:left="644" w:firstLine="652"/>
        <w:spacing w:after="0" w:line="282" w:lineRule="auto"/>
        <w:tabs>
          <w:tab w:leader="none" w:pos="21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Employee’s then-outstanding vested stock options, Employee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161" w:lineRule="exact"/>
        <w:rPr>
          <w:rFonts w:ascii="Arial" w:cs="Arial" w:eastAsia="Arial" w:hAnsi="Arial"/>
          <w:sz w:val="18"/>
          <w:szCs w:val="18"/>
          <w:color w:val="auto"/>
        </w:rPr>
      </w:pPr>
    </w:p>
    <w:p>
      <w:pPr>
        <w:ind w:left="644" w:firstLine="652"/>
        <w:spacing w:after="0" w:line="260" w:lineRule="auto"/>
        <w:tabs>
          <w:tab w:leader="none" w:pos="2143"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Subject to the terms and conditions of Section 1(d)(C), Employee will be entitled to receive the Continued Health Benefit under Section 1(d)(C).</w:t>
      </w:r>
    </w:p>
    <w:p>
      <w:pPr>
        <w:spacing w:after="0" w:line="177" w:lineRule="exact"/>
        <w:rPr>
          <w:sz w:val="20"/>
          <w:szCs w:val="20"/>
          <w:color w:val="auto"/>
        </w:rPr>
      </w:pPr>
    </w:p>
    <w:p>
      <w:pPr>
        <w:ind w:left="4" w:right="20"/>
        <w:spacing w:after="0" w:line="260" w:lineRule="auto"/>
        <w:rPr>
          <w:sz w:val="20"/>
          <w:szCs w:val="20"/>
          <w:color w:val="auto"/>
        </w:rPr>
      </w:pPr>
      <w:r>
        <w:rPr>
          <w:rFonts w:ascii="Arial" w:cs="Arial" w:eastAsia="Arial" w:hAnsi="Arial"/>
          <w:sz w:val="20"/>
          <w:szCs w:val="20"/>
          <w:color w:val="auto"/>
        </w:rPr>
        <w:t>Notwithstanding anything set forth herein, Employee’s exercise of any equity awards that become fully vested and exercisable pursuant to this Section 2 shall be subject to any limitation imposed by applicable securities law.</w:t>
      </w:r>
    </w:p>
    <w:p>
      <w:pPr>
        <w:spacing w:after="0" w:line="177" w:lineRule="exact"/>
        <w:rPr>
          <w:sz w:val="20"/>
          <w:szCs w:val="20"/>
          <w:color w:val="auto"/>
        </w:rPr>
      </w:pPr>
    </w:p>
    <w:p>
      <w:pPr>
        <w:ind w:left="644" w:hanging="644"/>
        <w:spacing w:after="0"/>
        <w:tabs>
          <w:tab w:leader="none" w:pos="64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Non-Compete; Non-Solicitation; And Proprietary Rights</w:t>
      </w:r>
      <w:r>
        <w:rPr>
          <w:rFonts w:ascii="Arial" w:cs="Arial" w:eastAsia="Arial" w:hAnsi="Arial"/>
          <w:sz w:val="19"/>
          <w:szCs w:val="19"/>
          <w:color w:val="auto"/>
        </w:rPr>
        <w:t>. Employee covenants as follows:</w:t>
      </w:r>
    </w:p>
    <w:p>
      <w:pPr>
        <w:spacing w:after="0" w:line="227" w:lineRule="exact"/>
        <w:rPr>
          <w:rFonts w:ascii="Arial" w:cs="Arial" w:eastAsia="Arial" w:hAnsi="Arial"/>
          <w:sz w:val="19"/>
          <w:szCs w:val="19"/>
          <w:color w:val="auto"/>
        </w:rPr>
      </w:pPr>
    </w:p>
    <w:p>
      <w:pPr>
        <w:jc w:val="both"/>
        <w:ind w:left="-656" w:firstLine="1304"/>
        <w:spacing w:after="0" w:line="269" w:lineRule="auto"/>
        <w:tabs>
          <w:tab w:leader="none" w:pos="1278"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Employee acknowledges that while employed by LTLLC, Employee will occupy a position of trust and confidence and will have access to valuable, highly confidential, privileged and proprietary information relating to Company Group’s business and/or its customers, lenders, suppliers, vendors and other business partners of Company Group, including, without limitation: information about the Company Group or any of its subsidiaries or affiliates, and their clients and customers that is not disclosed by the Company Group or any of its subsidiaries or affiliates for financial reporting purposes and that was learned by Employee in the course of employment with the Company Group or any of its subsidiaries or affiliates, including without limitation, any proprietary knowledge, business plans, marketing concepts, strategies and plans; sales methods and techniques; pricing structure and data; trade secrets, data, formulae, technologies and processes; client and customer lists; data furnished to the Company Group or its subsidiaries or affiliates by third parties that is subject to confidentiality obligations; and all papers, resumes, and records (including computer records) of the documents containing such information (collectively, “Confidential Information”). Confidential Information shall not include any information which is or becomes generally available in the public domain other than through any act or omission of Employee or which Employee can demonstrate by written records was independently developed by Employee without reference to the Confidential Information. During his employment and thereafter, Employee agrees to hold the Confidential Information in strict confidence, and Employee may not, except as set forth in Section 3 below, as may be required to perform Employee’s duties hereunder or as required by applicable law, disclose to others or use, whether directly or indirectly, any Confidential</w:t>
      </w:r>
    </w:p>
    <w:p>
      <w:pPr>
        <w:sectPr>
          <w:pgSz w:w="11900" w:h="16838" w:orient="portrait"/>
          <w:cols w:equalWidth="0" w:num="1">
            <w:col w:w="10584"/>
          </w:cols>
          <w:pgMar w:left="976" w:top="1419" w:right="339" w:bottom="1440" w:gutter="0" w:footer="0" w:header="0"/>
        </w:sectPr>
      </w:pPr>
    </w:p>
    <w:bookmarkStart w:id="124" w:name="page125"/>
    <w:bookmarkEnd w:id="124"/>
    <w:p>
      <w:pPr>
        <w:jc w:val="both"/>
        <w:spacing w:after="0" w:line="268" w:lineRule="auto"/>
        <w:rPr>
          <w:sz w:val="20"/>
          <w:szCs w:val="20"/>
          <w:color w:val="auto"/>
        </w:rPr>
      </w:pPr>
      <w:r>
        <w:rPr>
          <w:rFonts w:ascii="Arial" w:cs="Arial" w:eastAsia="Arial" w:hAnsi="Arial"/>
          <w:sz w:val="18"/>
          <w:szCs w:val="18"/>
          <w:color w:val="auto"/>
        </w:rPr>
        <w:t>Information. Employee acknowledges and agrees: (i) that the Confidential Information and all copies thereof, as described herein, is sensitive, valuable, and proprietary information that is the sole and lawful property of the Company Group, or (as applicable) which has been entrusted to the Company Group subject to certain confidentiality obligations; (ii) that the Confidential Information represents a material investment of the Company Group’s time, money, and other resources; (iii) that the Company Group has a legitimate need to protect such Confidential Information; (iv) that such Confidential Information is the subject of reasonable efforts on the Company Group’s behalf to keep it confidential; (v) that Confidential Information to which Employee was exposed in the course of employment with the Company Group prior to the execution of this Agreement, if any, shall nevertheless constitute Confidential Information, and shall be subject to the terms, requirements, and restrictions herein; (vi) that Employee has no interest or rights with respect to any of the Confidential Information; and</w:t>
      </w:r>
    </w:p>
    <w:p>
      <w:pPr>
        <w:spacing w:after="0" w:line="3" w:lineRule="exact"/>
        <w:rPr>
          <w:sz w:val="20"/>
          <w:szCs w:val="20"/>
          <w:color w:val="auto"/>
        </w:rPr>
      </w:pPr>
    </w:p>
    <w:p>
      <w:pPr>
        <w:jc w:val="both"/>
        <w:ind w:firstLine="8"/>
        <w:spacing w:after="0" w:line="267" w:lineRule="auto"/>
        <w:tabs>
          <w:tab w:leader="none" w:pos="4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the Confidential Information constitutes proprietary, sensitive, and confidential information and trade secrets (as such term is defined in N.C.G.S. § 66-152, et seq., and the Uniform Trade Secrets Act) of the Company Group. Employee agrees to deliver or return to the Company Group, at the Company Group’s request at any time or as soon as possible upon Employee’s Termination of Employment, all documents, computer tapes and disks, records, lists, data, drawings, prints, notes and written information (and all copies thereof) furnished by the Company Group and its subsidiaries or affiliates to Employee or prepared by Employee in the course of Employee’s employment by LTLLC and its subsidiaries or affiliates, except as set forth in Section 3 below. In connection with the preceding sentence, Employee must certify to the Company Group that he has fully complied with its requirements and the Company Group will have the ability to take reasonable actions to confirm such compliance. As used in this Agreement, “affiliates” means any company controlled by, controlling or under common control with the Company Group. Employee understands that it is the Company Group’s policy to respect all trade secrets and confidential information of other entities, including without limitation any entity where the Company Group’s employees may previously have been employed. Employee represents that he has not at any time, and will not in the future: (1) disclose, expose, or otherwise make available to the Company Group; (2) use in the course and scope of his employment with the Company Group or on behalf of or for the benefit of the Company Group; or (3) induce or attempt to induce the Company Group to use, any trade secrets or other confidential information belonging to any entity other than the Company Group. In the event that Employee is subject or may be subject to any confidentiality, non-disclosure, non-compete or non-solicitation agreement of any kind, or any other covenant, agreement or policy that conflicts or may conflict with any provisions of this Agreement or Employee’s work assignment, Employee agrees to immediately notify the Company Group’s Human Resources Department in writing of its existence, and shall immediately furnish a copy of the same, if available, to the Company Group’s Human Resources Department.</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Notwithstanding any other provision herein, Employee understands and acknowledges that, pursuant to Section 7 of the Defend Trade Secrets Act of 2016 (which added 18 U.S.C. § 1833(b)), Employee shall not be held criminally or civilly liable under any federal or state trade secret law for the disclosure of a trade secret that is made (A) (i) in confidence to a federal, state, or local government official, either directly or indirectly, or to an attorney and (ii) solely for the purpose of reporting or investigating a suspected violation of law; or (B) in a complaint or other document filed in a lawsuit or other proceeding, if such filing is made under seal. If Employee files a lawsuit for retaliation by Employer for reporting a suspected violation of law, Employee may disclose Company Group’s trade secrets to Employee’s attorney and use the trade secret information in the court proceeding if Employee: (i) files any document containing the trade secret under seal; and (ii) does not disclose the trade secret, except pursuant to court order. Nothing in this Agreement is intended to conflict with 18 U.S.C. § 1833(b) or create liability for disclosures of trade secrets that are expressly allowed by such Section.</w:t>
      </w:r>
    </w:p>
    <w:p>
      <w:pPr>
        <w:spacing w:after="0" w:line="170" w:lineRule="exact"/>
        <w:rPr>
          <w:sz w:val="20"/>
          <w:szCs w:val="20"/>
          <w:color w:val="auto"/>
        </w:rPr>
      </w:pPr>
    </w:p>
    <w:p>
      <w:pPr>
        <w:ind w:firstLine="1304"/>
        <w:spacing w:after="0" w:line="260" w:lineRule="auto"/>
        <w:tabs>
          <w:tab w:leader="none" w:pos="193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In consideration of LTLLC’s employment of Employee, and in order to protect the substantial time, money and effort invested by the Company Group in its</w:t>
      </w:r>
    </w:p>
    <w:p>
      <w:pPr>
        <w:sectPr>
          <w:pgSz w:w="11900" w:h="16838" w:orient="portrait"/>
          <w:cols w:equalWidth="0" w:num="1">
            <w:col w:w="11240"/>
          </w:cols>
          <w:pgMar w:left="320" w:top="141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selling, marketing, pricing and servicing strategies, the development of goodwill among its customers and other legitimate business interests,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Employee agrees as follows:</w:t>
      </w:r>
    </w:p>
    <w:p>
      <w:pPr>
        <w:spacing w:after="0" w:line="200" w:lineRule="exact"/>
        <w:rPr>
          <w:sz w:val="20"/>
          <w:szCs w:val="20"/>
          <w:color w:val="auto"/>
        </w:rPr>
      </w:pPr>
    </w:p>
    <w:p>
      <w:pPr>
        <w:jc w:val="both"/>
        <w:ind w:left="1300" w:firstLine="652"/>
        <w:spacing w:after="0" w:line="256" w:lineRule="auto"/>
        <w:tabs>
          <w:tab w:leader="none" w:pos="3030" w:val="left"/>
        </w:tabs>
        <w:numPr>
          <w:ilvl w:val="0"/>
          <w:numId w:val="68"/>
        </w:numPr>
        <w:rPr>
          <w:rFonts w:ascii="Arial" w:cs="Arial" w:eastAsia="Arial" w:hAnsi="Arial"/>
          <w:sz w:val="19"/>
          <w:szCs w:val="19"/>
          <w:color w:val="auto"/>
        </w:rPr>
      </w:pPr>
      <w:r>
        <w:rPr>
          <w:rFonts w:ascii="Arial" w:cs="Arial" w:eastAsia="Arial" w:hAnsi="Arial"/>
          <w:sz w:val="19"/>
          <w:szCs w:val="19"/>
          <w:color w:val="auto"/>
        </w:rPr>
        <w:t>During the period of Employee’s employment with LTLLC, Employee shall not engage in the performance or attempted performance of any material activities or services performed in the course and scope of Employee’s duties for the Company Group (whether for Employee’s own benefit or for, on behalf of, as an employee of, as an independent contractor of, or at the request of any other entity or individual) except on behalf of the Company Group and only then in the course and scope of Employee’s employment with LTLLC; and Employee shall not otherwise compete with the business of the Company Group during the Term, whether for Employee’s own benefit or for the benefit of others. Notwithstanding the foregoing, this Section 2(b)(i) shall not be interpreted to impose greater restriction on Employee’s activities than those applicable to Employee pursuant to Employee’s fiduciary duty of loyalty as a director and executive officer of the Company, determined under the laws of the Company’s domicile.</w:t>
      </w:r>
    </w:p>
    <w:p>
      <w:pPr>
        <w:spacing w:after="0" w:line="184" w:lineRule="exact"/>
        <w:rPr>
          <w:rFonts w:ascii="Arial" w:cs="Arial" w:eastAsia="Arial" w:hAnsi="Arial"/>
          <w:sz w:val="19"/>
          <w:szCs w:val="19"/>
          <w:color w:val="auto"/>
        </w:rPr>
      </w:pPr>
    </w:p>
    <w:p>
      <w:pPr>
        <w:jc w:val="both"/>
        <w:ind w:left="1300" w:firstLine="652"/>
        <w:spacing w:after="0" w:line="269" w:lineRule="auto"/>
        <w:tabs>
          <w:tab w:leader="none" w:pos="28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 period of 24 consecutive months immediately following Employee’s Termination of Employment for any reason following the date hereof (the “Restricted Period”), Employee may not, without the prior written consent of the Company, engage in or become Associated with a Competitive Activity (together, “Restricted Activity”). For purposes of this Section 2(b): (i) a “Competitive Activity” means any business or other endeavor, in the Restricted Territory, involving products or services that are the same or substantially similar to the type of products or services that the Company Group is engaged in providing both (x) as of the date hereof or at any time during Employee’s employment with the Company Group and (y) at any time during the twelve (12) month period preceding Employee’s Termination of Employment, and (ii) Employee will be considered to have become “Associated with a Competitive Activity” if Employee performs or takes substantial steps to perform (whether for Employee’s own benefit or for, on behalf of, as an employee of, as an independent contractor of, or at the request of any other entity or individual) any material activities performed in the course and scope of Employee’s duties for the Company Group during the twelve (12) month period immediately preceding Employee’s Termination of Employment, in a manner or role that directly competes with the Company Group or directly and materially assists others in engaging in a Competitive Activity. Notwithstanding the foregoing, (i) Employee may make and retain investments during the Restricted Period, for investment purposes only, in less than one percent (1%) of the outstanding capital stock of any publicly-traded corporation engaged in a Competitive Activity if the stock of such corporation is listed on a national stock exchange if Employee is not otherwise affiliated with such corporation and (ii) Employee may become employed by a partnership, corporation or other organization that is engaged in a Competitive Activity so long as Employee does not engage in or become Associated with a Competitive Activity.</w:t>
      </w:r>
    </w:p>
    <w:p>
      <w:pPr>
        <w:spacing w:after="0" w:line="171" w:lineRule="exact"/>
        <w:rPr>
          <w:rFonts w:ascii="Arial" w:cs="Arial" w:eastAsia="Arial" w:hAnsi="Arial"/>
          <w:sz w:val="18"/>
          <w:szCs w:val="18"/>
          <w:color w:val="auto"/>
        </w:rPr>
      </w:pPr>
    </w:p>
    <w:p>
      <w:pPr>
        <w:jc w:val="both"/>
        <w:ind w:left="1300" w:firstLine="652"/>
        <w:spacing w:after="0" w:line="246" w:lineRule="auto"/>
        <w:tabs>
          <w:tab w:leader="none" w:pos="2841" w:val="left"/>
        </w:tabs>
        <w:numPr>
          <w:ilvl w:val="0"/>
          <w:numId w:val="68"/>
        </w:numPr>
        <w:rPr>
          <w:rFonts w:ascii="Arial" w:cs="Arial" w:eastAsia="Arial" w:hAnsi="Arial"/>
          <w:sz w:val="20"/>
          <w:szCs w:val="20"/>
          <w:color w:val="auto"/>
        </w:rPr>
      </w:pPr>
      <w:r>
        <w:rPr>
          <w:rFonts w:ascii="Arial" w:cs="Arial" w:eastAsia="Arial" w:hAnsi="Arial"/>
          <w:sz w:val="20"/>
          <w:szCs w:val="20"/>
          <w:color w:val="auto"/>
        </w:rPr>
        <w:t>For purposes of this Agreement, “Restricted Territory” means the largest territory which is described by one or more of the following subsections and is deemed enforceable by any court of competent jurisdiction, but only to extent that the Restricted Activity in which Employee is engaged therein is directed toward Competitive Activity inside the United States of America:</w:t>
      </w:r>
    </w:p>
    <w:p>
      <w:pPr>
        <w:spacing w:after="0" w:line="191" w:lineRule="exact"/>
        <w:rPr>
          <w:rFonts w:ascii="Arial" w:cs="Arial" w:eastAsia="Arial" w:hAnsi="Arial"/>
          <w:sz w:val="20"/>
          <w:szCs w:val="20"/>
          <w:color w:val="auto"/>
        </w:rPr>
      </w:pPr>
    </w:p>
    <w:p>
      <w:pPr>
        <w:ind w:left="3240" w:hanging="640"/>
        <w:spacing w:after="0"/>
        <w:tabs>
          <w:tab w:leader="none" w:pos="32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State, province, or similar political territory in any country;</w:t>
      </w:r>
    </w:p>
    <w:p>
      <w:pPr>
        <w:sectPr>
          <w:pgSz w:w="11900" w:h="16838" w:orient="portrait"/>
          <w:cols w:equalWidth="0" w:num="1">
            <w:col w:w="11240"/>
          </w:cols>
          <w:pgMar w:left="320" w:top="1419" w:right="339" w:bottom="1440" w:gutter="0" w:footer="0" w:header="0"/>
        </w:sectPr>
      </w:pPr>
    </w:p>
    <w:bookmarkStart w:id="126" w:name="page127"/>
    <w:bookmarkEnd w:id="126"/>
    <w:p>
      <w:pPr>
        <w:ind w:left="180" w:firstLine="1300"/>
        <w:spacing w:after="0" w:line="260" w:lineRule="auto"/>
        <w:tabs>
          <w:tab w:leader="none" w:pos="2112" w:val="left"/>
        </w:tabs>
        <w:numPr>
          <w:ilvl w:val="2"/>
          <w:numId w:val="69"/>
        </w:numPr>
        <w:rPr>
          <w:rFonts w:ascii="Arial" w:cs="Arial" w:eastAsia="Arial" w:hAnsi="Arial"/>
          <w:sz w:val="20"/>
          <w:szCs w:val="20"/>
          <w:color w:val="auto"/>
        </w:rPr>
      </w:pPr>
      <w:r>
        <w:rPr>
          <w:rFonts w:ascii="Arial" w:cs="Arial" w:eastAsia="Arial" w:hAnsi="Arial"/>
          <w:sz w:val="20"/>
          <w:szCs w:val="20"/>
          <w:color w:val="auto"/>
        </w:rPr>
        <w:t>Any State, province, or similar political territory in any country in which, as of the Cessation Date, Employee worked in or was based;</w:t>
      </w:r>
    </w:p>
    <w:p>
      <w:pPr>
        <w:spacing w:after="0" w:line="176" w:lineRule="exact"/>
        <w:rPr>
          <w:rFonts w:ascii="Arial" w:cs="Arial" w:eastAsia="Arial" w:hAnsi="Arial"/>
          <w:sz w:val="20"/>
          <w:szCs w:val="20"/>
          <w:color w:val="auto"/>
        </w:rPr>
      </w:pPr>
    </w:p>
    <w:p>
      <w:pPr>
        <w:ind w:left="180" w:firstLine="1300"/>
        <w:spacing w:after="0" w:line="316" w:lineRule="auto"/>
        <w:tabs>
          <w:tab w:leader="none" w:pos="211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State, province, or similar political territory in any country in which Employee dealt with the Company Group’s customers or lenders during Employee’s employment with the Company Group during the Prior Period;</w:t>
      </w:r>
    </w:p>
    <w:p>
      <w:pPr>
        <w:spacing w:after="0" w:line="129" w:lineRule="exact"/>
        <w:rPr>
          <w:rFonts w:ascii="Arial" w:cs="Arial" w:eastAsia="Arial" w:hAnsi="Arial"/>
          <w:sz w:val="18"/>
          <w:szCs w:val="18"/>
          <w:color w:val="auto"/>
        </w:rPr>
      </w:pPr>
    </w:p>
    <w:p>
      <w:pPr>
        <w:ind w:left="2120" w:hanging="640"/>
        <w:spacing w:after="0"/>
        <w:tabs>
          <w:tab w:leader="none" w:pos="2120" w:val="left"/>
        </w:tabs>
        <w:numPr>
          <w:ilvl w:val="2"/>
          <w:numId w:val="69"/>
        </w:numPr>
        <w:rPr>
          <w:rFonts w:ascii="Arial" w:cs="Arial" w:eastAsia="Arial" w:hAnsi="Arial"/>
          <w:sz w:val="20"/>
          <w:szCs w:val="20"/>
          <w:color w:val="auto"/>
        </w:rPr>
      </w:pPr>
      <w:r>
        <w:rPr>
          <w:rFonts w:ascii="Arial" w:cs="Arial" w:eastAsia="Arial" w:hAnsi="Arial"/>
          <w:sz w:val="20"/>
          <w:szCs w:val="20"/>
          <w:color w:val="auto"/>
        </w:rPr>
        <w:t>North Carolina; and/or</w:t>
      </w:r>
    </w:p>
    <w:p>
      <w:pPr>
        <w:spacing w:after="0" w:line="215" w:lineRule="exact"/>
        <w:rPr>
          <w:rFonts w:ascii="Arial" w:cs="Arial" w:eastAsia="Arial" w:hAnsi="Arial"/>
          <w:sz w:val="20"/>
          <w:szCs w:val="20"/>
          <w:color w:val="auto"/>
        </w:rPr>
      </w:pPr>
    </w:p>
    <w:p>
      <w:pPr>
        <w:ind w:left="180" w:firstLine="1300"/>
        <w:spacing w:after="0" w:line="260" w:lineRule="auto"/>
        <w:tabs>
          <w:tab w:leader="none" w:pos="2112" w:val="left"/>
        </w:tabs>
        <w:numPr>
          <w:ilvl w:val="2"/>
          <w:numId w:val="69"/>
        </w:numPr>
        <w:rPr>
          <w:rFonts w:ascii="Arial" w:cs="Arial" w:eastAsia="Arial" w:hAnsi="Arial"/>
          <w:sz w:val="20"/>
          <w:szCs w:val="20"/>
          <w:color w:val="auto"/>
        </w:rPr>
      </w:pPr>
      <w:r>
        <w:rPr>
          <w:rFonts w:ascii="Arial" w:cs="Arial" w:eastAsia="Arial" w:hAnsi="Arial"/>
          <w:sz w:val="20"/>
          <w:szCs w:val="20"/>
          <w:color w:val="auto"/>
        </w:rPr>
        <w:t>The geographical area within a radius of one hundred (100) miles from the Company Group’s location where Employee primarily works as of the Cessation Date.</w:t>
      </w:r>
    </w:p>
    <w:p>
      <w:pPr>
        <w:spacing w:after="0" w:line="176" w:lineRule="exact"/>
        <w:rPr>
          <w:rFonts w:ascii="Arial" w:cs="Arial" w:eastAsia="Arial" w:hAnsi="Arial"/>
          <w:sz w:val="20"/>
          <w:szCs w:val="20"/>
          <w:color w:val="auto"/>
        </w:rPr>
      </w:pPr>
    </w:p>
    <w:p>
      <w:pPr>
        <w:jc w:val="both"/>
        <w:ind w:left="-1120" w:firstLine="1304"/>
        <w:spacing w:after="0" w:line="242" w:lineRule="auto"/>
        <w:tabs>
          <w:tab w:leader="none" w:pos="81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During Employee’s employment with LTLLC and during the Restricted Period, Employee will not, without the prior written consent of the Company, hire, recruit, or solicit, attempt to hire, recruit, or solicit, or assist others in hiring, recruiting, or soliciting, the employment or services of (whether as an employee, officer, director, agent, consultant or independent contractor), any person who is (or was during the six months prior to Employee’s date of termination) either an employee, officer, director, agent, consultant or independent contractor of the Company Group or any of its subsidiaries or affiliates (except for such employment or hiring by the Company Group or any of its subsidiaries or affiliates); provided however that this Section 2(c) will not apply to any hiring which results solely from a general solicitation of employment that was not directed to employees of the Company Group or any of its subsidiaries or affiliates.</w:t>
      </w:r>
    </w:p>
    <w:p>
      <w:pPr>
        <w:spacing w:after="0" w:line="196" w:lineRule="exact"/>
        <w:rPr>
          <w:rFonts w:ascii="Arial" w:cs="Arial" w:eastAsia="Arial" w:hAnsi="Arial"/>
          <w:sz w:val="20"/>
          <w:szCs w:val="20"/>
          <w:color w:val="auto"/>
        </w:rPr>
      </w:pPr>
    </w:p>
    <w:p>
      <w:pPr>
        <w:jc w:val="both"/>
        <w:ind w:left="-1120" w:firstLine="1304"/>
        <w:spacing w:after="0" w:line="243" w:lineRule="auto"/>
        <w:tabs>
          <w:tab w:leader="none" w:pos="81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Non-Solicitation Of Business Partners</w:t>
      </w:r>
      <w:r>
        <w:rPr>
          <w:rFonts w:ascii="Arial" w:cs="Arial" w:eastAsia="Arial" w:hAnsi="Arial"/>
          <w:sz w:val="20"/>
          <w:szCs w:val="20"/>
          <w:color w:val="auto"/>
        </w:rPr>
        <w:t>. During Employee’s employment with LTLLC and during the Restricted Period, Employee may not, except for the benefit of the Company Group, to perform Employee’s duties hereunder or as required by applicable law, without the prior written consent of the Company, solicit, take substantial steps to solicit, materially assist in soliciting, take substantial steps to do business with, or do business with any business partners or business affiliates of the Company Group that are engaged in a Competitive Activity , or encourage (regardless of who initiates the contact) any of the business partners or business affiliates of the Company Group to discontinue or limit its relationship with Company Group in any manner or use the services of any competitor of the Company Group, its subsidiaries or affiliates.</w:t>
      </w:r>
    </w:p>
    <w:p>
      <w:pPr>
        <w:spacing w:after="0" w:line="192" w:lineRule="exact"/>
        <w:rPr>
          <w:rFonts w:ascii="Arial" w:cs="Arial" w:eastAsia="Arial" w:hAnsi="Arial"/>
          <w:sz w:val="20"/>
          <w:szCs w:val="20"/>
          <w:color w:val="auto"/>
        </w:rPr>
      </w:pPr>
    </w:p>
    <w:p>
      <w:pPr>
        <w:ind w:left="820" w:hanging="636"/>
        <w:spacing w:after="0"/>
        <w:tabs>
          <w:tab w:leader="none" w:pos="82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Proprietary Rights; Assignment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80" w:firstLine="652"/>
        <w:spacing w:after="0" w:line="271" w:lineRule="auto"/>
        <w:tabs>
          <w:tab w:leader="none" w:pos="1819"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event that Employee (A) has, individually or in conjunction with others, authored, invented, created, discovered, developed, conceived, made, wrote, or reduced to practice or (B) does, individually or in conjunction with others, author, invent, create, discover, develop, conceive, make, write, or reduce to practice, any invention, modification, discovery, idea, design, development, concept, process, know-how, improvement, system, work, manuscript, translation, transliteration, writing or intellectual property right of any kind whatsoever (whether or not patentable or registerable under any applicable copyright, trademark, or other intellectual property statute or code) (collectively referred to as an “Invention”) that relates in any way to, is suggested by or results from, or is otherwise usable in the business or activities of the Company Group, whether: (a) at any time during any period of Employee’s employment with LTLLC, whether before or after the Agreement Date, or after the cessation of Employee’s employment with LTLLC, when such Invention directly or indirectly results from the exposure of Employee to any of the Confidential Information; or (b) at any time during any period of Employee’s employment with the Company Group, when such Invention directly or</w:t>
      </w:r>
    </w:p>
    <w:p>
      <w:pPr>
        <w:sectPr>
          <w:pgSz w:w="11900" w:h="16838" w:orient="portrait"/>
          <w:cols w:equalWidth="0" w:num="1">
            <w:col w:w="10120"/>
          </w:cols>
          <w:pgMar w:left="1440" w:top="1419" w:right="339" w:bottom="1440" w:gutter="0" w:footer="0" w:header="0"/>
        </w:sectPr>
      </w:pPr>
    </w:p>
    <w:bookmarkStart w:id="127" w:name="page128"/>
    <w:bookmarkEnd w:id="127"/>
    <w:p>
      <w:pPr>
        <w:jc w:val="both"/>
        <w:ind w:left="180"/>
        <w:spacing w:after="0" w:line="255" w:lineRule="auto"/>
        <w:rPr>
          <w:sz w:val="20"/>
          <w:szCs w:val="20"/>
          <w:color w:val="auto"/>
        </w:rPr>
      </w:pPr>
      <w:r>
        <w:rPr>
          <w:rFonts w:ascii="Arial" w:cs="Arial" w:eastAsia="Arial" w:hAnsi="Arial"/>
          <w:sz w:val="19"/>
          <w:szCs w:val="19"/>
          <w:color w:val="auto"/>
        </w:rPr>
        <w:t>indirectly: (1) was developed in the course and scope of Employee’s employment with the Company Group, (2) was suggested by or resulted from Employee’s job with the Company Group, (3) was suggested by or resulted from Employee’s performance of tasks or work assigned by the Company Group, or (4) resulted from the use of equipment, supplies, facilities, premises or property of any kind owned, leased or otherwise in the possession of or used by the Company Group (all of the foregoing being collectively referred to herein as “Work Product”), then any such Work Product and all goodwill and benefits arising or accruing therefrom (including, without limitation, all rights of ownership, attribution, and royalties) shall immediately become the sole, exclusive, and absolute property of the Company Group, as provided herein; provided that if the Work Product is conceived after the cessation of Employee’s employment with LTLLC under the circumstances described in clause (a) of this Section 2(e)(i) then such Confidential Information must still be considered to be Confidential Information at the time such Work Product is conceived or developed, unless the loss of such Confidential Information status was the result of any unauthorized disclosure by Employee.</w:t>
      </w:r>
    </w:p>
    <w:p>
      <w:pPr>
        <w:spacing w:after="0" w:line="187" w:lineRule="exact"/>
        <w:rPr>
          <w:sz w:val="20"/>
          <w:szCs w:val="20"/>
          <w:color w:val="auto"/>
        </w:rPr>
      </w:pPr>
    </w:p>
    <w:p>
      <w:pPr>
        <w:jc w:val="both"/>
        <w:ind w:left="180" w:firstLine="652"/>
        <w:spacing w:after="0" w:line="244" w:lineRule="auto"/>
        <w:tabs>
          <w:tab w:leader="none" w:pos="1699"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the foregoing, for the avoidance of doubt, Work Product shall not include any Invention that Employee developed solely on his/her own time without using the Company Group’s equipment, supplies, facilities, trade secrets or other Confidential Information, except for those Inventions that: (a) in any way relates to the Company Group’s business, activities or actual or demonstrably anticipated research or development or (b) result from any work performed by Employee for or on behalf of the Company Group.</w:t>
      </w:r>
    </w:p>
    <w:p>
      <w:pPr>
        <w:spacing w:after="0" w:line="194" w:lineRule="exact"/>
        <w:rPr>
          <w:rFonts w:ascii="Arial" w:cs="Arial" w:eastAsia="Arial" w:hAnsi="Arial"/>
          <w:sz w:val="20"/>
          <w:szCs w:val="20"/>
          <w:color w:val="auto"/>
        </w:rPr>
      </w:pPr>
    </w:p>
    <w:p>
      <w:pPr>
        <w:jc w:val="both"/>
        <w:ind w:left="180" w:firstLine="652"/>
        <w:spacing w:after="0" w:line="243" w:lineRule="auto"/>
        <w:tabs>
          <w:tab w:leader="none" w:pos="1801"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Employee agrees to assign, and does hereby irrevocably assign, any and all rights, title and interest throughout the world in and to any and all Work Product and all goodwill and benefits arising or accruing therefrom to the Company Group without further consideration, and shall promptly notify the Company Group of all information related to any such Work Product. Employee agrees and acknowledges that at the moment any such Work Product is conceived, all rights, title and interest thereto shall immediately become the sole, exclusive and absolute property of the Company Group; and it shall further immediately become Confidential Information (and shall be treated as such), unless otherwise prohibited under the terms of this Agreement.</w:t>
      </w:r>
    </w:p>
    <w:p>
      <w:pPr>
        <w:spacing w:after="0" w:line="192" w:lineRule="exact"/>
        <w:rPr>
          <w:rFonts w:ascii="Arial" w:cs="Arial" w:eastAsia="Arial" w:hAnsi="Arial"/>
          <w:sz w:val="20"/>
          <w:szCs w:val="20"/>
          <w:color w:val="auto"/>
        </w:rPr>
      </w:pPr>
    </w:p>
    <w:p>
      <w:pPr>
        <w:jc w:val="both"/>
        <w:ind w:left="180" w:firstLine="652"/>
        <w:spacing w:after="0" w:line="274" w:lineRule="auto"/>
        <w:tabs>
          <w:tab w:leader="none" w:pos="17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any Work Product may be protected by copyright and is deemed in any manner to constitute “work made for hire,” as such term is defined in 17 U.S.C. § 101, then such Work Product shall be deemed “work made for hire,” the copyright of which, and all other rights, title and interest thereto, shall immediately and by operation of this Agreement be owned solely, exclusively and completely by the Company Group. If any Work Product may be protected by copyright and is not considered to be included in the categories of works covered by the “work made for hire” definition contained in 17 U.S.C. § 101, then Employee shall, and hereby does by operation of this Agreement, irrevocably and without reservation assign and transfer all copyrights, Moral Rights and other associated rights thereto to the Company Group.</w:t>
      </w:r>
    </w:p>
    <w:p>
      <w:pPr>
        <w:spacing w:after="0" w:line="168" w:lineRule="exact"/>
        <w:rPr>
          <w:rFonts w:ascii="Arial" w:cs="Arial" w:eastAsia="Arial" w:hAnsi="Arial"/>
          <w:sz w:val="18"/>
          <w:szCs w:val="18"/>
          <w:color w:val="auto"/>
        </w:rPr>
      </w:pPr>
    </w:p>
    <w:p>
      <w:pPr>
        <w:jc w:val="both"/>
        <w:ind w:left="180" w:firstLine="652"/>
        <w:spacing w:after="0" w:line="246" w:lineRule="auto"/>
        <w:tabs>
          <w:tab w:leader="none" w:pos="1792"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Employee agrees that at the request and sole expense of the Company Group, Employee shall sign, execute, make and do all deeds, documents, assignments, transfers, instruments and acts as the Company Group may require to comply with or confirm the terms of this Agreement, including without limitation (as deemed necessary by the Company Group in its sole discretion) the transfer or</w:t>
      </w:r>
    </w:p>
    <w:p>
      <w:pPr>
        <w:sectPr>
          <w:pgSz w:w="11900" w:h="16838" w:orient="portrait"/>
          <w:cols w:equalWidth="0" w:num="1">
            <w:col w:w="10120"/>
          </w:cols>
          <w:pgMar w:left="1440" w:top="1419" w:right="339" w:bottom="1440" w:gutter="0" w:footer="0" w:header="0"/>
        </w:sectPr>
      </w:pPr>
    </w:p>
    <w:bookmarkStart w:id="128" w:name="page129"/>
    <w:bookmarkEnd w:id="128"/>
    <w:p>
      <w:pPr>
        <w:jc w:val="both"/>
        <w:ind w:left="1300"/>
        <w:spacing w:after="0" w:line="256" w:lineRule="auto"/>
        <w:rPr>
          <w:sz w:val="20"/>
          <w:szCs w:val="20"/>
          <w:color w:val="auto"/>
        </w:rPr>
      </w:pPr>
      <w:r>
        <w:rPr>
          <w:rFonts w:ascii="Arial" w:cs="Arial" w:eastAsia="Arial" w:hAnsi="Arial"/>
          <w:sz w:val="19"/>
          <w:szCs w:val="19"/>
          <w:color w:val="auto"/>
        </w:rPr>
        <w:t>confirmation of transfer of rights, title and interest to any and all Work Product, and the application for copyrights, patents or other intellectual property rights related to Work Product solely in the name of the Company Group or its assigns. If for any reason whatsoever the Company Group is unable to secure Employee’s cooperation (as determined by the Company Group in its sole discretion) or execution of any such deed, instrument, or other document regarding a patent, copyright or other protection or registration of any right related to any Work Product, Employee hereby appoints the Company Group as his/her duly authorized agent and attorney in fact for the limited purposes of executing any such deed, instrument or other document and prosecuting any action for or otherwise obtaining legal protection or registration of any Work Product or right or benefit arising or accruing therefrom, solely in the name of the Company Group or that of its assigns or as the Company Group otherwise desires.</w:t>
      </w:r>
    </w:p>
    <w:p>
      <w:pPr>
        <w:spacing w:after="0" w:line="184" w:lineRule="exact"/>
        <w:rPr>
          <w:sz w:val="20"/>
          <w:szCs w:val="20"/>
          <w:color w:val="auto"/>
        </w:rPr>
      </w:pPr>
    </w:p>
    <w:p>
      <w:pPr>
        <w:ind w:firstLine="1304"/>
        <w:spacing w:after="0" w:line="260" w:lineRule="auto"/>
        <w:tabs>
          <w:tab w:leader="none" w:pos="1939"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Compliance With Policies And Procedures</w:t>
      </w:r>
      <w:r>
        <w:rPr>
          <w:rFonts w:ascii="Arial" w:cs="Arial" w:eastAsia="Arial" w:hAnsi="Arial"/>
          <w:sz w:val="20"/>
          <w:szCs w:val="20"/>
          <w:color w:val="auto"/>
        </w:rPr>
        <w:t>. During the Term, Employee must adhere to the policies and standards of professionalism set forth in the Company Group’s policies and procedures as they may exist from time to time.</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Remedies For Breach</w:t>
      </w:r>
      <w:r>
        <w:rPr>
          <w:rFonts w:ascii="Arial" w:cs="Arial" w:eastAsia="Arial" w:hAnsi="Arial"/>
          <w:sz w:val="20"/>
          <w:szCs w:val="20"/>
          <w:color w:val="auto"/>
        </w:rPr>
        <w:t>. Employee expressly agrees and understands that Employee will notify the Company in writing of any alleged breach of this Agreement by the Company Group, and the Company Group will have 30 days from receipt of Employee’s notice to cure any such breach.</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Employee expressly agrees and understands that the remedy at law for any breach by Employee of this Section 2 will be inadequate and that damages flowing from such breach are not usually susceptible to being measured in monetary terms. Accordingly, it is acknowledged that upon Employee’s violation of any provision of this Section 2, in addition to any remedy that the Company Group may have at law, the Company Group will be entitled to obtain from any court of competent jurisdiction immediate injunctive relief and obtain a temporary order restraining any threatened or further breach as well as an equitable accounting of all profits or benefits arising out of such violation, in all cases without any requirement of posting a bond. Nothing in this Section 2 will be deemed to limit the Company Group’s remedies at law or in equity for any breach by Employee of any of the provisions of this Section 2, which may be pursued by or available to the Company Group.</w:t>
      </w:r>
    </w:p>
    <w:p>
      <w:pPr>
        <w:spacing w:after="0" w:line="197" w:lineRule="exact"/>
        <w:rPr>
          <w:sz w:val="20"/>
          <w:szCs w:val="20"/>
          <w:color w:val="auto"/>
        </w:rPr>
      </w:pPr>
    </w:p>
    <w:p>
      <w:pPr>
        <w:jc w:val="both"/>
        <w:ind w:firstLine="1304"/>
        <w:spacing w:after="0" w:line="242" w:lineRule="auto"/>
        <w:tabs>
          <w:tab w:leader="none" w:pos="1932"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Survival of Provisions</w:t>
      </w:r>
      <w:r>
        <w:rPr>
          <w:rFonts w:ascii="Arial" w:cs="Arial" w:eastAsia="Arial" w:hAnsi="Arial"/>
          <w:sz w:val="20"/>
          <w:szCs w:val="20"/>
          <w:color w:val="auto"/>
        </w:rPr>
        <w:t>. The obligations contained in this Section 2 will, to the extent provided in this Section 2, survive the termination or expiration of the Term and Employee’s Termination of Employment with LTLLC and will be fully enforceable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 If any of the covenants of this Section 2 are determined to be wholly or partially unenforceable in any jurisdiction, such determination will not be a bar to or in any way diminish the rights of the Company Group or its affiliates, as applicable, to enforce any such covenant in any other jurisdiction.</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Protected Rights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in this Agreement or otherwise prohibits Employee from communicating directly with and providing information, including documents, not otherwise protected from disclosure by any applicable law or privilege to the Securities and Exchange Commission (“SEC”) and/or its Office of the Whistleblower or any other federal, state or local governmental authority or self-regulatory organization (“Government Agency”) without notifying the Company. The Company Group may not</w:t>
      </w:r>
    </w:p>
    <w:p>
      <w:pPr>
        <w:sectPr>
          <w:pgSz w:w="11900" w:h="16838" w:orient="portrait"/>
          <w:cols w:equalWidth="0" w:num="1">
            <w:col w:w="11240"/>
          </w:cols>
          <w:pgMar w:left="320" w:top="1419" w:right="339" w:bottom="1440" w:gutter="0" w:footer="0" w:header="0"/>
        </w:sectPr>
      </w:pPr>
    </w:p>
    <w:bookmarkStart w:id="129" w:name="page130"/>
    <w:bookmarkEnd w:id="129"/>
    <w:p>
      <w:pPr>
        <w:spacing w:after="0" w:line="260" w:lineRule="auto"/>
        <w:rPr>
          <w:sz w:val="20"/>
          <w:szCs w:val="20"/>
          <w:color w:val="auto"/>
        </w:rPr>
      </w:pPr>
      <w:r>
        <w:rPr>
          <w:rFonts w:ascii="Arial" w:cs="Arial" w:eastAsia="Arial" w:hAnsi="Arial"/>
          <w:sz w:val="20"/>
          <w:szCs w:val="20"/>
          <w:color w:val="auto"/>
        </w:rPr>
        <w:t>retaliate against Employee for any of these activities, and nothing in this Agreement or otherwise requires Employee to waive any monetary award or other payment that he might become entitled to from the SEC or any other Government Agency.</w:t>
      </w:r>
    </w:p>
    <w:p>
      <w:pPr>
        <w:spacing w:after="0" w:line="177"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Waiver of Prior Agreements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Agreement constitutes the entire agreement between the parties, and Employee acknowledges that he has waived, effective as of the Agreement Date, any and all rights under prior agreements and understandings (whether written or oral and including without limitation the Prior Agreement) between Employee and the Company Group with respect to the subject matter of this Agreement. Employee acknowledges and agrees that neither the Company Group nor anyone acting on its behalf has made, and is not making, and in executing this Agreement, Employee has not relied upon, any representations, promises or inducements except to the extent the same is expressly set forth in this Agreement.</w:t>
      </w:r>
    </w:p>
    <w:p>
      <w:pPr>
        <w:spacing w:after="0" w:line="196"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Assignment; Successors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16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Group will make such deductions and withhold such amounts from each payment and benefit made or provided to Employee hereunder, as may be required from time to time by applicable law, governmental regulation or order.</w:t>
      </w:r>
    </w:p>
    <w:p>
      <w:pPr>
        <w:spacing w:after="0" w:line="177" w:lineRule="exact"/>
        <w:rPr>
          <w:sz w:val="20"/>
          <w:szCs w:val="20"/>
          <w:color w:val="auto"/>
        </w:rPr>
      </w:pPr>
    </w:p>
    <w:p>
      <w:pPr>
        <w:jc w:val="both"/>
        <w:ind w:right="20" w:firstLine="656"/>
        <w:spacing w:after="0" w:line="250"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Heading References</w:t>
      </w:r>
      <w:r>
        <w:rPr>
          <w:rFonts w:ascii="Arial" w:cs="Arial" w:eastAsia="Arial" w:hAnsi="Arial"/>
          <w:sz w:val="20"/>
          <w:szCs w:val="20"/>
          <w:color w:val="auto"/>
        </w:rPr>
        <w:t>. Section headings in this Agreement are included herein for convenience of reference only and do not constitute a part of this Agreement for any other purpose. References to “this Agreement” or the use of the term “hereof’ will refer to these Standard Terms and Conditions and the Employment Agreement attached hereto, taken as a whole.</w:t>
      </w:r>
    </w:p>
    <w:p>
      <w:pPr>
        <w:spacing w:after="0" w:line="185"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Waiver; Modification</w:t>
      </w:r>
      <w:r>
        <w:rPr>
          <w:rFonts w:ascii="Arial" w:cs="Arial" w:eastAsia="Arial" w:hAnsi="Arial"/>
          <w:sz w:val="19"/>
          <w:szCs w:val="19"/>
          <w:color w:val="auto"/>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 This Agreement may not be modified in any respect except by a writing executed by each party hereto.</w:t>
      </w:r>
    </w:p>
    <w:p>
      <w:pPr>
        <w:spacing w:after="0" w:line="176"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 court of competent jurisdiction determines that any portion of this Agreement is in violation of any law or public policy, only the portions of this Agreement that violate such law or public policy will be stricken. All portions of this Agreement that do not violate any statute or public policy will continue in full force and effect. Further, any court order striking any portion of this Agreement will modify the stricken terms as narrowly as possible to give as much effect as possible to the intentions of the parties under this Agreement.</w:t>
      </w:r>
    </w:p>
    <w:p>
      <w:pPr>
        <w:spacing w:after="0" w:line="194" w:lineRule="exact"/>
        <w:rPr>
          <w:rFonts w:ascii="Arial" w:cs="Arial" w:eastAsia="Arial" w:hAnsi="Arial"/>
          <w:sz w:val="20"/>
          <w:szCs w:val="20"/>
          <w:color w:val="auto"/>
        </w:rPr>
      </w:pPr>
    </w:p>
    <w:p>
      <w:pPr>
        <w:ind w:right="20" w:firstLine="656"/>
        <w:spacing w:after="0" w:line="260" w:lineRule="auto"/>
        <w:tabs>
          <w:tab w:leader="none" w:pos="1287"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Company will indemnify and hold Employee harmless for acts and omissions in Employee’s capacity as an officer, director or employee of any member of the</w:t>
      </w:r>
    </w:p>
    <w:p>
      <w:pPr>
        <w:sectPr>
          <w:pgSz w:w="11900" w:h="16838" w:orient="portrait"/>
          <w:cols w:equalWidth="0" w:num="1">
            <w:col w:w="11240"/>
          </w:cols>
          <w:pgMar w:left="320" w:top="1419" w:right="3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Company Group to the maximum extent permitted under applicable law; provided however that neither the Company Group, nor any of its subsidiaries or affiliates will indemnify Employee for any losses incurred by Employee as a result of acts that would constitute Cause under Section 1(c) of this Agreement. This Section 10 will survive Employee’s Termination of Employment with LTLLC and, as applicable, will be fully enforceable thereafter in accordance with the terms of this Agreement.</w:t>
      </w:r>
    </w:p>
    <w:p>
      <w:pPr>
        <w:spacing w:after="0" w:line="191" w:lineRule="exact"/>
        <w:rPr>
          <w:sz w:val="20"/>
          <w:szCs w:val="20"/>
          <w:color w:val="auto"/>
        </w:rPr>
      </w:pPr>
    </w:p>
    <w:p>
      <w:pPr>
        <w:jc w:val="both"/>
        <w:ind w:firstLine="656"/>
        <w:spacing w:after="0" w:line="269" w:lineRule="auto"/>
        <w:tabs>
          <w:tab w:leader="none" w:pos="127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Section 280G Limitation</w:t>
      </w:r>
      <w:r>
        <w:rPr>
          <w:rFonts w:ascii="Arial" w:cs="Arial" w:eastAsia="Arial" w:hAnsi="Arial"/>
          <w:sz w:val="18"/>
          <w:szCs w:val="18"/>
          <w:color w:val="auto"/>
        </w:rPr>
        <w:t>. Notwithstanding anything in this Agreement to the contrary, in the event that any payment or benefit received or to be received by Employee (all such payments and benefits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will first be reduced (if necessary, to zero), and all other Total Payments will thereafter be reduced (if necessary, to zero) with, in each case, cash payments being reduced before non-cash payments (and, within each category, payments to be paid last being reduced first); provided however that such reduction will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paragraph will be made by independent tax counsel reasonably acceptable to both Employee and the Company, and will be paid for by the Company (“</w:t>
      </w:r>
      <w:r>
        <w:rPr>
          <w:rFonts w:ascii="Arial" w:cs="Arial" w:eastAsia="Arial" w:hAnsi="Arial"/>
          <w:sz w:val="18"/>
          <w:szCs w:val="18"/>
          <w:u w:val="single" w:color="auto"/>
          <w:color w:val="auto"/>
        </w:rPr>
        <w:t>Tax Counsel”</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It is possible that, after the determinations and selections made pursuant to the foregoing paragraph, Employee will receive payments and/or benefits that are, in the aggregate, either more or less than the amount determined under such paragraph (hereafter referred to as an “</w:t>
      </w:r>
      <w:r>
        <w:rPr>
          <w:rFonts w:ascii="Arial" w:cs="Arial" w:eastAsia="Arial" w:hAnsi="Arial"/>
          <w:sz w:val="19"/>
          <w:szCs w:val="19"/>
          <w:u w:val="single" w:color="auto"/>
          <w:color w:val="auto"/>
        </w:rPr>
        <w:t>Excess Payment”</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Underpayment”</w:t>
      </w:r>
      <w:r>
        <w:rPr>
          <w:rFonts w:ascii="Arial" w:cs="Arial" w:eastAsia="Arial" w:hAnsi="Arial"/>
          <w:sz w:val="19"/>
          <w:szCs w:val="19"/>
          <w:color w:val="auto"/>
        </w:rPr>
        <w:t>, as applicable). If Tax Counsel determines that an Excess Payment has been made, then Employee must promptly repay the Excess Payment to the Company, together with interest on the Excess Payment at the applicable federal rate (as defined in Section 1274(d) of the Code) from the date of Employee’s receipt of such Excess Payment until the date of such repayment. If Tax Counsel determines that an Underpayment has occurred, Company Group will promptly (but in any event within ten (10) days of such determination) pay to Employee an amount equal to the Underpayment, together with interest on such amount at the applicable federal rate from the date such amount would have been paid to Employee had the provisions of the foregoing paragraph not been applied until the date of payment.</w:t>
      </w:r>
    </w:p>
    <w:p>
      <w:pPr>
        <w:spacing w:after="0" w:line="184" w:lineRule="exact"/>
        <w:rPr>
          <w:sz w:val="20"/>
          <w:szCs w:val="20"/>
          <w:color w:val="auto"/>
        </w:rPr>
      </w:pPr>
    </w:p>
    <w:p>
      <w:pPr>
        <w:jc w:val="both"/>
        <w:ind w:firstLine="656"/>
        <w:spacing w:after="0" w:line="255" w:lineRule="auto"/>
        <w:tabs>
          <w:tab w:leader="none" w:pos="128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intend that any amounts payable hereunder will comply with or be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will be deemed to be a separate payment. Employee and Company Group agree to negotiate in good faith to make amendments to the Agreement, as the parties mutually agree are necessary or desirable to avoid the imposition of taxes, penalties or interest under Section 409A. Neither Employee nor the Company Group will have the right to accelerate or defer the delivery of any such payments or benefits except (i) where payment may be made within a certain period of time, the timing of payment within such period will be in the sole discretion of Company Group, and (ii) to the extent specifically permitted or required by Section 409A. With respect to the time of payments of any amounts under the Agreement that are “deferred</w:t>
      </w:r>
    </w:p>
    <w:p>
      <w:pPr>
        <w:sectPr>
          <w:pgSz w:w="11900" w:h="16838" w:orient="portrait"/>
          <w:cols w:equalWidth="0" w:num="1">
            <w:col w:w="11240"/>
          </w:cols>
          <w:pgMar w:left="320" w:top="1419" w:right="339" w:bottom="1440" w:gutter="0" w:footer="0" w:header="0"/>
        </w:sectPr>
      </w:pPr>
    </w:p>
    <w:bookmarkStart w:id="131" w:name="page132"/>
    <w:bookmarkEnd w:id="131"/>
    <w:p>
      <w:pPr>
        <w:jc w:val="both"/>
        <w:spacing w:after="0" w:line="267" w:lineRule="auto"/>
        <w:rPr>
          <w:sz w:val="20"/>
          <w:szCs w:val="20"/>
          <w:color w:val="auto"/>
        </w:rPr>
      </w:pPr>
      <w:r>
        <w:rPr>
          <w:rFonts w:ascii="Arial" w:cs="Arial" w:eastAsia="Arial" w:hAnsi="Arial"/>
          <w:sz w:val="18"/>
          <w:szCs w:val="18"/>
          <w:color w:val="auto"/>
        </w:rPr>
        <w:t>compensation” subject to Section 409A, references in the Agreement to “Termination of Employment” (and substantially similar phrases) will mean “separation from service” within the meaning of Section 409A. Notwithstanding anything in this Agreement to the contrary, if Employee is considered a “specified employee” under Section 409A upon his separation from service and if payment of any amounts on account of Employee’s separation from service under this Agreement is required to be delayed for a period of six months after separation from service in order to avoid taxation under Section 409A, payment of such amounts will be delayed as required by Section 409A, and the accumulated amounts will be paid in a lump sum payment within five business days after the end of the six-month delay period. If Employee dies during the six-month delay period prior to the payment of benefits, the amounts withheld on account of Section 409A will be paid to the personal representative of Employee’s estate within 60 days after the date of Employee’s death. For the avoidance of doubt, it is intended that any expense reimbursement made to Employee hereunder will be exempt from Section 409A. Notwithstanding the foregoing, if any expense reimbursement made hereunder is determined to be “deferred compensation” within the meaning of Section 409A, then (i) the amount of the expense reimbursement during one taxable year will not affect the amount of the expense reimbursement during any other taxable year,</w:t>
      </w:r>
    </w:p>
    <w:p>
      <w:pPr>
        <w:spacing w:after="0" w:line="8" w:lineRule="exact"/>
        <w:rPr>
          <w:sz w:val="20"/>
          <w:szCs w:val="20"/>
          <w:color w:val="auto"/>
        </w:rPr>
      </w:pPr>
    </w:p>
    <w:p>
      <w:pPr>
        <w:jc w:val="both"/>
        <w:ind w:firstLine="8"/>
        <w:spacing w:after="0" w:line="271" w:lineRule="auto"/>
        <w:tabs>
          <w:tab w:leader="none" w:pos="3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expense reimbursement will be made on or before the last day of Employee’s taxable year following the year in which the expense was incurred and (iii) the right to expense reimbursement hereunder will not be subject to liquidation or exchange for another benefit. While it is intended that all payments and benefits provided to Employee under this Agreement will be exempt from or comply with Section 409A, the Company Group makes no representation or covenant to ensure that such payments and benefits are exempt from or compliant with Section 409A. The Company Group will have no liability to Employee or any other party if a payment or benefit under this Agreement or otherwise is challenged by any taxing authority or is ultimately determined not to be exempt or compliant. Employee further understands and agrees that Employee will be entirely responsible for any and all taxes imposed on Employee as a result of this Agreement.</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28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to the contrary, any payments made or granted pursuant to this Agreement will be subject to any recoupment or clawback policy that may be adopted by the Company Group from time to time and to any requirement of applicable law, regulation or listing standard that requires the Company Group to recoup or clawback compensation paid.</w:t>
      </w:r>
    </w:p>
    <w:p>
      <w:pPr>
        <w:spacing w:after="0" w:line="151" w:lineRule="exact"/>
        <w:rPr>
          <w:rFonts w:ascii="Arial" w:cs="Arial" w:eastAsia="Arial" w:hAnsi="Arial"/>
          <w:sz w:val="18"/>
          <w:szCs w:val="18"/>
          <w:color w:val="auto"/>
        </w:rPr>
      </w:pPr>
    </w:p>
    <w:p>
      <w:pPr>
        <w:jc w:val="both"/>
        <w:ind w:firstLine="656"/>
        <w:spacing w:after="0" w:line="244" w:lineRule="auto"/>
        <w:tabs>
          <w:tab w:leader="none" w:pos="1287"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Key-Person Insurance</w:t>
      </w:r>
      <w:r>
        <w:rPr>
          <w:rFonts w:ascii="Arial" w:cs="Arial" w:eastAsia="Arial" w:hAnsi="Arial"/>
          <w:sz w:val="20"/>
          <w:szCs w:val="20"/>
          <w:color w:val="auto"/>
        </w:rPr>
        <w:t>. The Company Group has the right to insure Employee’s life for the sole benefit of the Company Group in such amounts, and with such terms, as it may determine. All premiums payable thereon will be the obligation of the Company Group. Employee will have no interest in any such policy, but Employee agrees to cooperate with the Company Group in taking out such insurance by submitting to physical examinations, supplying all information required by the insurance company, and executing all necessary documents.</w:t>
      </w:r>
    </w:p>
    <w:p>
      <w:pPr>
        <w:sectPr>
          <w:pgSz w:w="11900" w:h="16838" w:orient="portrait"/>
          <w:cols w:equalWidth="0" w:num="1">
            <w:col w:w="11240"/>
          </w:cols>
          <w:pgMar w:left="320" w:top="1419" w:right="3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ACKNOWLEDGED AND AGREED:</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November 30,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LENDINGTREE,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LENDINGTREE, LLC</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gridSpan w:val="2"/>
          </w:tcPr>
          <w:p>
            <w:pPr>
              <w:ind w:left="20"/>
              <w:spacing w:after="0"/>
              <w:rPr>
                <w:sz w:val="20"/>
                <w:szCs w:val="20"/>
                <w:color w:val="auto"/>
              </w:rPr>
            </w:pPr>
            <w:r>
              <w:rPr>
                <w:rFonts w:ascii="Arial" w:cs="Arial" w:eastAsia="Arial" w:hAnsi="Arial"/>
                <w:sz w:val="20"/>
                <w:szCs w:val="20"/>
                <w:color w:val="auto"/>
              </w:rPr>
              <w:t>/s/ Jill Olmstead</w:t>
            </w:r>
          </w:p>
        </w:tc>
      </w:tr>
      <w:tr>
        <w:trPr>
          <w:trHeight w:val="23"/>
        </w:trPr>
        <w:tc>
          <w:tcPr>
            <w:tcW w:w="7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4220" w:type="dxa"/>
            <w:vAlign w:val="bottom"/>
          </w:tcPr>
          <w:p>
            <w:pPr>
              <w:ind w:left="100"/>
              <w:spacing w:after="0"/>
              <w:rPr>
                <w:sz w:val="20"/>
                <w:szCs w:val="20"/>
                <w:color w:val="auto"/>
              </w:rPr>
            </w:pPr>
            <w:r>
              <w:rPr>
                <w:rFonts w:ascii="Arial" w:cs="Arial" w:eastAsia="Arial" w:hAnsi="Arial"/>
                <w:sz w:val="20"/>
                <w:szCs w:val="20"/>
                <w:color w:val="auto"/>
              </w:rPr>
              <w:t>Jill Olmstead</w:t>
            </w:r>
          </w:p>
        </w:tc>
      </w:tr>
      <w:tr>
        <w:trPr>
          <w:trHeight w:val="283"/>
        </w:trPr>
        <w:tc>
          <w:tcPr>
            <w:tcW w:w="7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20"/>
                <w:szCs w:val="20"/>
                <w:color w:val="auto"/>
              </w:rPr>
              <w:t>Title:  Chief Human Resources Officer</w:t>
            </w:r>
          </w:p>
        </w:tc>
      </w:tr>
      <w:tr>
        <w:trPr>
          <w:trHeight w:val="972"/>
        </w:trPr>
        <w:tc>
          <w:tcPr>
            <w:tcW w:w="1420" w:type="dxa"/>
            <w:vAlign w:val="bottom"/>
            <w:gridSpan w:val="2"/>
          </w:tcPr>
          <w:p>
            <w:pPr>
              <w:spacing w:after="0"/>
              <w:rPr>
                <w:sz w:val="20"/>
                <w:szCs w:val="20"/>
                <w:color w:val="auto"/>
              </w:rPr>
            </w:pPr>
            <w:r>
              <w:rPr>
                <w:rFonts w:ascii="Arial" w:cs="Arial" w:eastAsia="Arial" w:hAnsi="Arial"/>
                <w:sz w:val="20"/>
                <w:szCs w:val="20"/>
                <w:color w:val="auto"/>
              </w:rPr>
              <w:t>EMPLOYEE</w:t>
            </w:r>
          </w:p>
        </w:tc>
        <w:tc>
          <w:tcPr>
            <w:tcW w:w="4220" w:type="dxa"/>
            <w:vAlign w:val="bottom"/>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60" w:type="dxa"/>
            <w:vAlign w:val="bottom"/>
            <w:gridSpan w:val="2"/>
          </w:tcPr>
          <w:p>
            <w:pPr>
              <w:ind w:left="20"/>
              <w:spacing w:after="0"/>
              <w:rPr>
                <w:sz w:val="20"/>
                <w:szCs w:val="20"/>
                <w:color w:val="auto"/>
              </w:rPr>
            </w:pPr>
            <w:r>
              <w:rPr>
                <w:rFonts w:ascii="Arial" w:cs="Arial" w:eastAsia="Arial" w:hAnsi="Arial"/>
                <w:sz w:val="20"/>
                <w:szCs w:val="20"/>
                <w:color w:val="auto"/>
              </w:rPr>
              <w:t>/s/ Douglas R. Lebda</w:t>
            </w:r>
          </w:p>
        </w:tc>
      </w:tr>
      <w:tr>
        <w:trPr>
          <w:trHeight w:val="23"/>
        </w:trPr>
        <w:tc>
          <w:tcPr>
            <w:tcW w:w="7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20"/>
                <w:szCs w:val="20"/>
                <w:color w:val="auto"/>
              </w:rPr>
              <w:t>Name:</w:t>
            </w:r>
          </w:p>
        </w:tc>
        <w:tc>
          <w:tcPr>
            <w:tcW w:w="4220" w:type="dxa"/>
            <w:vAlign w:val="bottom"/>
          </w:tcPr>
          <w:p>
            <w:pPr>
              <w:ind w:left="100"/>
              <w:spacing w:after="0"/>
              <w:rPr>
                <w:sz w:val="20"/>
                <w:szCs w:val="20"/>
                <w:color w:val="auto"/>
              </w:rPr>
            </w:pPr>
            <w:r>
              <w:rPr>
                <w:rFonts w:ascii="Arial" w:cs="Arial" w:eastAsia="Arial" w:hAnsi="Arial"/>
                <w:sz w:val="20"/>
                <w:szCs w:val="20"/>
                <w:color w:val="auto"/>
              </w:rPr>
              <w:t>Douglas R. Lebda</w:t>
            </w:r>
          </w:p>
        </w:tc>
      </w:tr>
    </w:tbl>
    <w:p>
      <w:pPr>
        <w:sectPr>
          <w:pgSz w:w="11900" w:h="16838" w:orient="portrait"/>
          <w:cols w:equalWidth="0" w:num="1">
            <w:col w:w="10139"/>
          </w:cols>
          <w:pgMar w:left="320" w:top="1413"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PERFORMANCE STOCK OPTION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Performance Stock Option Award Granted Under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Sixth Amended and Restated 2008 Stock and Annual Incentive Plan</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u w:val="single" w:color="auto"/>
          <w:color w:val="auto"/>
        </w:rPr>
        <w:t>Important Note</w:t>
      </w:r>
      <w:r>
        <w:rPr>
          <w:rFonts w:ascii="Arial" w:cs="Arial" w:eastAsia="Arial" w:hAnsi="Arial"/>
          <w:sz w:val="20"/>
          <w:szCs w:val="20"/>
          <w:b w:val="1"/>
          <w:bCs w:val="1"/>
          <w:color w:val="auto"/>
        </w:rPr>
        <w:t>: You must login to your account at to accept this Award and obtain other important information concerning this Award, such as a copy of the LendingTree, Inc. Sixth Amended and Restated 2008 Stock and Annual Incentive Plan as the same has been amended and restated from time to time up to the date of this Award (the “2008 Plan”) and the Terms and Conditions for Performance Stock Option Award (the “Terms and Conditions”). Additional copies of these documents are also available on the MyEquity page of the Company intranet or upon request from your Human Resources Department. This Award will not become effective until you login and accept both documents. You acknowledge that you have received copies of the 2008 Plan and the 2008 Plan’s prospectus.</w:t>
      </w:r>
    </w:p>
    <w:p>
      <w:pPr>
        <w:sectPr>
          <w:pgSz w:w="11900" w:h="16838" w:orient="portrait"/>
          <w:cols w:equalWidth="0" w:num="1">
            <w:col w:w="11240"/>
          </w:cols>
          <w:pgMar w:left="320" w:top="1413" w:right="339" w:bottom="1440" w:gutter="0" w:footer="0" w:header="0"/>
        </w:sect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Award Recipient: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Douglas Lebda (also referred to herein as “you” or “Employee”)</w:t>
      </w:r>
    </w:p>
    <w:p>
      <w:pPr>
        <w:spacing w:after="0" w:line="71"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Performance Stock Option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Under the 2008 Plan:</w:t>
      </w:r>
    </w:p>
    <w:p>
      <w:pPr>
        <w:spacing w:after="0" w:line="216" w:lineRule="exact"/>
        <w:rPr>
          <w:sz w:val="20"/>
          <w:szCs w:val="20"/>
          <w:color w:val="auto"/>
        </w:rPr>
      </w:pPr>
    </w:p>
    <w:p>
      <w:pPr>
        <w:sectPr>
          <w:pgSz w:w="11900" w:h="16838" w:orient="portrait"/>
          <w:cols w:equalWidth="0" w:num="2">
            <w:col w:w="2980" w:space="620"/>
            <w:col w:w="7640"/>
          </w:cols>
          <w:pgMar w:left="320" w:top="1413" w:right="339" w:bottom="1440" w:gutter="0" w:footer="0" w:header="0"/>
          <w:type w:val="continuous"/>
        </w:sectPr>
      </w:pPr>
    </w:p>
    <w:p>
      <w:pPr>
        <w:spacing w:after="0" w:line="45" w:lineRule="exact"/>
        <w:rPr>
          <w:sz w:val="20"/>
          <w:szCs w:val="20"/>
          <w:color w:val="auto"/>
        </w:rPr>
      </w:pPr>
    </w:p>
    <w:p>
      <w:pPr>
        <w:ind w:left="3600" w:right="240"/>
        <w:spacing w:after="0" w:line="246" w:lineRule="auto"/>
        <w:rPr>
          <w:sz w:val="20"/>
          <w:szCs w:val="20"/>
          <w:color w:val="auto"/>
        </w:rPr>
      </w:pPr>
      <w:r>
        <w:rPr>
          <w:rFonts w:ascii="Arial" w:cs="Arial" w:eastAsia="Arial" w:hAnsi="Arial"/>
          <w:sz w:val="20"/>
          <w:szCs w:val="20"/>
          <w:color w:val="auto"/>
        </w:rPr>
        <w:t>You have been awarded a nonqualified stock option to acquire a maximum of 363,464 Shares of LendingTree, Inc. Common Stock at an “Exercise Price” of $300.00 per Share (“Performance Option”). The “Target Shares” for purposes of this Performance Option is 217,643 Shares.</w:t>
      </w:r>
    </w:p>
    <w:p>
      <w:pPr>
        <w:sectPr>
          <w:pgSz w:w="11900" w:h="16838" w:orient="portrait"/>
          <w:cols w:equalWidth="0" w:num="1">
            <w:col w:w="11240"/>
          </w:cols>
          <w:pgMar w:left="320" w:top="1413" w:right="339" w:bottom="1440" w:gutter="0" w:footer="0" w:header="0"/>
          <w:type w:val="continuous"/>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Award Date: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December 3, 2020</w:t>
      </w:r>
    </w:p>
    <w:p>
      <w:pPr>
        <w:spacing w:after="0" w:line="93"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ind w:right="260"/>
        <w:spacing w:after="0" w:line="278" w:lineRule="auto"/>
        <w:rPr>
          <w:sz w:val="20"/>
          <w:szCs w:val="20"/>
          <w:color w:val="auto"/>
        </w:rPr>
      </w:pPr>
      <w:r>
        <w:rPr>
          <w:rFonts w:ascii="Arial" w:cs="Arial" w:eastAsia="Arial" w:hAnsi="Arial"/>
          <w:sz w:val="19"/>
          <w:szCs w:val="19"/>
          <w:color w:val="auto"/>
        </w:rPr>
        <w:t>This Performance Option shall, subject to the provisions of the 2008 Plan, vest and no longer be subject to any vesting restrictions as described below in the “Vesting” section.</w:t>
      </w:r>
    </w:p>
    <w:p>
      <w:pPr>
        <w:spacing w:after="0" w:line="1"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ind w:right="160"/>
        <w:spacing w:after="0" w:line="257" w:lineRule="auto"/>
        <w:rPr>
          <w:sz w:val="20"/>
          <w:szCs w:val="20"/>
          <w:color w:val="auto"/>
        </w:rPr>
      </w:pPr>
      <w:r>
        <w:rPr>
          <w:rFonts w:ascii="Arial" w:cs="Arial" w:eastAsia="Arial" w:hAnsi="Arial"/>
          <w:sz w:val="19"/>
          <w:szCs w:val="19"/>
          <w:color w:val="auto"/>
        </w:rPr>
        <w:t>The vested portion of this Performance Option will expire upon the earlier of (i) the expiration of the 12-month period following your Termination of Service (as defined in your employment agreement with the Company and LendingTree, LLC, dated as of November 30, 2020 (the “Employment Agreement”)), (ii) the date of Change of Control of the Company (as defined in the Employment Agreement) if this Performance Option is not being assumed, replaced, substituted for or otherwise continued after the Change of Control, or (iii) 10 years from your Award Date (the “Expiration Date”) or except as otherwise provided in the 2008 Plan or the attached Terms and Conditions.</w:t>
      </w:r>
    </w:p>
    <w:p>
      <w:pPr>
        <w:spacing w:after="0" w:line="180"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3600" w:right="660"/>
        <w:spacing w:after="0" w:line="287" w:lineRule="auto"/>
        <w:rPr>
          <w:sz w:val="20"/>
          <w:szCs w:val="20"/>
          <w:color w:val="auto"/>
        </w:rPr>
      </w:pPr>
      <w:r>
        <w:rPr>
          <w:rFonts w:ascii="Arial" w:cs="Arial" w:eastAsia="Arial" w:hAnsi="Arial"/>
          <w:sz w:val="19"/>
          <w:szCs w:val="19"/>
          <w:color w:val="auto"/>
        </w:rPr>
        <w:t>If you do not exercise your vested Performance Option before the Expiration Date, your unexercised Performance Option will be forfeited and canceled in its entirety.</w:t>
      </w:r>
    </w:p>
    <w:p>
      <w:pPr>
        <w:sectPr>
          <w:pgSz w:w="11900" w:h="16838" w:orient="portrait"/>
          <w:cols w:equalWidth="0" w:num="1">
            <w:col w:w="11240"/>
          </w:cols>
          <w:pgMar w:left="320" w:top="1413" w:right="339" w:bottom="1440" w:gutter="0" w:footer="0" w:header="0"/>
          <w:type w:val="continuous"/>
        </w:sectPr>
      </w:pPr>
    </w:p>
    <w:bookmarkStart w:id="134" w:name="page135"/>
    <w:bookmarkEnd w:id="134"/>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Post-Exercise Holding Period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Except for Shares that may be sold by Employee or retained by the Company in each case solely in order to satisfy applicable tax withholding, no Shares acquired by Employee upon the exercise of any vested portion of the Performance Option may be sold, transferred or otherwise disposed of by Employee until the earliest of (i) the second anniversary of the date of exercise, (ii) an event occurring under Sections 1(a), 1(b), 1(d) or 1(g) of the Standard Terms and Conditions of the Employment Agreement (which, for the avoidance of doubt, does not include a Termination of Service by Employee due to Employee’s Retirement) or (iii) a Change of Control of the Company.</w:t>
      </w:r>
    </w:p>
    <w:p>
      <w:pPr>
        <w:spacing w:after="0" w:line="12" w:lineRule="exact"/>
        <w:rPr>
          <w:sz w:val="20"/>
          <w:szCs w:val="20"/>
          <w:color w:val="auto"/>
        </w:rPr>
      </w:pPr>
    </w:p>
    <w:p>
      <w:pPr>
        <w:sectPr>
          <w:pgSz w:w="11900" w:h="16838" w:orient="portrait"/>
          <w:cols w:equalWidth="0" w:num="2">
            <w:col w:w="2860" w:space="720"/>
            <w:col w:w="7480"/>
          </w:cols>
          <w:pgMar w:left="340" w:top="1440" w:right="499" w:bottom="1440" w:gutter="0" w:footer="0" w:header="0"/>
        </w:sectPr>
      </w:pPr>
    </w:p>
    <w:p>
      <w:pPr>
        <w:spacing w:after="0"/>
        <w:rPr>
          <w:sz w:val="20"/>
          <w:szCs w:val="20"/>
          <w:color w:val="auto"/>
        </w:rPr>
      </w:pPr>
      <w:r>
        <w:rPr>
          <w:rFonts w:ascii="Arial" w:cs="Arial" w:eastAsia="Arial" w:hAnsi="Arial"/>
          <w:sz w:val="18"/>
          <w:szCs w:val="18"/>
          <w:b w:val="1"/>
          <w:bCs w:val="1"/>
          <w:color w:val="auto"/>
        </w:rPr>
        <w:t>Impact of a Termination of Service:</w:t>
      </w:r>
    </w:p>
    <w:p>
      <w:pPr>
        <w:spacing w:after="0" w:line="20" w:lineRule="exact"/>
        <w:rPr>
          <w:sz w:val="20"/>
          <w:szCs w:val="20"/>
          <w:color w:val="auto"/>
        </w:rPr>
      </w:pPr>
      <w:r>
        <w:rPr>
          <w:sz w:val="20"/>
          <w:szCs w:val="20"/>
          <w:color w:val="auto"/>
        </w:rPr>
        <w:br w:type="column"/>
      </w:r>
    </w:p>
    <w:p>
      <w:pPr>
        <w:ind w:right="580"/>
        <w:spacing w:after="0" w:line="284" w:lineRule="auto"/>
        <w:rPr>
          <w:sz w:val="20"/>
          <w:szCs w:val="20"/>
          <w:color w:val="auto"/>
        </w:rPr>
      </w:pPr>
      <w:r>
        <w:rPr>
          <w:rFonts w:ascii="Arial" w:cs="Arial" w:eastAsia="Arial" w:hAnsi="Arial"/>
          <w:sz w:val="18"/>
          <w:szCs w:val="18"/>
          <w:color w:val="auto"/>
        </w:rPr>
        <w:t>Except as otherwise provided in the 2008 Plan, this Award Notice or your Employment Agreement, the unvested portion of this Performance Option will be forfeited without consideration and canceled in its entirety upon your Termination of Service.</w:t>
      </w:r>
    </w:p>
    <w:p>
      <w:pPr>
        <w:spacing w:after="0" w:line="2" w:lineRule="exact"/>
        <w:rPr>
          <w:sz w:val="20"/>
          <w:szCs w:val="20"/>
          <w:color w:val="auto"/>
        </w:rPr>
      </w:pPr>
    </w:p>
    <w:p>
      <w:pPr>
        <w:sectPr>
          <w:pgSz w:w="11900" w:h="16838" w:orient="portrait"/>
          <w:cols w:equalWidth="0" w:num="2">
            <w:col w:w="3020" w:space="560"/>
            <w:col w:w="7480"/>
          </w:cols>
          <w:pgMar w:left="340" w:top="144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Terms and Conditions:</w:t>
      </w:r>
    </w:p>
    <w:p>
      <w:pPr>
        <w:spacing w:after="0" w:line="20" w:lineRule="exact"/>
        <w:rPr>
          <w:sz w:val="20"/>
          <w:szCs w:val="20"/>
          <w:color w:val="auto"/>
        </w:rPr>
      </w:pPr>
      <w:r>
        <w:rPr>
          <w:sz w:val="20"/>
          <w:szCs w:val="20"/>
          <w:color w:val="auto"/>
        </w:rPr>
        <w:br w:type="column"/>
      </w:r>
    </w:p>
    <w:p>
      <w:pPr>
        <w:ind w:right="400"/>
        <w:spacing w:after="0" w:line="287" w:lineRule="auto"/>
        <w:rPr>
          <w:sz w:val="20"/>
          <w:szCs w:val="20"/>
          <w:color w:val="auto"/>
        </w:rPr>
      </w:pPr>
      <w:r>
        <w:rPr>
          <w:rFonts w:ascii="Arial" w:cs="Arial" w:eastAsia="Arial" w:hAnsi="Arial"/>
          <w:sz w:val="19"/>
          <w:szCs w:val="19"/>
          <w:color w:val="auto"/>
        </w:rPr>
        <w:t>Capitalized terms used (but not defined) in this Award Notice shall have the meanings set forth in the 2008 Plan or the Employment Agreement, as applicable.</w:t>
      </w:r>
    </w:p>
    <w:p>
      <w:pPr>
        <w:spacing w:after="0" w:line="152" w:lineRule="exact"/>
        <w:rPr>
          <w:sz w:val="20"/>
          <w:szCs w:val="20"/>
          <w:color w:val="auto"/>
        </w:rPr>
      </w:pPr>
    </w:p>
    <w:p>
      <w:pPr>
        <w:sectPr>
          <w:pgSz w:w="11900" w:h="16838" w:orient="portrait"/>
          <w:cols w:equalWidth="0" w:num="2">
            <w:col w:w="2860" w:space="720"/>
            <w:col w:w="7480"/>
          </w:cols>
          <w:pgMar w:left="340" w:top="1440" w:right="499" w:bottom="1440" w:gutter="0" w:footer="0" w:header="0"/>
          <w:type w:val="continuous"/>
        </w:sectPr>
      </w:pPr>
    </w:p>
    <w:p>
      <w:pPr>
        <w:ind w:left="3580" w:right="20"/>
        <w:spacing w:after="0" w:line="243" w:lineRule="auto"/>
        <w:rPr>
          <w:sz w:val="20"/>
          <w:szCs w:val="20"/>
          <w:color w:val="auto"/>
        </w:rPr>
      </w:pPr>
      <w:r>
        <w:rPr>
          <w:rFonts w:ascii="Arial" w:cs="Arial" w:eastAsia="Arial" w:hAnsi="Arial"/>
          <w:sz w:val="20"/>
          <w:szCs w:val="20"/>
          <w:color w:val="auto"/>
        </w:rPr>
        <w:t>Your Performance Option is subject to the Terms and Conditions attached hereto and to the 2008 Plan, which are posted on www.benefitaccess.com and incorporated herein by reference, and any employment agreement between you and LendingTree, Inc. Copies of these documents are also available upon request from your Human Resources Department. In the event of a conflict between the Terms and Conditions and this Notice, this Notice shall control.</w:t>
      </w:r>
    </w:p>
    <w:p>
      <w:pPr>
        <w:spacing w:after="0" w:line="196" w:lineRule="exact"/>
        <w:rPr>
          <w:sz w:val="20"/>
          <w:szCs w:val="20"/>
          <w:color w:val="auto"/>
        </w:rPr>
      </w:pPr>
    </w:p>
    <w:p>
      <w:pPr>
        <w:ind w:left="3580" w:right="180"/>
        <w:spacing w:after="0" w:line="260" w:lineRule="auto"/>
        <w:rPr>
          <w:sz w:val="20"/>
          <w:szCs w:val="20"/>
          <w:color w:val="auto"/>
        </w:rPr>
      </w:pPr>
      <w:r>
        <w:rPr>
          <w:rFonts w:ascii="Arial" w:cs="Arial" w:eastAsia="Arial" w:hAnsi="Arial"/>
          <w:sz w:val="20"/>
          <w:szCs w:val="20"/>
          <w:color w:val="auto"/>
        </w:rPr>
        <w:t>Without a complete review of these documents, you will not have a full understanding of all the material terms of your Performance Option.</w:t>
      </w:r>
    </w:p>
    <w:p>
      <w:pPr>
        <w:sectPr>
          <w:pgSz w:w="11900" w:h="16838" w:orient="portrait"/>
          <w:cols w:equalWidth="0" w:num="1">
            <w:col w:w="11060"/>
          </w:cols>
          <w:pgMar w:left="340" w:top="1440" w:right="49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Terms and Conditions for Performance Stock Option Award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These Terms and Conditions apply to the stock option (the “Award”) awarded to you by LendingTree, Inc. (“LendingTree, Inc.” or the “Company”) pursuant to the LendingTree, Inc. Sixth Amended and Restated 2008 Stock and Annual Incentive Plan as the same has been amended and restated from time to time (the “2008 Plan”). You were notified of your Award by way of an award notice (the “Award Notice”). This Award is also referred to herein as the “Performance Option”.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Continuous Service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order for shares subject to this Award to vest and be exercisable, you must not experience a Termination of Service before the applicable vesting event as set forth in the Vesting section below, except as otherwise provided in the Employment Agreement. Nothing in your Award Notice, these Terms and Conditions, or the 2008 Plan shall confer upon you any right to continue in the employ or service of LendingTree, Inc. or any of its Subsidiaries or Affiliates or interfere in any way with their rights to terminate your employment or service at any time and for any or no reason.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purposes of this Award, “</w:t>
      </w:r>
      <w:r>
        <w:rPr>
          <w:rFonts w:ascii="Arial" w:cs="Arial" w:eastAsia="Arial" w:hAnsi="Arial"/>
          <w:sz w:val="20"/>
          <w:szCs w:val="20"/>
          <w:i w:val="1"/>
          <w:iCs w:val="1"/>
          <w:color w:val="auto"/>
        </w:rPr>
        <w:t>Base Date</w:t>
      </w:r>
      <w:r>
        <w:rPr>
          <w:rFonts w:ascii="Arial" w:cs="Arial" w:eastAsia="Arial" w:hAnsi="Arial"/>
          <w:sz w:val="20"/>
          <w:szCs w:val="20"/>
          <w:color w:val="auto"/>
        </w:rPr>
        <w:t>” means December 3, 2020 and “</w:t>
      </w:r>
      <w:r>
        <w:rPr>
          <w:rFonts w:ascii="Arial" w:cs="Arial" w:eastAsia="Arial" w:hAnsi="Arial"/>
          <w:sz w:val="20"/>
          <w:szCs w:val="20"/>
          <w:i w:val="1"/>
          <w:iCs w:val="1"/>
          <w:color w:val="auto"/>
        </w:rPr>
        <w:t>Base Price</w:t>
      </w:r>
      <w:r>
        <w:rPr>
          <w:rFonts w:ascii="Arial" w:cs="Arial" w:eastAsia="Arial" w:hAnsi="Arial"/>
          <w:sz w:val="20"/>
          <w:szCs w:val="20"/>
          <w:color w:val="auto"/>
        </w:rPr>
        <w:t>” means $300.00 per common share of the Company. The Performance Option has both performance- and time-based vesting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Performance-Based Vesting Conditions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performance vesting condition will be based on the Company’s share price growth as compared to the Base Price as measured on a quarterly basis during the 17 fiscal quarter period after the Base Date and utilizing the below table. The volume weighted average closing per share price of the Company’s stock will be measured during the final 30 trading days in each fiscal quarter commencing with the first fiscal quarter of 2021 and for each fiscal quarter through the first fiscal quarter of 2025 (each such measured value is the “VWAP”). To the extent the VWAP has increased over the Base Price for any given quarter per the below table then the applicable percentage of Target Shares (as a cumulative total number of shares) shall be deemed to be “Performance Vested”. Shares that do not become Performance Vested at any time on or prior to March 31, 2025 shall never become exercisable and shall be forfeited without consideration.</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520" w:type="dxa"/>
            <w:vAlign w:val="bottom"/>
          </w:tcPr>
          <w:p>
            <w:pPr>
              <w:spacing w:after="0"/>
              <w:rPr>
                <w:sz w:val="20"/>
                <w:szCs w:val="20"/>
                <w:color w:val="auto"/>
              </w:rPr>
            </w:pPr>
            <w:r>
              <w:rPr>
                <w:rFonts w:ascii="Arial" w:cs="Arial" w:eastAsia="Arial" w:hAnsi="Arial"/>
                <w:sz w:val="20"/>
                <w:szCs w:val="20"/>
                <w:b w:val="1"/>
                <w:bCs w:val="1"/>
                <w:color w:val="auto"/>
              </w:rPr>
              <w:t>VWAP Increase over Base Price</w:t>
            </w:r>
          </w:p>
        </w:tc>
        <w:tc>
          <w:tcPr>
            <w:tcW w:w="5720" w:type="dxa"/>
            <w:vAlign w:val="bottom"/>
          </w:tcPr>
          <w:p>
            <w:pPr>
              <w:ind w:left="840"/>
              <w:spacing w:after="0"/>
              <w:rPr>
                <w:sz w:val="20"/>
                <w:szCs w:val="20"/>
                <w:color w:val="auto"/>
              </w:rPr>
            </w:pPr>
            <w:r>
              <w:rPr>
                <w:rFonts w:ascii="Arial" w:cs="Arial" w:eastAsia="Arial" w:hAnsi="Arial"/>
                <w:sz w:val="20"/>
                <w:szCs w:val="20"/>
                <w:b w:val="1"/>
                <w:bCs w:val="1"/>
                <w:color w:val="auto"/>
                <w:w w:val="87"/>
              </w:rPr>
              <w:t>Percentage of Target Shares That are Performance Vested</w:t>
            </w:r>
          </w:p>
        </w:tc>
      </w:tr>
      <w:tr>
        <w:trPr>
          <w:trHeight w:val="284"/>
        </w:trPr>
        <w:tc>
          <w:tcPr>
            <w:tcW w:w="3520" w:type="dxa"/>
            <w:vAlign w:val="bottom"/>
          </w:tcPr>
          <w:p>
            <w:pPr>
              <w:spacing w:after="0"/>
              <w:rPr>
                <w:sz w:val="20"/>
                <w:szCs w:val="20"/>
                <w:color w:val="auto"/>
              </w:rPr>
            </w:pPr>
            <w:r>
              <w:rPr>
                <w:rFonts w:ascii="Arial" w:cs="Arial" w:eastAsia="Arial" w:hAnsi="Arial"/>
                <w:sz w:val="20"/>
                <w:szCs w:val="20"/>
                <w:color w:val="auto"/>
              </w:rPr>
              <w:t>Less than 44%</w:t>
            </w:r>
          </w:p>
        </w:tc>
        <w:tc>
          <w:tcPr>
            <w:tcW w:w="5720" w:type="dxa"/>
            <w:vAlign w:val="bottom"/>
          </w:tcPr>
          <w:p>
            <w:pPr>
              <w:ind w:left="840"/>
              <w:spacing w:after="0"/>
              <w:rPr>
                <w:sz w:val="20"/>
                <w:szCs w:val="20"/>
                <w:color w:val="auto"/>
              </w:rPr>
            </w:pPr>
            <w:r>
              <w:rPr>
                <w:rFonts w:ascii="Arial" w:cs="Arial" w:eastAsia="Arial" w:hAnsi="Arial"/>
                <w:sz w:val="20"/>
                <w:szCs w:val="20"/>
                <w:color w:val="auto"/>
              </w:rPr>
              <w:t>0%</w:t>
            </w: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rPr>
              <w:t>44%</w:t>
            </w:r>
          </w:p>
        </w:tc>
        <w:tc>
          <w:tcPr>
            <w:tcW w:w="5720" w:type="dxa"/>
            <w:vAlign w:val="bottom"/>
          </w:tcPr>
          <w:p>
            <w:pPr>
              <w:ind w:left="840"/>
              <w:spacing w:after="0"/>
              <w:rPr>
                <w:sz w:val="20"/>
                <w:szCs w:val="20"/>
                <w:color w:val="auto"/>
              </w:rPr>
            </w:pPr>
            <w:r>
              <w:rPr>
                <w:rFonts w:ascii="Arial" w:cs="Arial" w:eastAsia="Arial" w:hAnsi="Arial"/>
                <w:sz w:val="20"/>
                <w:szCs w:val="20"/>
                <w:color w:val="auto"/>
              </w:rPr>
              <w:t>33%</w:t>
            </w:r>
          </w:p>
        </w:tc>
      </w:tr>
      <w:tr>
        <w:trPr>
          <w:trHeight w:val="283"/>
        </w:trPr>
        <w:tc>
          <w:tcPr>
            <w:tcW w:w="3520" w:type="dxa"/>
            <w:vAlign w:val="bottom"/>
          </w:tcPr>
          <w:p>
            <w:pPr>
              <w:spacing w:after="0"/>
              <w:rPr>
                <w:sz w:val="20"/>
                <w:szCs w:val="20"/>
                <w:color w:val="auto"/>
              </w:rPr>
            </w:pPr>
            <w:r>
              <w:rPr>
                <w:rFonts w:ascii="Arial" w:cs="Arial" w:eastAsia="Arial" w:hAnsi="Arial"/>
                <w:sz w:val="20"/>
                <w:szCs w:val="20"/>
                <w:color w:val="auto"/>
              </w:rPr>
              <w:t>88%</w:t>
            </w:r>
          </w:p>
        </w:tc>
        <w:tc>
          <w:tcPr>
            <w:tcW w:w="5720" w:type="dxa"/>
            <w:vAlign w:val="bottom"/>
          </w:tcPr>
          <w:p>
            <w:pPr>
              <w:ind w:left="840"/>
              <w:spacing w:after="0"/>
              <w:rPr>
                <w:sz w:val="20"/>
                <w:szCs w:val="20"/>
                <w:color w:val="auto"/>
              </w:rPr>
            </w:pPr>
            <w:r>
              <w:rPr>
                <w:rFonts w:ascii="Arial" w:cs="Arial" w:eastAsia="Arial" w:hAnsi="Arial"/>
                <w:sz w:val="20"/>
                <w:szCs w:val="20"/>
                <w:color w:val="auto"/>
              </w:rPr>
              <w:t>100%</w:t>
            </w:r>
          </w:p>
        </w:tc>
      </w:tr>
      <w:tr>
        <w:trPr>
          <w:trHeight w:val="284"/>
        </w:trPr>
        <w:tc>
          <w:tcPr>
            <w:tcW w:w="3520" w:type="dxa"/>
            <w:vAlign w:val="bottom"/>
          </w:tcPr>
          <w:p>
            <w:pPr>
              <w:spacing w:after="0"/>
              <w:rPr>
                <w:sz w:val="20"/>
                <w:szCs w:val="20"/>
                <w:color w:val="auto"/>
              </w:rPr>
            </w:pPr>
            <w:r>
              <w:rPr>
                <w:rFonts w:ascii="Arial" w:cs="Arial" w:eastAsia="Arial" w:hAnsi="Arial"/>
                <w:sz w:val="20"/>
                <w:szCs w:val="20"/>
                <w:color w:val="auto"/>
              </w:rPr>
              <w:t>132% (or greater)</w:t>
            </w:r>
          </w:p>
        </w:tc>
        <w:tc>
          <w:tcPr>
            <w:tcW w:w="5720" w:type="dxa"/>
            <w:vAlign w:val="bottom"/>
          </w:tcPr>
          <w:p>
            <w:pPr>
              <w:ind w:left="840"/>
              <w:spacing w:after="0"/>
              <w:rPr>
                <w:sz w:val="20"/>
                <w:szCs w:val="20"/>
                <w:color w:val="auto"/>
              </w:rPr>
            </w:pPr>
            <w:r>
              <w:rPr>
                <w:rFonts w:ascii="Arial" w:cs="Arial" w:eastAsia="Arial" w:hAnsi="Arial"/>
                <w:sz w:val="20"/>
                <w:szCs w:val="20"/>
                <w:color w:val="auto"/>
              </w:rPr>
              <w:t>167%</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Linear interpolation of vesting if VWAP increase over Base Price is between 44% and 132%.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Time-Based Vesting Conditions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portion of the Performance Option which has Performance Vested shall become vested and exercisable in three equal annual installments (rounded to nearest whole number) upon your continued employment or service with LendingTree, Inc. or its Subsidiaries or Affiliates on December 31 of</w:t>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91" w:lineRule="auto"/>
        <w:rPr>
          <w:sz w:val="20"/>
          <w:szCs w:val="20"/>
          <w:color w:val="auto"/>
        </w:rPr>
      </w:pPr>
      <w:r>
        <w:rPr>
          <w:rFonts w:ascii="Arial" w:cs="Arial" w:eastAsia="Arial" w:hAnsi="Arial"/>
          <w:sz w:val="18"/>
          <w:szCs w:val="18"/>
          <w:color w:val="auto"/>
        </w:rPr>
        <w:t>each of 2024, 2025 and 2026, subject to the “Treatment on Termination” section below. Any incremental Performance Vesting that occurs in the quarter ended March 31, 2025 shall give rise to vesting and exercisability in three equal installments (rounded to the nearest whole number) upon such continued employment or service upon certification by the Committee and on December 31 of each of 2025 and 2026.</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Treatment on Termination</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and following January 1, 2024, you shall be deemed Retirement-eligible for purposes of your Performance Option, and in the event of your Termination of Employment (as defined in the Employment Agreement) due to your Retirement on or following such date, provided that such Termination of Employment due to your Retirement also constitutes a Termination of Service, the unvested portion of your Performance Option shall (i) remain outstanding and be eligible to become Performance Vested based on the extent to which the VWAP of the fiscal quarter ending following the date of your Termination of Employment increases over the Base Price hurdles and (ii) no longer be subject to any time-based vesting conditions or exercisability restrictions. For the sake of clarity, in the event that your Retirement does not also constitute a Termination of Service, the unvested portion of your Performance Option shall (i) remain outstanding and (ii) be eligible to become Performance Vested according to the “Performance-Based Vesting Conditions” section of this Award Notice.</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Except as provided above in the event of your Termination of Employment due to your Retirement or as may be otherwise provided under Sections 1(a), 1(b) or 1(d) of the Standard Terms and Conditions in the Employment Agreement, no portion of this Performance Option will vest after Employee experiences a Termination of Service and any then unvested portion shall be forfeited without consideration as of such Termination of Service. The then vested portion of this Performance Option may remain exercisable after your Termination of Service to the extent provided in the “Expiration Date” section above.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avoidance of doubt, transfers of employment among the Company and its Subsidiaries and Affiliates, without any break in service, is not a Termination of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When you wish to exercise this Award, you must notify the Company by filing a “Notice of Exercise” in the form prescribed by LendingTree, Inc. at the address given on the form. Your notice must specify how many Shares you wish to purchase and is subject to the minimum purchase limitation set forth in Plan section 5(g). The notice can only become effective after it is received and approved by the Company. If someone else wants to exercise this Performance Option after your death, that person must prove to the Company’s satisfaction that he or she is entitled to do so.</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Plan sections 5(g)(i), 5(g)(ii), or 5(g)(iii).</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and Withholding</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 later than the date as of which an amount in respect of any part of this Award first becomes includable in your gross income for federal, state, local or foreign income or employment or other tax purposes, LendingTree, Inc.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(at the Company’s sole discretion) issued upon settlement of the Award that gives rise to the</w:t>
      </w:r>
    </w:p>
    <w:p>
      <w:pPr>
        <w:sectPr>
          <w:pgSz w:w="11900" w:h="16838" w:orient="portrait"/>
          <w:cols w:equalWidth="0" w:num="1">
            <w:col w:w="11240"/>
          </w:cols>
          <w:pgMar w:left="320" w:top="1419" w:right="339" w:bottom="1440" w:gutter="0" w:footer="0" w:header="0"/>
        </w:sectPr>
      </w:pPr>
    </w:p>
    <w:bookmarkStart w:id="137" w:name="page138"/>
    <w:bookmarkEnd w:id="137"/>
    <w:p>
      <w:pPr>
        <w:jc w:val="both"/>
        <w:spacing w:after="0" w:line="276" w:lineRule="auto"/>
        <w:rPr>
          <w:sz w:val="20"/>
          <w:szCs w:val="20"/>
          <w:color w:val="auto"/>
        </w:rPr>
      </w:pPr>
      <w:r>
        <w:rPr>
          <w:rFonts w:ascii="Arial" w:cs="Arial" w:eastAsia="Arial" w:hAnsi="Arial"/>
          <w:sz w:val="18"/>
          <w:szCs w:val="18"/>
          <w:color w:val="auto"/>
        </w:rPr>
        <w:t>withholding requirement. In the event Shares are deducted to cover tax withholdings, the number of Shares withheld shall generally have a Fair Market Value equal to the aggregate amount of LendingTree, Inc.’s withholding obligation on the date of exercise of the Performance Option. If the event that any such deduction and/or withholding is prohibited by law, you shall, prior to or contemporaneously with the settlement of your Award, be required to pay to LendingTree, Inc., or make arrangements satisfactory to LendingTree, Inc. regarding the payment of, any federal, state, local or foreign taxes of any kind required by law to be withheld with respect to such amount. To the extent approved by the Committee, you may satisfy the applicable tax withholding amounts as permitted under Plan section 13(d).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Non-Transferability of the Award</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Your Award shall not be transferable by you by means of sale, assignment, exchange, encumbrance, pledge, hedge or otherwise except as may be permitted under Plan section 5(j).</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Rights as a Stockholder</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LendingTree, Inc. declares and pays dividends on the Common Stock during the period in which any portion of this Award remains unvested, this Award will not be credited with any dividends.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Restrictions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and Interpretation</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 Inc.’s intranet or given to you directly or indirectly through the Agent (including information posted on https://www.benefitaccess.com) and LendingTree, Inc.’s books and records, or (ii) ambiguity in the Award Notice (or any information posted on LendingTree, Inc.’s intranet or given to you directly or indirectly through the Agent (including information posted on https://www.benefitaccess.com), LendingTree, Inc.’s books and records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LendingTree, Inc. may modify, amend or waive the terms of your Award, prospectively or retroactively, but no such modification, amendment or waiver shall materially impair your rights without your consent, except as required by applicable law, NASDAQ or stock exchange rules, tax rules or accounting rules.</w:t>
      </w:r>
    </w:p>
    <w:p>
      <w:pPr>
        <w:sectPr>
          <w:pgSz w:w="11900" w:h="16838" w:orient="portrait"/>
          <w:cols w:equalWidth="0" w:num="1">
            <w:col w:w="11240"/>
          </w:cols>
          <w:pgMar w:left="320" w:top="1419"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Data Protection</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acceptance of your Award constitutes your authorization of the release from time to time to LendingTree, Inc. or any of its Subsidiaries or Affiliates and to the Agent (together, the “Relevant Companies”) of any and all personal or professional data that is necessary or desirable for the administration of your Award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LendingTree, Inc., your employing company or the Agent considers appropriate. You shall have access to, and the right to change, the Relevant Information, which will only be used in accordance with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Sections 409A, 280G and 4999 of the Code</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Your Award is not intended to constitute “nonqualified deferred compensation” within the meaning of Section 409A of the Code and related rules and regulations (“Section 409A”). In no event shall LendingTree, Inc. be required to pay you any “gross-up” or other payment with respect to any taxes or penalties imposed under Section 409A (or Code Section 280G or 4999) with respect to any amounts or benefits paid to you in respect of your Award.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 of Changes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changes to these Terms and Conditions shall either be posted on LendingTree, Inc.’s intranet or communicated (either directly by LendingTree, Inc.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413"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OF STOCK OPTION AGREEMENT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 of Stock Option Award Granted Under the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Sixth Amended and Restated 2008 Stock and Annual Incentive Plan</w:t>
      </w:r>
    </w:p>
    <w:p>
      <w:pPr>
        <w:spacing w:after="0" w:line="229" w:lineRule="exact"/>
        <w:rPr>
          <w:sz w:val="20"/>
          <w:szCs w:val="20"/>
          <w:color w:val="auto"/>
        </w:rPr>
      </w:pPr>
    </w:p>
    <w:p>
      <w:pPr>
        <w:jc w:val="both"/>
        <w:spacing w:after="0" w:line="318" w:lineRule="auto"/>
        <w:rPr>
          <w:sz w:val="20"/>
          <w:szCs w:val="20"/>
          <w:color w:val="auto"/>
        </w:rPr>
      </w:pPr>
      <w:r>
        <w:rPr>
          <w:rFonts w:ascii="Arial" w:cs="Arial" w:eastAsia="Arial" w:hAnsi="Arial"/>
          <w:sz w:val="16"/>
          <w:szCs w:val="16"/>
          <w:b w:val="1"/>
          <w:bCs w:val="1"/>
          <w:u w:val="single" w:color="auto"/>
          <w:color w:val="auto"/>
        </w:rPr>
        <w:t>Important Note</w:t>
      </w:r>
      <w:r>
        <w:rPr>
          <w:rFonts w:ascii="Arial" w:cs="Arial" w:eastAsia="Arial" w:hAnsi="Arial"/>
          <w:sz w:val="16"/>
          <w:szCs w:val="16"/>
          <w:b w:val="1"/>
          <w:bCs w:val="1"/>
          <w:color w:val="auto"/>
        </w:rPr>
        <w:t>: You must login to your account at to accept this Award and obtain other important information concerning this Award, such as a copy of the LendingTree, Inc. Sixth Amended and Restated 2008 Stock and Annual Incentive Plan as the same has been amended and restated from time to time up to the date of this Award (the “2008 Plan”) and the Terms and Conditions for Stock Option Award (the “Terms and Conditions”). Additional copies of these documents are also available on the MyEquity page of the Company intranet or upon request from your Human Resources Department. This Award will not become effective until you login and accept both documents. You acknowledge that you have received copies of the 2008 Plan and the 2008 Plan’s prospectus.</w:t>
      </w:r>
    </w:p>
    <w:p>
      <w:pPr>
        <w:sectPr>
          <w:pgSz w:w="11900" w:h="16838" w:orient="portrait"/>
          <w:cols w:equalWidth="0" w:num="1">
            <w:col w:w="11240"/>
          </w:cols>
          <w:pgMar w:left="320" w:top="1413" w:right="3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Award Recipient: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Douglas Lebda (also referred to herein as “you” or “Employee”)</w:t>
      </w:r>
    </w:p>
    <w:p>
      <w:pPr>
        <w:spacing w:after="0" w:line="71"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Stock Option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Under the 2008 Plan:</w:t>
      </w:r>
    </w:p>
    <w:p>
      <w:pPr>
        <w:spacing w:after="0" w:line="216"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spacing w:after="0" w:line="45" w:lineRule="exact"/>
        <w:rPr>
          <w:sz w:val="20"/>
          <w:szCs w:val="20"/>
          <w:color w:val="auto"/>
        </w:rPr>
      </w:pPr>
    </w:p>
    <w:p>
      <w:pPr>
        <w:ind w:left="3600" w:right="780"/>
        <w:spacing w:after="0" w:line="250" w:lineRule="auto"/>
        <w:rPr>
          <w:sz w:val="20"/>
          <w:szCs w:val="20"/>
          <w:color w:val="auto"/>
        </w:rPr>
      </w:pPr>
      <w:r>
        <w:rPr>
          <w:rFonts w:ascii="Arial" w:cs="Arial" w:eastAsia="Arial" w:hAnsi="Arial"/>
          <w:sz w:val="20"/>
          <w:szCs w:val="20"/>
          <w:color w:val="auto"/>
        </w:rPr>
        <w:t>You have been awarded a nonqualified stock option to acquire 125,853 Shares of LendingTree, Inc. Common Stock at an “Exercise Price” of $300.00 per Share (“Stock Option”).</w:t>
      </w:r>
    </w:p>
    <w:p>
      <w:pPr>
        <w:sectPr>
          <w:pgSz w:w="11900" w:h="16838" w:orient="portrait"/>
          <w:cols w:equalWidth="0" w:num="1">
            <w:col w:w="11240"/>
          </w:cols>
          <w:pgMar w:left="320" w:top="1413" w:right="339" w:bottom="1440" w:gutter="0" w:footer="0" w:header="0"/>
          <w:type w:val="continuous"/>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Award Date: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December 3, 2020</w:t>
      </w:r>
    </w:p>
    <w:p>
      <w:pPr>
        <w:spacing w:after="0" w:line="93"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ind w:right="160"/>
        <w:spacing w:after="0" w:line="280" w:lineRule="auto"/>
        <w:rPr>
          <w:sz w:val="20"/>
          <w:szCs w:val="20"/>
          <w:color w:val="auto"/>
        </w:rPr>
      </w:pPr>
      <w:r>
        <w:rPr>
          <w:rFonts w:ascii="Arial" w:cs="Arial" w:eastAsia="Arial" w:hAnsi="Arial"/>
          <w:sz w:val="18"/>
          <w:szCs w:val="18"/>
          <w:color w:val="auto"/>
        </w:rPr>
        <w:t>Subject to your continued employment or service with LendingTree, Inc. or its Subsidiaries or Affiliates, your Stock Option shall, subject to the provisions of the 2008 Plan, vest and no longer be subject to any vesting restriction in six equal annual installments (rounded to nearest whole number) on each December 31 of 2021, 2022, 2023, 2024, 2025 and 2026.</w:t>
      </w:r>
    </w:p>
    <w:p>
      <w:pPr>
        <w:spacing w:after="0" w:line="1"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ind w:right="160"/>
        <w:spacing w:after="0" w:line="257" w:lineRule="auto"/>
        <w:rPr>
          <w:sz w:val="20"/>
          <w:szCs w:val="20"/>
          <w:color w:val="auto"/>
        </w:rPr>
      </w:pPr>
      <w:r>
        <w:rPr>
          <w:rFonts w:ascii="Arial" w:cs="Arial" w:eastAsia="Arial" w:hAnsi="Arial"/>
          <w:sz w:val="19"/>
          <w:szCs w:val="19"/>
          <w:color w:val="auto"/>
        </w:rPr>
        <w:t>The vested portion of this Stock Option will expire upon the earlier of (i) the expiration of the 12-month period following your Termination of Service (as defined in your employment agreement with the Company and LendingTree, LLC, dated as of November 30, 2020 (the “Employment Agreement”)), (ii) the date of Change of Control of the Company (as defined in the Employment Agreement) if this Stock Option is not being assumed, replaced, substituted for or otherwise continued after the Change of Control, or (iii) 10 years from your Award Date (the “Expiration Date”) or except as otherwise provided in the 2008 Plan or the attached Terms and Conditions.</w:t>
      </w:r>
    </w:p>
    <w:p>
      <w:pPr>
        <w:spacing w:after="0" w:line="180" w:lineRule="exact"/>
        <w:rPr>
          <w:sz w:val="20"/>
          <w:szCs w:val="20"/>
          <w:color w:val="auto"/>
        </w:rPr>
      </w:pPr>
    </w:p>
    <w:p>
      <w:pPr>
        <w:sectPr>
          <w:pgSz w:w="11900" w:h="16838" w:orient="portrait"/>
          <w:cols w:equalWidth="0" w:num="2">
            <w:col w:w="2880" w:space="720"/>
            <w:col w:w="7640"/>
          </w:cols>
          <w:pgMar w:left="320" w:top="1413" w:right="339" w:bottom="1440" w:gutter="0" w:footer="0" w:header="0"/>
          <w:type w:val="continuous"/>
        </w:sectPr>
      </w:pPr>
    </w:p>
    <w:p>
      <w:pPr>
        <w:ind w:left="3600" w:right="240"/>
        <w:spacing w:after="0" w:line="260" w:lineRule="auto"/>
        <w:rPr>
          <w:sz w:val="20"/>
          <w:szCs w:val="20"/>
          <w:color w:val="auto"/>
        </w:rPr>
      </w:pPr>
      <w:r>
        <w:rPr>
          <w:rFonts w:ascii="Arial" w:cs="Arial" w:eastAsia="Arial" w:hAnsi="Arial"/>
          <w:sz w:val="20"/>
          <w:szCs w:val="20"/>
          <w:color w:val="auto"/>
        </w:rPr>
        <w:t>If you do not exercise your vested Stock Option before the Expiration Date, your unexercised Stock Option will be forfeited and canceled in its entirety.</w:t>
      </w:r>
    </w:p>
    <w:p>
      <w:pPr>
        <w:sectPr>
          <w:pgSz w:w="11900" w:h="16838" w:orient="portrait"/>
          <w:cols w:equalWidth="0" w:num="1">
            <w:col w:w="11240"/>
          </w:cols>
          <w:pgMar w:left="320" w:top="1413" w:right="339" w:bottom="1440" w:gutter="0" w:footer="0" w:header="0"/>
          <w:type w:val="continuous"/>
        </w:sectPr>
      </w:pPr>
    </w:p>
    <w:bookmarkStart w:id="140" w:name="page141"/>
    <w:bookmarkEnd w:id="140"/>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Post-Exercise Holding Period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Except for Shares that may be sold by Employee or retained by the Company in each case solely in order to satisfy applicable tax withholding, no Shares acquired by Employee upon the exercise of any vested portion of the Stock Option may be sold, transferred or otherwise disposed of by Employee until the earliest of (i) the second anniversary of the date of exercise, (ii) an event occurring under Sections 1(a), 1(b), 1(d) or 1(g) of the Standard Terms and Conditions of the Employment Agreement (which, for the avoidance of doubt, does not include a Termination of Service by Employee due to Employee’s Retirement) or (iii) a Change of Control of the Company.</w:t>
      </w:r>
    </w:p>
    <w:p>
      <w:pPr>
        <w:spacing w:after="0" w:line="12" w:lineRule="exact"/>
        <w:rPr>
          <w:sz w:val="20"/>
          <w:szCs w:val="20"/>
          <w:color w:val="auto"/>
        </w:rPr>
      </w:pPr>
    </w:p>
    <w:p>
      <w:pPr>
        <w:sectPr>
          <w:pgSz w:w="11900" w:h="16838" w:orient="portrait"/>
          <w:cols w:equalWidth="0" w:num="2">
            <w:col w:w="2860" w:space="720"/>
            <w:col w:w="7360"/>
          </w:cols>
          <w:pgMar w:left="340" w:top="1440" w:right="619" w:bottom="1440" w:gutter="0" w:footer="0" w:header="0"/>
        </w:sectPr>
      </w:pPr>
    </w:p>
    <w:p>
      <w:pPr>
        <w:spacing w:after="0"/>
        <w:rPr>
          <w:sz w:val="20"/>
          <w:szCs w:val="20"/>
          <w:color w:val="auto"/>
        </w:rPr>
      </w:pPr>
      <w:r>
        <w:rPr>
          <w:rFonts w:ascii="Arial" w:cs="Arial" w:eastAsia="Arial" w:hAnsi="Arial"/>
          <w:sz w:val="18"/>
          <w:szCs w:val="18"/>
          <w:b w:val="1"/>
          <w:bCs w:val="1"/>
          <w:color w:val="auto"/>
        </w:rPr>
        <w:t>Impact of a Termination of Service:</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9"/>
          <w:szCs w:val="19"/>
          <w:color w:val="auto"/>
        </w:rPr>
        <w:t>Except as otherwise provided in the 2008 Plan, this Award Notice or your Employment Agreement, the unvested portion of this Stock Option will be forfeited without consideration and canceled in its entirety upon your Termination of Service.</w:t>
      </w:r>
    </w:p>
    <w:p>
      <w:pPr>
        <w:spacing w:after="0" w:line="2" w:lineRule="exact"/>
        <w:rPr>
          <w:sz w:val="20"/>
          <w:szCs w:val="20"/>
          <w:color w:val="auto"/>
        </w:rPr>
      </w:pPr>
    </w:p>
    <w:p>
      <w:pPr>
        <w:sectPr>
          <w:pgSz w:w="11900" w:h="16838" w:orient="portrait"/>
          <w:cols w:equalWidth="0" w:num="2">
            <w:col w:w="3020" w:space="560"/>
            <w:col w:w="7360"/>
          </w:cols>
          <w:pgMar w:left="340" w:top="1440" w:right="6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Terms and Conditions:</w:t>
      </w:r>
    </w:p>
    <w:p>
      <w:pPr>
        <w:spacing w:after="0" w:line="20" w:lineRule="exact"/>
        <w:rPr>
          <w:sz w:val="20"/>
          <w:szCs w:val="20"/>
          <w:color w:val="auto"/>
        </w:rPr>
      </w:pPr>
      <w:r>
        <w:rPr>
          <w:sz w:val="20"/>
          <w:szCs w:val="20"/>
          <w:color w:val="auto"/>
        </w:rPr>
        <w:br w:type="column"/>
      </w:r>
    </w:p>
    <w:p>
      <w:pPr>
        <w:ind w:right="280"/>
        <w:spacing w:after="0" w:line="287" w:lineRule="auto"/>
        <w:rPr>
          <w:sz w:val="20"/>
          <w:szCs w:val="20"/>
          <w:color w:val="auto"/>
        </w:rPr>
      </w:pPr>
      <w:r>
        <w:rPr>
          <w:rFonts w:ascii="Arial" w:cs="Arial" w:eastAsia="Arial" w:hAnsi="Arial"/>
          <w:sz w:val="19"/>
          <w:szCs w:val="19"/>
          <w:color w:val="auto"/>
        </w:rPr>
        <w:t>Capitalized terms used (but not defined) in this Award Notice shall have the meanings set forth in the 2008 Plan or the Employment Agreement, as applicable.</w:t>
      </w:r>
    </w:p>
    <w:p>
      <w:pPr>
        <w:spacing w:after="0" w:line="152" w:lineRule="exact"/>
        <w:rPr>
          <w:sz w:val="20"/>
          <w:szCs w:val="20"/>
          <w:color w:val="auto"/>
        </w:rPr>
      </w:pPr>
    </w:p>
    <w:p>
      <w:pPr>
        <w:sectPr>
          <w:pgSz w:w="11900" w:h="16838" w:orient="portrait"/>
          <w:cols w:equalWidth="0" w:num="2">
            <w:col w:w="2860" w:space="720"/>
            <w:col w:w="7360"/>
          </w:cols>
          <w:pgMar w:left="340" w:top="1440" w:right="619" w:bottom="1440" w:gutter="0" w:footer="0" w:header="0"/>
          <w:type w:val="continuous"/>
        </w:sectPr>
      </w:pPr>
    </w:p>
    <w:p>
      <w:pPr>
        <w:ind w:left="3580" w:right="20"/>
        <w:spacing w:after="0" w:line="321" w:lineRule="auto"/>
        <w:rPr>
          <w:sz w:val="20"/>
          <w:szCs w:val="20"/>
          <w:color w:val="auto"/>
        </w:rPr>
      </w:pPr>
      <w:r>
        <w:rPr>
          <w:rFonts w:ascii="Arial" w:cs="Arial" w:eastAsia="Arial" w:hAnsi="Arial"/>
          <w:sz w:val="16"/>
          <w:szCs w:val="16"/>
          <w:color w:val="auto"/>
        </w:rPr>
        <w:t>Your Stock Option is subject to the Terms and Conditions attached hereto and to the 2008 Plan, which are posted on www.benefitaccess.com and incorporated herein by reference, and any employment agreement between you and LendingTree, Inc. Copies of these documents are also available upon request from your Human Resources Department. In the event of a conflict between the Terms and Conditions and this Notice, this Notice shall control.</w:t>
      </w:r>
    </w:p>
    <w:p>
      <w:pPr>
        <w:spacing w:after="0" w:line="133" w:lineRule="exact"/>
        <w:rPr>
          <w:sz w:val="20"/>
          <w:szCs w:val="20"/>
          <w:color w:val="auto"/>
        </w:rPr>
      </w:pPr>
    </w:p>
    <w:p>
      <w:pPr>
        <w:ind w:left="3580" w:right="60"/>
        <w:spacing w:after="0" w:line="260" w:lineRule="auto"/>
        <w:rPr>
          <w:sz w:val="20"/>
          <w:szCs w:val="20"/>
          <w:color w:val="auto"/>
        </w:rPr>
      </w:pPr>
      <w:r>
        <w:rPr>
          <w:rFonts w:ascii="Arial" w:cs="Arial" w:eastAsia="Arial" w:hAnsi="Arial"/>
          <w:sz w:val="20"/>
          <w:szCs w:val="20"/>
          <w:color w:val="auto"/>
        </w:rPr>
        <w:t>Without a complete review of these documents, you will not have a full understanding of all the material terms of your Stock Option.</w:t>
      </w:r>
    </w:p>
    <w:p>
      <w:pPr>
        <w:sectPr>
          <w:pgSz w:w="11900" w:h="16838" w:orient="portrait"/>
          <w:cols w:equalWidth="0" w:num="1">
            <w:col w:w="10940"/>
          </w:cols>
          <w:pgMar w:left="340" w:top="1440" w:right="61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Terms and Conditions for Stock Option Award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These Terms and Conditions apply to the stock option (the “Award”) awarded to you by LendingTree, Inc. (“LendingTree, Inc.” or the “Company”) pursuant to the LendingTree, Inc. Sixth Amended and Restated 2008 Stock and Annual Incentive Plan as the same has been amended and restated from time to time (the “2008 Plan”). You were notified of your Award by way of an award notice (the “Award Notice”).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Continuous Service</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order for shares subject to this Award to vest and be exercisable, you must not experience a Termination of Service before the applicable vesting event as set forth in the “Vesting Schedule” section of the Award Notice, except as otherwise provided in the Employment Agreement. Nothing in your Award Notice, these Terms and Conditions, or the 2008 Plan shall confer upon you any right to continue in the employ or service of LendingTree, Inc. or any of its Subsidiaries or Affiliates or interfere in any way with their rights to terminate your employment or service at any time and for any or no reason.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Award Notice, these Terms and Conditions and the 2008 Plan, the Award shall vest and no longer be subject to satisfaction of any restriction on the dates and subject to any applicable performance conditions (such period during which restrictions apply is the “Restriction Period”) as set forth in the “Vesting Schedule” section of the Award Notice.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Treatment on Termination</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On and following January 1, 2024, you shall be deemed Retirement-eligible for purposes of your Stock Option, and in the event of your Termination of Employment (as defined in the Employment Agreement) due to your Retirement on or following such date, provided that such Termination of Employment due to your Retirement also constitutes a Termination of Service, you shall be entitled to additional vesting of your Stock Option based the number of days that you remained employed with or provide services to the Company or any of its Subsidiaries from most recent vesting date of your Stock Option through the date of such Termination of Employment due to your Retirement. For the sake of clarity, in the event that your Retirement does not also constitute a Termination of Service, the unvested portion of your Stock Option shall (i) remain outstanding and (ii) continue to vest according to the “Vesting Schedule” section of this Award Notice.</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Except as provided above in the event of your Termination of Employment due to your Retirement or as may be otherwise provided under Sections 1(a), 1(b) or 1(d) of the Standard Terms and Conditions in the Employment Agreement, no portion of this Stock Option will vest after Employee experiences a Termination of Service and any then unvested portion shall be forfeited without consideration as of such Termination of Service. The then vested portion of this Stock Option may remain exercisable after your Termination of Service to the extent provided in the “Expiration Date” section above.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avoidance of doubt, transfers of employment among the Company and its Subsidiaries and Affiliates, without any break in service, is not a Termination of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When you wish to exercise this Award, you must notify the Company by filing a “Notice of Exercise” in the form prescribed by LendingTree, Inc. at the address given on the form. Your notice must</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20"/>
          <w:szCs w:val="20"/>
          <w:color w:val="auto"/>
        </w:rPr>
        <w:t>specify how many Shares you wish to purchase and is subject to the minimum purchase limitation set forth in Plan section 5(g).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Plan sections 5(g)(i), 5(g)(ii), or 5(g)(iii).</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and Withholding</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No later than the date as of which an amount in respect of any part of this Award first becomes includable in your gross income for federal, state, local or foreign income or employment or other tax purposes, LendingTree, Inc.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(at the Company’s sole discretion) issued upon settlement of the Award that gives rise to the withholding requirement. In the event Shares are deducted to cover tax withholdings, the number of Shares withheld shall generally have a Fair Market Value equal to the aggregate amount of LendingTree, Inc.’s withholding obligation on the date of exercise of the Stock Option. If the event that any such deduction and/or withholding is prohibited by law, you shall, prior to or contemporaneously with the settlement of your Award, be required to pay to LendingTree, Inc., or make arrangements satisfactory to LendingTree, Inc. regarding the payment of, any federal, state, local or foreign taxes of any kind required by law to be withheld with respect to such amount. To the extent approved by the Committee, you may satisfy the applicable tax withholding amounts as permitted under Plan section 13(d).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Non-Transferability of the Award</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Your Award shall not be transferable by you by means of sale, assignment, exchange, encumbrance, pledge, hedge or otherwise except as may be permitted under Plan section 5(j).</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Rights as a Stockholder</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Until your Award is exercised and settled with Shares, you shall not be entitled to any rights of a stockholder with respect to the Award (including the right to vote the underlying Shares or receive dividends). Moreover, if LendingTree, Inc. declares and pays dividends on the Common Stock during the Restriction Period, this Award will not be credited with any dividends.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Restrictions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and Interpretation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of any conflict between these Terms and Conditions and the 2008 Plan, the 2008 Plan shall control; provided, that an action or provision that is permissive under the terms of the 2008 Plan,</w:t>
      </w:r>
    </w:p>
    <w:p>
      <w:pPr>
        <w:sectPr>
          <w:pgSz w:w="11900" w:h="16838" w:orient="portrait"/>
          <w:cols w:equalWidth="0" w:num="1">
            <w:col w:w="11240"/>
          </w:cols>
          <w:pgMar w:left="320" w:top="1419" w:right="339" w:bottom="1440" w:gutter="0" w:footer="0" w:header="0"/>
        </w:sectPr>
      </w:pPr>
    </w:p>
    <w:bookmarkStart w:id="143" w:name="page144"/>
    <w:bookmarkEnd w:id="143"/>
    <w:p>
      <w:pPr>
        <w:jc w:val="both"/>
        <w:spacing w:after="0" w:line="276" w:lineRule="auto"/>
        <w:rPr>
          <w:sz w:val="20"/>
          <w:szCs w:val="20"/>
          <w:color w:val="auto"/>
        </w:rPr>
      </w:pPr>
      <w:r>
        <w:rPr>
          <w:rFonts w:ascii="Arial" w:cs="Arial" w:eastAsia="Arial" w:hAnsi="Arial"/>
          <w:sz w:val="18"/>
          <w:szCs w:val="18"/>
          <w:color w:val="auto"/>
        </w:rPr>
        <w:t>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 Inc.’s intranet or given to you directly or indirectly through the Agent (including information posted on https://www.benefitaccess.com) and LendingTree, Inc.’s books and records, or (ii) ambiguity in the Award Notice (or any information posted on LendingTree, Inc.’s intranet or given to you directly or indirectly through the Agent (including information posted on https://www.benefitaccess.com), LendingTree, Inc.’s books and records shall control.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LendingTree, Inc. may modify, amend or waive the terms of your Award, prospectively or retroactively, but no such modification, amendment or waiver shall materially impair your rights without your consent, except as required by applicable law, NASDAQ or stock exchange rules, tax rules or accounting rules.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Protection</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acceptance of your Award constitutes your authorization of the release from time to time to LendingTree, Inc. or any of its Subsidiaries or Affiliates and to the Agent (together, the “Relevant Companies”) of any and all personal or professional data that is necessary or desirable for the administration of your Award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LendingTree, Inc., your employing company or the Agent considers appropriate. You shall have access to, and the right to change, the Relevant Information, which will only be used in accordance with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Sections 409A, 280G and 4999 of the Code</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Your Award is not intended to constitute “nonqualified deferred compensation” within the meaning of Section 409A of the Code and related rules and regulations (“Section 409A”). In no event shall LendingTree, Inc. be required to pay you any “gross-up” or other payment with respect to any taxes or penalties imposed under Section 409A (or Code Section 280G or 4999) with respect to any amounts or benefits paid to you in respect of your Award.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 of Changes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changes to these Terms and Conditions shall either be posted on LendingTree, Inc.’s intranet or communicated (either directly by LendingTree, Inc. or indirectly through any of its Subsidiaries, Affiliates or the Agent) to you electronically via e-mail (or otherwise in writing) after such change becomes effective.</w:t>
      </w:r>
    </w:p>
    <w:p>
      <w:pPr>
        <w:sectPr>
          <w:pgSz w:w="11900" w:h="16838" w:orient="portrait"/>
          <w:cols w:equalWidth="0" w:num="1">
            <w:col w:w="11240"/>
          </w:cols>
          <w:pgMar w:left="320" w:top="141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RELEASE AGREEMENT</w:t>
      </w:r>
    </w:p>
    <w:p>
      <w:pPr>
        <w:spacing w:after="0" w:line="249" w:lineRule="exact"/>
        <w:rPr>
          <w:sz w:val="20"/>
          <w:szCs w:val="20"/>
          <w:color w:val="auto"/>
        </w:rPr>
      </w:pPr>
    </w:p>
    <w:p>
      <w:pPr>
        <w:ind w:left="660"/>
        <w:spacing w:after="0"/>
        <w:tabs>
          <w:tab w:leader="none" w:pos="6440" w:val="left"/>
          <w:tab w:leader="none" w:pos="8100" w:val="left"/>
        </w:tabs>
        <w:rPr>
          <w:sz w:val="20"/>
          <w:szCs w:val="20"/>
          <w:color w:val="auto"/>
        </w:rPr>
      </w:pPr>
      <w:r>
        <w:rPr>
          <w:rFonts w:ascii="Arial" w:cs="Arial" w:eastAsia="Arial" w:hAnsi="Arial"/>
          <w:sz w:val="20"/>
          <w:szCs w:val="20"/>
          <w:color w:val="auto"/>
        </w:rPr>
        <w:t>This Release Agreement (“Release”) is entered into as of this</w:t>
      </w:r>
      <w:r>
        <w:rPr>
          <w:sz w:val="20"/>
          <w:szCs w:val="20"/>
          <w:color w:val="auto"/>
        </w:rPr>
        <w:tab/>
      </w:r>
      <w:r>
        <w:rPr>
          <w:rFonts w:ascii="Arial" w:cs="Arial" w:eastAsia="Arial" w:hAnsi="Arial"/>
          <w:sz w:val="20"/>
          <w:szCs w:val="20"/>
          <w:color w:val="auto"/>
        </w:rPr>
        <w:t>day of</w:t>
      </w:r>
      <w:r>
        <w:rPr>
          <w:sz w:val="20"/>
          <w:szCs w:val="20"/>
          <w:color w:val="auto"/>
        </w:rPr>
        <w:tab/>
      </w:r>
      <w:r>
        <w:rPr>
          <w:rFonts w:ascii="Arial" w:cs="Arial" w:eastAsia="Arial" w:hAnsi="Arial"/>
          <w:sz w:val="18"/>
          <w:szCs w:val="18"/>
          <w:color w:val="auto"/>
        </w:rPr>
        <w:t>, hereinafter “Execution Date”, by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15627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9">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20"/>
          <w:szCs w:val="20"/>
          <w:color w:val="auto"/>
        </w:rPr>
        <w:t>between Douglas R. Lebda (hereinafter “Employee”), and LendingTree, LLC (hereinafter, “LTLLC”) and LendingTree, Inc. (hereinafter, the “Company”). Employee, LTLLC and the Company are collectively referred to herein as the “Parties”.</w:t>
      </w:r>
    </w:p>
    <w:p>
      <w:pPr>
        <w:spacing w:after="0" w:line="191" w:lineRule="exact"/>
        <w:rPr>
          <w:sz w:val="20"/>
          <w:szCs w:val="20"/>
          <w:color w:val="auto"/>
        </w:rPr>
      </w:pPr>
    </w:p>
    <w:p>
      <w:pPr>
        <w:jc w:val="both"/>
        <w:ind w:firstLine="656"/>
        <w:spacing w:after="0" w:line="244" w:lineRule="auto"/>
        <w:tabs>
          <w:tab w:leader="none" w:pos="1018"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Parties were parties to an “Employment Agreement” dated November 30, 2020. Employee’s employment with LTLLC was terminated effective [Month, Day, Year] (hereinafter “Termination Date”). The Parties have agreed to avoid and resolve any alleged existing or potential disagreements between them arising out of or connected with Employee’s employment with LTLLC including the termination thereof. The Company and LTLLC expressly disclaim any wrongdoing or any liability to Employee. The Company, LTLLC and their respective subsidiaries collectively are referred to herein as the “Company Group”.</w:t>
      </w:r>
    </w:p>
    <w:p>
      <w:pPr>
        <w:spacing w:after="0" w:line="194" w:lineRule="exact"/>
        <w:rPr>
          <w:rFonts w:ascii="Arial" w:cs="Arial" w:eastAsia="Arial" w:hAnsi="Arial"/>
          <w:sz w:val="20"/>
          <w:szCs w:val="20"/>
          <w:color w:val="auto"/>
        </w:rPr>
      </w:pPr>
    </w:p>
    <w:p>
      <w:pPr>
        <w:jc w:val="both"/>
        <w:ind w:firstLine="656"/>
        <w:spacing w:after="0" w:line="244" w:lineRule="auto"/>
        <w:tabs>
          <w:tab w:leader="none" w:pos="100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Company or LTLLC agrees to provide Employee the severance benefits provided for in [Section 1(a) of the Standard Terms and Conditions of the Employment Agreement] [Section 1(b) of the Standard Terms and Conditions of the Employment Agreement] [Section 1(d) of the Standard Terms and Conditions of the Employment Agreement] [Section 1(g) of the Standard Terms and Conditions of the Employment Agreement] (the “Severance Benefits”) after he executes this Release and does not revoke it as permitted in Section 8 below, the expiration of such revocation period being the “Effective Date”).</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represents that he has not filed, and will not file, any complaints, lawsuits, administrative complaints or charges relating to his employment with, or resignation from, LTLLC, excluding any action to enforce the Employment Agreement as it relates to the provision of the Severance Benefits or to Section 10 of the Standard Terms and Conditions of the Employment Agreement; provided however that nothing contained in this Section 3 will prohibit Employee from bringing a claim to challenge the validity of the ADEA Release in Section 8 herein. Employee hereby releases the Company Group, its subsidiaries, affiliates, and their respective parents, direct or indirect subsidiaries, divisions, affiliates and related companies or entities, regardless of its or their form of business organization, any predecessors, successors, joint ventures, and parents of any such entity, and any and all of their respective past or present shareholders, partners, directors, officers, employees, consultants, independent contractors, trustees, administrators, insurers, agents, attorneys, representatives and fiduciaries, including without limitation all persons acting by, through, under or in concert with any of them (collectively, the “Released Parties”), from any and all claims, charges, complaints, causes of action or demands of whatever kind or nature that Employee now has or has ever had against the Released Parties, whether known or unknown, arising from or relating to Employee’s employment with or discharge from LTLLC, including but not limited to: wrongful or tortious termination; constructive discharge; implied or express employment contracts and/or estoppel; discrimination and/or retaliation under any federal, state or local statute or regulation, specifically including any claims Employee may have under the Fair Labor Standards Act, the Americans with Disabilities Act, Title VII of the Civil Rights Act of 1964 as amended, and the Family and Medical Leave Act; the discrimination or other employment laws of the State of North Carolina; any claims brought under any federal or state statute or regulation for non-payment of wages or other compensation, including grants of stock options or any other equity compensation; and libel, slander, or breach of contract other than the breach of this Release. This Release specifically excludes claims, charges, complaints, causes of action or demand that post-date the Execution Date.</w:t>
      </w:r>
    </w:p>
    <w:p>
      <w:pPr>
        <w:sectPr>
          <w:pgSz w:w="11900" w:h="16838" w:orient="portrait"/>
          <w:cols w:equalWidth="0" w:num="1">
            <w:col w:w="11240"/>
          </w:cols>
          <w:pgMar w:left="320" w:top="1413" w:right="339" w:bottom="1440" w:gutter="0" w:footer="0" w:header="0"/>
        </w:sectPr>
      </w:pPr>
    </w:p>
    <w:bookmarkStart w:id="145" w:name="page146"/>
    <w:bookmarkEnd w:id="145"/>
    <w:p>
      <w:pPr>
        <w:ind w:left="-8" w:firstLine="656"/>
        <w:spacing w:after="0" w:line="260" w:lineRule="auto"/>
        <w:tabs>
          <w:tab w:leader="none" w:pos="1118" w:val="left"/>
        </w:tabs>
        <w:numPr>
          <w:ilvl w:val="1"/>
          <w:numId w:val="83"/>
        </w:numPr>
        <w:rPr>
          <w:rFonts w:ascii="Arial" w:cs="Arial" w:eastAsia="Arial" w:hAnsi="Arial"/>
          <w:sz w:val="20"/>
          <w:szCs w:val="20"/>
          <w:color w:val="auto"/>
        </w:rPr>
      </w:pPr>
      <w:r>
        <w:rPr>
          <w:rFonts w:ascii="Arial" w:cs="Arial" w:eastAsia="Arial" w:hAnsi="Arial"/>
          <w:sz w:val="20"/>
          <w:szCs w:val="20"/>
          <w:color w:val="auto"/>
        </w:rPr>
        <w:t>Employee agrees to keep the fact that this Release exists and the terms of this Release in strict confidence except to his immediate family and his financial and legal advisors on a need-to-know basis.</w:t>
      </w:r>
    </w:p>
    <w:p>
      <w:pPr>
        <w:spacing w:after="0" w:line="176" w:lineRule="exact"/>
        <w:rPr>
          <w:rFonts w:ascii="Arial" w:cs="Arial" w:eastAsia="Arial" w:hAnsi="Arial"/>
          <w:sz w:val="20"/>
          <w:szCs w:val="20"/>
          <w:color w:val="auto"/>
        </w:rPr>
      </w:pPr>
    </w:p>
    <w:p>
      <w:pPr>
        <w:jc w:val="both"/>
        <w:ind w:left="-8" w:firstLine="656"/>
        <w:spacing w:after="0" w:line="250" w:lineRule="auto"/>
        <w:tabs>
          <w:tab w:leader="none" w:pos="1029" w:val="left"/>
        </w:tabs>
        <w:numPr>
          <w:ilvl w:val="1"/>
          <w:numId w:val="83"/>
        </w:numPr>
        <w:rPr>
          <w:rFonts w:ascii="Arial" w:cs="Arial" w:eastAsia="Arial" w:hAnsi="Arial"/>
          <w:sz w:val="20"/>
          <w:szCs w:val="20"/>
          <w:color w:val="auto"/>
        </w:rPr>
      </w:pPr>
      <w:r>
        <w:rPr>
          <w:rFonts w:ascii="Arial" w:cs="Arial" w:eastAsia="Arial" w:hAnsi="Arial"/>
          <w:sz w:val="20"/>
          <w:szCs w:val="20"/>
          <w:color w:val="auto"/>
        </w:rPr>
        <w:t>Employee warrants that no promise or inducement has been offered for this Release other than as set forth herein and that this Release is executed without reliance upon any other promises or representations, oral or written. Any modification of this Release must be made in writing and be signed by Employee, LTLLC and the Company.</w:t>
      </w:r>
    </w:p>
    <w:p>
      <w:pPr>
        <w:spacing w:after="0" w:line="185" w:lineRule="exact"/>
        <w:rPr>
          <w:rFonts w:ascii="Arial" w:cs="Arial" w:eastAsia="Arial" w:hAnsi="Arial"/>
          <w:sz w:val="20"/>
          <w:szCs w:val="20"/>
          <w:color w:val="auto"/>
        </w:rPr>
      </w:pPr>
    </w:p>
    <w:p>
      <w:pPr>
        <w:jc w:val="both"/>
        <w:ind w:left="-8" w:firstLine="656"/>
        <w:spacing w:after="0" w:line="250" w:lineRule="auto"/>
        <w:tabs>
          <w:tab w:leader="none" w:pos="1157" w:val="left"/>
        </w:tabs>
        <w:numPr>
          <w:ilvl w:val="1"/>
          <w:numId w:val="83"/>
        </w:numPr>
        <w:rPr>
          <w:rFonts w:ascii="Arial" w:cs="Arial" w:eastAsia="Arial" w:hAnsi="Arial"/>
          <w:sz w:val="20"/>
          <w:szCs w:val="20"/>
          <w:color w:val="auto"/>
        </w:rPr>
      </w:pPr>
      <w:r>
        <w:rPr>
          <w:rFonts w:ascii="Arial" w:cs="Arial" w:eastAsia="Arial" w:hAnsi="Arial"/>
          <w:sz w:val="20"/>
          <w:szCs w:val="20"/>
          <w:color w:val="auto"/>
        </w:rPr>
        <w:t>Employee will direct all employment verification inquiries to [HR Rep]. In response to inquiries regarding Employee’s employment with LTLLC, LTLLC by and through its speaking agent(s) agrees to provide only the following information: Employee’s date of hire, the date his employment ended and rates of pay.</w:t>
      </w:r>
    </w:p>
    <w:p>
      <w:pPr>
        <w:spacing w:after="0" w:line="185" w:lineRule="exact"/>
        <w:rPr>
          <w:rFonts w:ascii="Arial" w:cs="Arial" w:eastAsia="Arial" w:hAnsi="Arial"/>
          <w:sz w:val="20"/>
          <w:szCs w:val="20"/>
          <w:color w:val="auto"/>
        </w:rPr>
      </w:pPr>
    </w:p>
    <w:p>
      <w:pPr>
        <w:jc w:val="both"/>
        <w:ind w:left="-8" w:firstLine="656"/>
        <w:spacing w:after="0" w:line="272" w:lineRule="auto"/>
        <w:tabs>
          <w:tab w:leader="none" w:pos="1085"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any provision of this Release or compliance by Employee or LTLLC or the Company with any provision of the Release constitutes a 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such provision, to the extent that it is in violation of law, unenforceable or void, will be deemed severable from the remaining provisions of this Release, which provisions will remain binding on each of Employee, LTLLC and the Company. This Release is governed by, and construed and interpreted in accordance with the laws of the State of North Carolina, without regard to principles of conflicts of law. Employee consents to venue and personal jurisdiction in the State of North Carolina for disputes arising under this Release. This Release represents the entire understanding with the Parties with respect to subject matter herein, no oral representations have been made or relied upon by the Parties.</w:t>
      </w:r>
    </w:p>
    <w:p>
      <w:pPr>
        <w:spacing w:after="0" w:line="170" w:lineRule="exact"/>
        <w:rPr>
          <w:rFonts w:ascii="Arial" w:cs="Arial" w:eastAsia="Arial" w:hAnsi="Arial"/>
          <w:sz w:val="18"/>
          <w:szCs w:val="18"/>
          <w:color w:val="auto"/>
        </w:rPr>
      </w:pPr>
    </w:p>
    <w:p>
      <w:pPr>
        <w:jc w:val="both"/>
        <w:ind w:left="-8" w:firstLine="656"/>
        <w:spacing w:after="0" w:line="302" w:lineRule="auto"/>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further recognition of the above, Employee hereby releases and discharges the Released Parties from any and all claims, actions and causes of action that he may have against the Released Parties, as of the date of the execution of this Release, arising under the Age Discrimination in Employment Act of 1967, as amended (“ADEA”), and the applicable rules and regulations promulgated thereunder. Employee acknowledges and understands that ADEA is a federal statute that prohibits discrimination on the basis of age in employment, benefits and benefit plans. Employee specifically agrees and acknowledges that: (A) the release in this Section 8 was granted in exchange for the receipt of consideration that exceeds the amount to which he would otherwise be entitled to receive upon termination of his employment;</w:t>
      </w:r>
    </w:p>
    <w:p>
      <w:pPr>
        <w:spacing w:after="0" w:line="3" w:lineRule="exact"/>
        <w:rPr>
          <w:rFonts w:ascii="Arial" w:cs="Arial" w:eastAsia="Arial" w:hAnsi="Arial"/>
          <w:sz w:val="16"/>
          <w:szCs w:val="16"/>
          <w:color w:val="auto"/>
        </w:rPr>
      </w:pPr>
    </w:p>
    <w:p>
      <w:pPr>
        <w:jc w:val="both"/>
        <w:ind w:left="-8" w:firstLine="8"/>
        <w:spacing w:after="0" w:line="254" w:lineRule="auto"/>
        <w:tabs>
          <w:tab w:leader="none" w:pos="310" w:val="left"/>
        </w:tabs>
        <w:numPr>
          <w:ilvl w:val="0"/>
          <w:numId w:val="84"/>
        </w:numPr>
        <w:rPr>
          <w:rFonts w:ascii="Arial" w:cs="Arial" w:eastAsia="Arial" w:hAnsi="Arial"/>
          <w:sz w:val="19"/>
          <w:szCs w:val="19"/>
          <w:color w:val="auto"/>
        </w:rPr>
      </w:pPr>
      <w:r>
        <w:rPr>
          <w:rFonts w:ascii="Arial" w:cs="Arial" w:eastAsia="Arial" w:hAnsi="Arial"/>
          <w:sz w:val="19"/>
          <w:szCs w:val="19"/>
          <w:color w:val="auto"/>
        </w:rPr>
        <w:t>his waiver of rights under this Release is knowing and voluntary as required under the Older Workers Benefit Protection Act; (B) that he has read and understands the terms of this Release; (C) he has hereby been advised in writing by the Company Group to consult with an attorney prior to executing this Release; (D) the Company Group has given him a period of up to twenty-one (21) days within which to consider this Release, which period will be waived by Employee’s voluntary execution prior to the expiration of the twenty-one day period; and (E) following his execution of this Release he has seven (7) days in which to revoke his release as set forth in this Section 8 only and that, if he chooses not to so revoke, the Release in this Section 8 will then become effective and enforceable and the payment listed above will then be made to his in accordance with the terms of this Release. To cancel this Release, Employee understands that he must give a written revocation to the General Counsel &amp; Corporate Secretary of the Company at [ ], either by hand delivery or certified mail within the seven-day period. If he rescinds the Release, it will not become effective or enforceable and he will not be entitled to any benefits from the Company Group.</w:t>
      </w:r>
    </w:p>
    <w:p>
      <w:pPr>
        <w:spacing w:after="0" w:line="176" w:lineRule="exact"/>
        <w:rPr>
          <w:rFonts w:ascii="Arial" w:cs="Arial" w:eastAsia="Arial" w:hAnsi="Arial"/>
          <w:sz w:val="19"/>
          <w:szCs w:val="19"/>
          <w:color w:val="auto"/>
        </w:rPr>
      </w:pPr>
    </w:p>
    <w:p>
      <w:pPr>
        <w:jc w:val="both"/>
        <w:ind w:left="-8" w:firstLine="656"/>
        <w:spacing w:after="0" w:line="253" w:lineRule="auto"/>
        <w:tabs>
          <w:tab w:leader="none" w:pos="1198" w:val="left"/>
        </w:tabs>
        <w:numPr>
          <w:ilvl w:val="1"/>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EMPLOYEE ACKNOWLEDGES AND AGREES THAT HE HAS CAREFULLY READ AND VOLUNTARILY SIGNED THIS RELEASE, THAT HE HAS HAD AN OPPORTUNITY TO CONSULT WITH AN ATTORNEY OF HIS/HER CHOICE, AND</w:t>
      </w:r>
    </w:p>
    <w:p>
      <w:pPr>
        <w:sectPr>
          <w:pgSz w:w="11900" w:h="16838" w:orient="portrait"/>
          <w:cols w:equalWidth="0" w:num="1">
            <w:col w:w="11232"/>
          </w:cols>
          <w:pgMar w:left="328" w:top="1419" w:right="339" w:bottom="1440" w:gutter="0" w:footer="0" w:header="0"/>
        </w:sectPr>
      </w:pPr>
    </w:p>
    <w:bookmarkStart w:id="146" w:name="page147"/>
    <w:bookmarkEnd w:id="146"/>
    <w:p>
      <w:pPr>
        <w:jc w:val="both"/>
        <w:spacing w:after="0" w:line="253" w:lineRule="auto"/>
        <w:rPr>
          <w:sz w:val="20"/>
          <w:szCs w:val="20"/>
          <w:color w:val="auto"/>
        </w:rPr>
      </w:pPr>
      <w:r>
        <w:rPr>
          <w:rFonts w:ascii="Arial" w:cs="Arial" w:eastAsia="Arial" w:hAnsi="Arial"/>
          <w:sz w:val="20"/>
          <w:szCs w:val="20"/>
          <w:b w:val="1"/>
          <w:bCs w:val="1"/>
          <w:color w:val="auto"/>
        </w:rPr>
        <w:t>THAT HE SIGNS THIS RELEASE WITH THE INTENT OF RELEASING LTLLC, THE COMPANY, THEIR AFFILIATES, SUBSIDIARIES AND THEIR RESPECTIVE SHAREHOLDERS, DIRECTORS, OFFICERS, EMPLOYEES AND AGENTS FROM ANY AND ALL CLAIMS.</w:t>
      </w:r>
    </w:p>
    <w:p>
      <w:pPr>
        <w:sectPr>
          <w:pgSz w:w="11900" w:h="16838" w:orient="portrait"/>
          <w:cols w:equalWidth="0" w:num="1">
            <w:col w:w="11240"/>
          </w:cols>
          <w:pgMar w:left="320" w:top="1413"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6"/>
        </w:trPr>
        <w:tc>
          <w:tcPr>
            <w:tcW w:w="5180" w:type="dxa"/>
            <w:vAlign w:val="bottom"/>
            <w:gridSpan w:val="2"/>
          </w:tcPr>
          <w:p>
            <w:pPr>
              <w:spacing w:after="0"/>
              <w:rPr>
                <w:sz w:val="20"/>
                <w:szCs w:val="20"/>
                <w:color w:val="auto"/>
              </w:rPr>
            </w:pPr>
            <w:r>
              <w:rPr>
                <w:rFonts w:ascii="Arial" w:cs="Arial" w:eastAsia="Arial" w:hAnsi="Arial"/>
                <w:sz w:val="20"/>
                <w:szCs w:val="20"/>
                <w:b w:val="1"/>
                <w:bCs w:val="1"/>
                <w:color w:val="auto"/>
              </w:rPr>
              <w:t>ACCEPTED AND AGREED TO:</w:t>
            </w: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60" w:type="dxa"/>
            <w:vAlign w:val="bottom"/>
          </w:tcPr>
          <w:p>
            <w:pPr>
              <w:spacing w:after="0"/>
              <w:rPr>
                <w:sz w:val="22"/>
                <w:szCs w:val="22"/>
                <w:color w:val="auto"/>
              </w:rPr>
            </w:pPr>
          </w:p>
        </w:tc>
      </w:tr>
      <w:tr>
        <w:trPr>
          <w:trHeight w:val="509"/>
        </w:trPr>
        <w:tc>
          <w:tcPr>
            <w:tcW w:w="5180" w:type="dxa"/>
            <w:vAlign w:val="bottom"/>
            <w:tcBorders>
              <w:bottom w:val="single" w:sz="8" w:color="auto"/>
            </w:tcBorders>
            <w:gridSpan w:val="2"/>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4"/>
                <w:szCs w:val="24"/>
                <w:color w:val="auto"/>
              </w:rPr>
            </w:pPr>
          </w:p>
        </w:tc>
      </w:tr>
      <w:tr>
        <w:trPr>
          <w:trHeight w:val="233"/>
        </w:trPr>
        <w:tc>
          <w:tcPr>
            <w:tcW w:w="5180" w:type="dxa"/>
            <w:vAlign w:val="bottom"/>
            <w:gridSpan w:val="2"/>
          </w:tcPr>
          <w:p>
            <w:pPr>
              <w:ind w:left="20"/>
              <w:spacing w:after="0"/>
              <w:rPr>
                <w:sz w:val="20"/>
                <w:szCs w:val="20"/>
                <w:color w:val="auto"/>
              </w:rPr>
            </w:pPr>
            <w:r>
              <w:rPr>
                <w:rFonts w:ascii="Arial" w:cs="Arial" w:eastAsia="Arial" w:hAnsi="Arial"/>
                <w:sz w:val="20"/>
                <w:szCs w:val="20"/>
                <w:color w:val="auto"/>
              </w:rPr>
              <w:t>LendingTree, Inc.</w:t>
            </w:r>
          </w:p>
        </w:tc>
        <w:tc>
          <w:tcPr>
            <w:tcW w:w="760" w:type="dxa"/>
            <w:vAlign w:val="bottom"/>
          </w:tcPr>
          <w:p>
            <w:pPr>
              <w:spacing w:after="0"/>
              <w:rPr>
                <w:sz w:val="20"/>
                <w:szCs w:val="20"/>
                <w:color w:val="auto"/>
              </w:rPr>
            </w:pP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Douglas R. Lebda</w:t>
            </w:r>
          </w:p>
        </w:tc>
      </w:tr>
      <w:tr>
        <w:trPr>
          <w:trHeight w:val="250"/>
        </w:trPr>
        <w:tc>
          <w:tcPr>
            <w:tcW w:w="5180" w:type="dxa"/>
            <w:vAlign w:val="bottom"/>
            <w:gridSpan w:val="2"/>
          </w:tcPr>
          <w:p>
            <w:pPr>
              <w:ind w:left="20"/>
              <w:spacing w:after="0"/>
              <w:rPr>
                <w:sz w:val="20"/>
                <w:szCs w:val="20"/>
                <w:color w:val="auto"/>
              </w:rPr>
            </w:pPr>
            <w:r>
              <w:rPr>
                <w:rFonts w:ascii="Arial" w:cs="Arial" w:eastAsia="Arial" w:hAnsi="Arial"/>
                <w:sz w:val="20"/>
                <w:szCs w:val="20"/>
                <w:color w:val="auto"/>
              </w:rPr>
              <w:t>LendingTree, LLC</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60" w:type="dxa"/>
            <w:vAlign w:val="bottom"/>
          </w:tcPr>
          <w:p>
            <w:pPr>
              <w:spacing w:after="0"/>
              <w:rPr>
                <w:sz w:val="21"/>
                <w:szCs w:val="21"/>
                <w:color w:val="auto"/>
              </w:rPr>
            </w:pPr>
          </w:p>
        </w:tc>
      </w:tr>
      <w:tr>
        <w:trPr>
          <w:trHeight w:val="527"/>
        </w:trPr>
        <w:tc>
          <w:tcPr>
            <w:tcW w:w="5180" w:type="dxa"/>
            <w:vAlign w:val="bottom"/>
            <w:gridSpan w:val="2"/>
          </w:tcPr>
          <w:p>
            <w:pPr>
              <w:ind w:left="20"/>
              <w:spacing w:after="0"/>
              <w:rPr>
                <w:sz w:val="20"/>
                <w:szCs w:val="20"/>
                <w:color w:val="auto"/>
              </w:rPr>
            </w:pPr>
            <w:r>
              <w:rPr>
                <w:rFonts w:ascii="Arial" w:cs="Arial" w:eastAsia="Arial" w:hAnsi="Arial"/>
                <w:sz w:val="20"/>
                <w:szCs w:val="20"/>
                <w:color w:val="auto"/>
              </w:rPr>
              <w:t>Dated:</w:t>
            </w:r>
          </w:p>
        </w:tc>
        <w:tc>
          <w:tcPr>
            <w:tcW w:w="76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Dated:</w:t>
            </w:r>
          </w:p>
        </w:tc>
      </w:tr>
      <w:tr>
        <w:trPr>
          <w:trHeight w:val="23"/>
        </w:trPr>
        <w:tc>
          <w:tcPr>
            <w:tcW w:w="11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ectPr>
          <w:pgSz w:w="11900" w:h="16838" w:orient="portrait"/>
          <w:cols w:equalWidth="0" w:num="1">
            <w:col w:w="11120"/>
          </w:cols>
          <w:pgMar w:left="320" w:top="1413" w:right="45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LENDINGTREE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SEVERANCE PAY PLAN</w:t>
      </w:r>
    </w:p>
    <w:p>
      <w:pPr>
        <w:spacing w:after="0" w:line="27"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LendingTree, Inc. and its subsidiaries may provide a severance payment under this LendingTree Executive Severance Pay Plan (the “Plan”) to an eligible executive whose employment is terminated by the Company and who meets the eligibility requirements defined below. The purpose of this program is to provide financial assistance to the executive while he or she is seeking another position. The Plan is the exclusive plan, policy or arrangement for the payment of severance pay benefits for qualifying executives of LendingTree, Inc. and its subsidiaries, except for executives who have an employment agreement with the Company that provides exclusive severance benefits. For the avoidance of doubt, any severance benefits payable to an executive under this Plan will be paid solely in lieu of, and not in addition to, any severance benefits payable under any offer letter, severance arrangement or other program or agreement on account of the executive’s termination of employment with the Company under the circumstances covered by this Plan.</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term “Plan Sponsor” shall mean LendingTree, Inc., and the term “Company” shall mean LendingTree, Inc., or any subsidiary of LendingTree, Inc., through which the executive covered by this Plan was employed immediately prior to the executive’s termination of employment. The term “Plan Administrator” shall mean the Chief Human Resources Officer of the Company, or such other individual as determined by the Compensation Committee of the Board of Directors of LendingTree, Inc. (the “Compensation Committee”) from time to time.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as expressly set forth in the Plan, severance payment is not automatic and is granted at the sole discretion of the Plan Sponsor on a case-by-case basis. This plan is effective as of December 22, 2020.</w:t>
      </w:r>
    </w:p>
    <w:p>
      <w:pPr>
        <w:spacing w:after="0" w:line="169"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 executive of the Company participates in the Plan and is eligible to receive severance benefits thereunder if he or she is selected by the Plan Sponsor to participate in the Plan and has signed and delivered to the Company, within the time set by the Company, a participation agreement (the “Participation Agreement”) in a form provided by the Plan Sponsor. The Participation Agreement will specify the Schedule of severance benefits that are applicable to the executive based on the executive’s position.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 eligible executive whose employment is involuntarily terminated by the Company may be eligible to receive a severance payment, unless the executive’s employment terminates on account of any of the following:</w:t>
      </w:r>
    </w:p>
    <w:p>
      <w:pPr>
        <w:spacing w:after="0" w:line="175" w:lineRule="exact"/>
        <w:rPr>
          <w:sz w:val="20"/>
          <w:szCs w:val="20"/>
          <w:color w:val="auto"/>
        </w:rPr>
      </w:pPr>
    </w:p>
    <w:p>
      <w:pPr>
        <w:ind w:right="180" w:firstLine="656"/>
        <w:spacing w:after="0" w:line="263" w:lineRule="auto"/>
        <w:tabs>
          <w:tab w:leader="none" w:pos="1293" w:val="left"/>
        </w:tabs>
        <w:numPr>
          <w:ilvl w:val="0"/>
          <w:numId w:val="87"/>
        </w:numPr>
        <w:rPr>
          <w:rFonts w:ascii="Arial" w:cs="Arial" w:eastAsia="Arial" w:hAnsi="Arial"/>
          <w:sz w:val="22"/>
          <w:szCs w:val="22"/>
          <w:color w:val="auto"/>
        </w:rPr>
      </w:pPr>
      <w:r>
        <w:rPr>
          <w:rFonts w:ascii="Arial" w:cs="Arial" w:eastAsia="Arial" w:hAnsi="Arial"/>
          <w:sz w:val="22"/>
          <w:szCs w:val="22"/>
          <w:color w:val="auto"/>
        </w:rPr>
        <w:t>For Cause. “Cause” means, as determined in the sole discretion of the Company, the willful or gross neglect by the executive of the material duties required</w:t>
      </w:r>
    </w:p>
    <w:p>
      <w:pPr>
        <w:sectPr>
          <w:pgSz w:w="11900" w:h="16838" w:orient="portrait"/>
          <w:cols w:equalWidth="0" w:num="1">
            <w:col w:w="11240"/>
          </w:cols>
          <w:pgMar w:left="320" w:top="125" w:right="339" w:bottom="1440" w:gutter="0" w:footer="0" w:header="0"/>
        </w:sectPr>
      </w:pPr>
    </w:p>
    <w:bookmarkStart w:id="149" w:name="page150"/>
    <w:bookmarkEnd w:id="149"/>
    <w:p>
      <w:pPr>
        <w:spacing w:after="0" w:line="55" w:lineRule="exact"/>
        <w:rPr>
          <w:sz w:val="20"/>
          <w:szCs w:val="20"/>
          <w:color w:val="auto"/>
        </w:rPr>
      </w:pPr>
    </w:p>
    <w:p>
      <w:pPr>
        <w:jc w:val="both"/>
        <w:ind w:right="160"/>
        <w:spacing w:after="0" w:line="290" w:lineRule="auto"/>
        <w:rPr>
          <w:sz w:val="20"/>
          <w:szCs w:val="20"/>
          <w:color w:val="auto"/>
        </w:rPr>
      </w:pPr>
      <w:r>
        <w:rPr>
          <w:rFonts w:ascii="Arial" w:cs="Arial" w:eastAsia="Arial" w:hAnsi="Arial"/>
          <w:sz w:val="19"/>
          <w:szCs w:val="19"/>
          <w:color w:val="auto"/>
        </w:rPr>
        <w:t xml:space="preserve">by the executive’s employment with the Company or any misconduct deemed by the Company to be detrimental to the interest of the Company or any of its divisions, subsidiaries, affiliates or employees. For the purposes of this plan, such misconduct includes, but is not limited to (i) embezzlement, fraud, or theft; (ii) conviction of, or entry of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crime that constitutes a felony or other crime involving moral turpitude; (iii) breach of fiduciary duty; (iv) personal dishonesty that is, or could reasonably be expected to be, materially injurious to the Company; (v) a violation of any applicable policy, code, or standard of ethics of the Company; (vi) excessive and unexcused absenteeism unrelated to a disability; (vii) competing with the Company while employed by the Company; and (viii) violating the terms of any restrictive covenant with the Company, including without limitation any non-compete, non-solicitation, or confidentiality obligation.</w:t>
      </w:r>
    </w:p>
    <w:p>
      <w:pPr>
        <w:spacing w:after="0" w:line="156"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Voluntary retirement;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Voluntary resignation;</w:t>
      </w:r>
    </w:p>
    <w:p>
      <w:pPr>
        <w:spacing w:after="0" w:line="219" w:lineRule="exact"/>
        <w:rPr>
          <w:rFonts w:ascii="Arial" w:cs="Arial" w:eastAsia="Arial" w:hAnsi="Arial"/>
          <w:sz w:val="22"/>
          <w:szCs w:val="22"/>
          <w:color w:val="auto"/>
        </w:rPr>
      </w:pPr>
    </w:p>
    <w:p>
      <w:pPr>
        <w:ind w:right="160" w:firstLine="656"/>
        <w:spacing w:after="0" w:line="343" w:lineRule="auto"/>
        <w:tabs>
          <w:tab w:leader="none" w:pos="1291" w:val="left"/>
        </w:tabs>
        <w:numPr>
          <w:ilvl w:val="0"/>
          <w:numId w:val="88"/>
        </w:numPr>
        <w:rPr>
          <w:rFonts w:ascii="Arial" w:cs="Arial" w:eastAsia="Arial" w:hAnsi="Arial"/>
          <w:sz w:val="19"/>
          <w:szCs w:val="19"/>
          <w:color w:val="auto"/>
        </w:rPr>
      </w:pPr>
      <w:r>
        <w:rPr>
          <w:rFonts w:ascii="Arial" w:cs="Arial" w:eastAsia="Arial" w:hAnsi="Arial"/>
          <w:sz w:val="19"/>
          <w:szCs w:val="19"/>
          <w:color w:val="auto"/>
        </w:rPr>
        <w:t>At expiration of the executive’s disability leave or personal leave, unless the executive’s position has been eliminated during the leave and a reasonably comparable position is not offered to the executive upon the executive’s return;</w:t>
      </w:r>
    </w:p>
    <w:p>
      <w:pPr>
        <w:spacing w:after="0" w:line="104" w:lineRule="exact"/>
        <w:rPr>
          <w:rFonts w:ascii="Arial" w:cs="Arial" w:eastAsia="Arial" w:hAnsi="Arial"/>
          <w:sz w:val="19"/>
          <w:szCs w:val="19"/>
          <w:color w:val="auto"/>
        </w:rPr>
      </w:pPr>
    </w:p>
    <w:p>
      <w:pPr>
        <w:ind w:right="180" w:firstLine="656"/>
        <w:spacing w:after="0" w:line="287" w:lineRule="auto"/>
        <w:tabs>
          <w:tab w:leader="none" w:pos="1293" w:val="left"/>
        </w:tabs>
        <w:numPr>
          <w:ilvl w:val="0"/>
          <w:numId w:val="88"/>
        </w:numPr>
        <w:rPr>
          <w:rFonts w:ascii="Arial" w:cs="Arial" w:eastAsia="Arial" w:hAnsi="Arial"/>
          <w:sz w:val="21"/>
          <w:szCs w:val="21"/>
          <w:color w:val="auto"/>
        </w:rPr>
      </w:pPr>
      <w:r>
        <w:rPr>
          <w:rFonts w:ascii="Arial" w:cs="Arial" w:eastAsia="Arial" w:hAnsi="Arial"/>
          <w:sz w:val="21"/>
          <w:szCs w:val="21"/>
          <w:color w:val="auto"/>
        </w:rPr>
        <w:t>When all or any portion of a business or its assets are sold or divested and the executive is offered at the time of separation from the Company a reasonably comparable position by the successor organization or buyer;</w:t>
      </w:r>
    </w:p>
    <w:p>
      <w:pPr>
        <w:spacing w:after="0" w:line="151" w:lineRule="exact"/>
        <w:rPr>
          <w:rFonts w:ascii="Arial" w:cs="Arial" w:eastAsia="Arial" w:hAnsi="Arial"/>
          <w:sz w:val="21"/>
          <w:szCs w:val="21"/>
          <w:color w:val="auto"/>
        </w:rPr>
      </w:pPr>
    </w:p>
    <w:p>
      <w:pPr>
        <w:ind w:right="160" w:firstLine="656"/>
        <w:spacing w:after="0" w:line="263" w:lineRule="auto"/>
        <w:tabs>
          <w:tab w:leader="none" w:pos="12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When an executive terminates as a result of the executive’s acceptance of employment with any division, subsidiary, affiliate or managed entity of the Company;</w:t>
      </w:r>
    </w:p>
    <w:p>
      <w:pPr>
        <w:spacing w:after="0" w:line="174" w:lineRule="exact"/>
        <w:rPr>
          <w:rFonts w:ascii="Arial" w:cs="Arial" w:eastAsia="Arial" w:hAnsi="Arial"/>
          <w:sz w:val="22"/>
          <w:szCs w:val="22"/>
          <w:color w:val="auto"/>
        </w:rPr>
      </w:pPr>
    </w:p>
    <w:p>
      <w:pPr>
        <w:jc w:val="both"/>
        <w:ind w:right="160" w:firstLine="656"/>
        <w:spacing w:after="0" w:line="253" w:lineRule="auto"/>
        <w:tabs>
          <w:tab w:leader="none" w:pos="1291" w:val="left"/>
        </w:tabs>
        <w:numPr>
          <w:ilvl w:val="0"/>
          <w:numId w:val="88"/>
        </w:numPr>
        <w:rPr>
          <w:rFonts w:ascii="Arial" w:cs="Arial" w:eastAsia="Arial" w:hAnsi="Arial"/>
          <w:sz w:val="22"/>
          <w:szCs w:val="22"/>
          <w:color w:val="auto"/>
        </w:rPr>
      </w:pPr>
      <w:r>
        <w:rPr>
          <w:rFonts w:ascii="Arial" w:cs="Arial" w:eastAsia="Arial" w:hAnsi="Arial"/>
          <w:sz w:val="22"/>
          <w:szCs w:val="22"/>
          <w:color w:val="auto"/>
        </w:rPr>
        <w:t>When an executive’s position has been eliminated but another reasonably comparable position, as determined by the Plan Administrator in its sole discretion, with any division, subsidiary, affiliate or managed entity of LendingTree, Inc. has been offered instead.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An executive who voluntarily terminates employment with the Company or who voluntarily retires is generally not eligible for severance pay under the Plan. If an executive indicates an intention to resign and the Company decides to accept the resignation at an earlier date, the executive will not, for that reason, be entitled to severance under the Plan.</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an executive eligible for severance benefits under an offer letter, employment agreement, or other severance arrangement is not eligible for severance pay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A termination of employment that qualifies an executive for severance pay under the Plan is a “Qualifying Termination”.</w:t>
      </w:r>
    </w:p>
    <w:p>
      <w:pPr>
        <w:sectPr>
          <w:pgSz w:w="11900" w:h="16838" w:orient="portrait"/>
          <w:cols w:equalWidth="0" w:num="1">
            <w:col w:w="11240"/>
          </w:cols>
          <w:pgMar w:left="320" w:top="1440" w:right="339" w:bottom="1440" w:gutter="0" w:footer="0" w:header="0"/>
        </w:sectPr>
      </w:pPr>
    </w:p>
    <w:bookmarkStart w:id="150" w:name="page151"/>
    <w:bookmarkEnd w:id="150"/>
    <w:p>
      <w:pPr>
        <w:ind w:left="660" w:hanging="652"/>
        <w:spacing w:after="0"/>
        <w:tabs>
          <w:tab w:leader="none" w:pos="6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 Requirement of Release and Waiver and Compliance with Covenants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order to be eligible to receive the severance payment and selected benefit continuation as outlined below, an eligible executive must: (a) sign and deliver to the Company, within the time set by the Company, an effective general release and waiver of claims (a “Release”) in a form provided by the Plan Sponsor (and not revoke the release and waiver following delivery of the release and waiver to the Company, if revocation is permitted); and (b) comply, and continue to comply, with the terms of the Release and of any non-competition, non-solicitation, non-disparagement, confidentiality, or other restrictive covenant obligation owed to the Company, for the applicable duration of each such covenant. For the avoidance of doubt, in the event of an executive’s breach of the terms of any restrictive covenant obligation to the Company, the Company’s obligation to make any further severance payment to the executive shall cease. Notwithstanding anything set forth in the Plan, an executive shall be entitled to receive and retain at least Five Hundred Dollars ($500.00) of any severance benefit as consideration for the executive’s execution (and non-revocation, as applicable) of a Release, regardless of the executive’s compliance with the terms of any restrictive covenant, and, subject to the payment timing set forth in Section 6(c) of the Plan, no severance payments shall be paid to the executive until the first Company payroll date following the effectiveness of the Release, and the first severance payment paid on such payroll date shall include and satisfy all severance payments that would have otherwise been made up to such date.</w:t>
      </w:r>
    </w:p>
    <w:p>
      <w:pPr>
        <w:spacing w:after="0" w:line="160"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Severance Payment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Severance pay is based on the executive’s position and base pay as of the executive’s Termination Date, as determined in accordance with the applicable Schedule to the Plan for each position, and is subject to withholding of applicable federal, state and/or local taxes as required by law. The Plan Sponsor or its delegate may amend the Schedules to this Plan from time to time without restating the Plan.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 Sponsor shall have the discretion, from time to time and on a case-by-case basis, to provide such additional benefits, whether under this Plan or any other plan or arrangement, as it deems necessary or appropriate. In no event shall the provision of any such benefit for one executive create a precedent or require that any other executive be provided such benefit, either under this Plan or any other plan or arrangement.</w:t>
      </w:r>
    </w:p>
    <w:p>
      <w:pPr>
        <w:spacing w:after="0" w:line="182"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Form and Timing of Payment</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Severance payments shall be made in accordance with the terms set forth in the applicable Schedule to this Plan, subject to Section 3 and Section 6 of the Plan.</w:t>
      </w:r>
    </w:p>
    <w:p>
      <w:pPr>
        <w:spacing w:after="0" w:line="169"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Plan Sponsor intends that all payments and benefits provided under the Plan shall satisfy the requirements for a short-term deferral or an involuntary separation plan</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0" w:lineRule="auto"/>
        <w:rPr>
          <w:sz w:val="20"/>
          <w:szCs w:val="20"/>
          <w:color w:val="auto"/>
        </w:rPr>
      </w:pPr>
      <w:r>
        <w:rPr>
          <w:rFonts w:ascii="Arial" w:cs="Arial" w:eastAsia="Arial" w:hAnsi="Arial"/>
          <w:sz w:val="22"/>
          <w:szCs w:val="22"/>
          <w:color w:val="auto"/>
        </w:rPr>
        <w:t>payment so as not to be treated as deferrals of compensation. Notwithstanding the foregoing, to the extent any payments or benefits under the Plan are subject to Section 409A of the Internal Revenue Code of 1986 (“Section 409A”), the Plan shall be interpreted and administered to the maximum extent possible to comply with Section 409A. For purposes of any payments or benefits under the Plan subject to Section 409A:</w:t>
      </w:r>
    </w:p>
    <w:p>
      <w:pPr>
        <w:spacing w:after="0" w:line="188" w:lineRule="exact"/>
        <w:rPr>
          <w:sz w:val="20"/>
          <w:szCs w:val="20"/>
          <w:color w:val="auto"/>
        </w:rPr>
      </w:pPr>
    </w:p>
    <w:p>
      <w:pPr>
        <w:ind w:right="180" w:firstLine="656"/>
        <w:spacing w:after="0" w:line="263" w:lineRule="auto"/>
        <w:tabs>
          <w:tab w:leader="none" w:pos="1293"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executive shall not be considered to have terminated employment with the Company unless the executive would be considered to have incurred a “separation from service” within the meaning of Section 409A.</w:t>
      </w:r>
    </w:p>
    <w:p>
      <w:pPr>
        <w:spacing w:after="0" w:line="174" w:lineRule="exact"/>
        <w:rPr>
          <w:rFonts w:ascii="Arial" w:cs="Arial" w:eastAsia="Arial" w:hAnsi="Arial"/>
          <w:sz w:val="22"/>
          <w:szCs w:val="22"/>
          <w:color w:val="auto"/>
        </w:rPr>
      </w:pPr>
    </w:p>
    <w:p>
      <w:pPr>
        <w:ind w:right="180" w:firstLine="656"/>
        <w:spacing w:after="0" w:line="263" w:lineRule="auto"/>
        <w:tabs>
          <w:tab w:leader="none" w:pos="1291"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separate payment to be made or benefit to be provided under the Plan shall be construed as a separate identified payment for purposes of Section 409A.</w:t>
      </w:r>
    </w:p>
    <w:p>
      <w:pPr>
        <w:spacing w:after="0" w:line="174" w:lineRule="exact"/>
        <w:rPr>
          <w:rFonts w:ascii="Arial" w:cs="Arial" w:eastAsia="Arial" w:hAnsi="Arial"/>
          <w:sz w:val="22"/>
          <w:szCs w:val="22"/>
          <w:color w:val="auto"/>
        </w:rPr>
      </w:pPr>
    </w:p>
    <w:p>
      <w:pPr>
        <w:jc w:val="both"/>
        <w:ind w:right="160" w:firstLine="656"/>
        <w:spacing w:after="0" w:line="271" w:lineRule="auto"/>
        <w:tabs>
          <w:tab w:leader="none" w:pos="1293"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Any payments subject to execution of an effective release shall be paid within 60 days following the executive’s separation from service;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if this 60-day period begins in one calendar year and ends in a later calendar year, the payment will be made in the second calendar year on a date determined by the Plan Sponsor.</w:t>
      </w:r>
    </w:p>
    <w:p>
      <w:pPr>
        <w:spacing w:after="0" w:line="167" w:lineRule="exact"/>
        <w:rPr>
          <w:rFonts w:ascii="Arial" w:cs="Arial" w:eastAsia="Arial" w:hAnsi="Arial"/>
          <w:sz w:val="21"/>
          <w:szCs w:val="21"/>
          <w:color w:val="auto"/>
        </w:rPr>
      </w:pPr>
    </w:p>
    <w:p>
      <w:pPr>
        <w:jc w:val="both"/>
        <w:ind w:right="160" w:firstLine="656"/>
        <w:spacing w:after="0" w:line="248" w:lineRule="auto"/>
        <w:tabs>
          <w:tab w:leader="none" w:pos="1291"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the executive is a “specified employee” within the meaning of Section 409A at the time of the executive’s separation from service, to the extent required under Section 409A to avoid accelerated taxation and tax penalties, any amounts payable during the six-month period immediately following the executive’s separation from service shall instead be paid on the first business day after the date that is six months following the executive’s separation from service (or, if earlier, the executive’s date of death).</w:t>
      </w:r>
    </w:p>
    <w:p>
      <w:pPr>
        <w:spacing w:after="0" w:line="191" w:lineRule="exact"/>
        <w:rPr>
          <w:rFonts w:ascii="Arial" w:cs="Arial" w:eastAsia="Arial" w:hAnsi="Arial"/>
          <w:sz w:val="22"/>
          <w:szCs w:val="22"/>
          <w:color w:val="auto"/>
        </w:rPr>
      </w:pPr>
    </w:p>
    <w:p>
      <w:pPr>
        <w:jc w:val="both"/>
        <w:ind w:right="160" w:firstLine="656"/>
        <w:spacing w:after="0" w:line="259" w:lineRule="auto"/>
        <w:tabs>
          <w:tab w:leader="none" w:pos="1293" w:val="left"/>
        </w:tabs>
        <w:numPr>
          <w:ilvl w:val="0"/>
          <w:numId w:val="93"/>
        </w:numPr>
        <w:rPr>
          <w:rFonts w:ascii="Arial" w:cs="Arial" w:eastAsia="Arial" w:hAnsi="Arial"/>
          <w:sz w:val="21"/>
          <w:szCs w:val="21"/>
          <w:color w:val="auto"/>
        </w:rPr>
      </w:pPr>
      <w:r>
        <w:rPr>
          <w:rFonts w:ascii="Arial" w:cs="Arial" w:eastAsia="Arial" w:hAnsi="Arial"/>
          <w:sz w:val="21"/>
          <w:szCs w:val="21"/>
          <w:color w:val="auto"/>
        </w:rPr>
        <w:t>To the extent the cash severance payable to the executive in connection with the executive’s Qualifying Termination following a Change in Control (as defined in the Company’s 2008 Stock and Annual Incentive Plan, or its successor plan) of the Company constitutes “deferred compensation” subject to Section 409A and the Change in Control is not a change in the ownership or effective control of the Company, or in the ownership of a substantial portion of the Company’s assets, as provided in Section 409A(a)(2)(A)(v) of the Internal Revenue Code of 1986, as amended, and Treasury Regulations Section 1.409A-3(i)(5), the cash severance will not be paid in a lump sum and will instead be payable in equal installments over the applicable Severance Period following the executive’s Qualifying Termination in accordance with Section 3 of this Plan and the Company’s regular payroll policies.</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Plan Sponsor makes no representation that payments described in the Plan will be exempt from or comply with Section 409A.</w:t>
      </w:r>
    </w:p>
    <w:p>
      <w:pPr>
        <w:spacing w:after="0" w:line="169"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Date, Severance Period, Notice</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Termination Date shall be the last day the executive is actively at work, unless otherwise specified by the Company in a manner it deems appropriate.</w:t>
      </w:r>
    </w:p>
    <w:p>
      <w:pPr>
        <w:sectPr>
          <w:pgSz w:w="11900" w:h="16838" w:orient="portrait"/>
          <w:cols w:equalWidth="0" w:num="1">
            <w:col w:w="11240"/>
          </w:cols>
          <w:pgMar w:left="320" w:top="1427" w:right="339" w:bottom="1440" w:gutter="0" w:footer="0" w:header="0"/>
        </w:sectPr>
      </w:pPr>
    </w:p>
    <w:bookmarkStart w:id="152" w:name="page153"/>
    <w:bookmarkEnd w:id="152"/>
    <w:p>
      <w:pPr>
        <w:jc w:val="both"/>
        <w:spacing w:after="0" w:line="288" w:lineRule="auto"/>
        <w:rPr>
          <w:sz w:val="20"/>
          <w:szCs w:val="20"/>
          <w:color w:val="auto"/>
        </w:rPr>
      </w:pPr>
      <w:r>
        <w:rPr>
          <w:rFonts w:ascii="Arial" w:cs="Arial" w:eastAsia="Arial" w:hAnsi="Arial"/>
          <w:sz w:val="19"/>
          <w:szCs w:val="19"/>
          <w:color w:val="auto"/>
        </w:rPr>
        <w:t>The Severance Period is the period during which cash severance is payable to the executive in the event of the executive’s Qualifying Termination that occurs other than in connection with a Change in Control of the Company pursuant to the applicable Schedule for the executive, unless otherwise specified by the Plan Sponsor. In the event an executive has had a separation from service and been rehired by the Company, the executive’s prior service will not be considered in the calculation of severance pay under this Plan. If the executive obtains other employment during the Severance Period, the amount of any severance payments to be paid to the executive under the Plan after the date such employment is secured will be offset by the amount of compensation earned by the executive from such employment through the end of the Severance Period. The executive is obligated to inform the Company promptly when the executive obtains other employment during the Severance Period. For the avoidance of doubt, the offset set forth in this Section 7 of this Plan shall not apply to severance benefits paid or provided in connection with a Qualifying Termination that occurs in connection with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The severance payment includes payment in lieu of notice. No additional payments in lieu of notice shall be provided.</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Benefit Plans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Severance Period commences at the executive’s Termination Date and does not extend the executive’s Termination Date. The following will apply only to the extent the executive is eligible for and participates in the applicable coverage as of the executive’s Termination Date:</w:t>
      </w:r>
    </w:p>
    <w:p>
      <w:pPr>
        <w:spacing w:after="0" w:line="185" w:lineRule="exact"/>
        <w:rPr>
          <w:sz w:val="20"/>
          <w:szCs w:val="20"/>
          <w:color w:val="auto"/>
        </w:rPr>
      </w:pPr>
    </w:p>
    <w:p>
      <w:pPr>
        <w:jc w:val="both"/>
        <w:ind w:right="160" w:firstLine="656"/>
        <w:spacing w:after="0" w:line="288" w:lineRule="auto"/>
        <w:tabs>
          <w:tab w:leader="none" w:pos="1293"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Health Coverage – Coverage will cease at the end of the month in which the Termination Date occurs and is available through the provisions of COBRA, as described in Schedules A-C. For COBRA purposes, the qualifying event shall occur on the last day of the month in which the Termination Date occurs. The Company shall pay the cost of the COBRA premium for coverage for the executive and any dependents as of the Termination Date for up to the maximum period set-forth in the applicable Schedule, without regard to the length of the former executive’s Severance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executive affirmatively and properly elects COBRA coverage. The Company’s COBRA payments for the executive and each of the executive’s eligible dependents shall commence for the period measured from the 1st day of the month immediately following the month in which the Termination Date occurs, and shall end the earlier of the last day of 1) the maximum period set forth in the applicable Schedule following the last day of the month in which the Termination Date occurs, or 2) the month in which the former executive or the eligible dependent is no longer eligible for or terminates COBRA coverage.</w:t>
      </w:r>
    </w:p>
    <w:p>
      <w:pPr>
        <w:spacing w:after="0" w:line="159" w:lineRule="exact"/>
        <w:rPr>
          <w:rFonts w:ascii="Arial" w:cs="Arial" w:eastAsia="Arial" w:hAnsi="Arial"/>
          <w:sz w:val="19"/>
          <w:szCs w:val="19"/>
          <w:color w:val="auto"/>
        </w:rPr>
      </w:pPr>
    </w:p>
    <w:p>
      <w:pPr>
        <w:ind w:right="180" w:firstLine="656"/>
        <w:spacing w:after="0" w:line="263" w:lineRule="auto"/>
        <w:tabs>
          <w:tab w:leader="none" w:pos="1291" w:val="left"/>
        </w:tabs>
        <w:numPr>
          <w:ilvl w:val="1"/>
          <w:numId w:val="96"/>
        </w:numPr>
        <w:rPr>
          <w:rFonts w:ascii="Arial" w:cs="Arial" w:eastAsia="Arial" w:hAnsi="Arial"/>
          <w:sz w:val="22"/>
          <w:szCs w:val="22"/>
          <w:color w:val="auto"/>
        </w:rPr>
      </w:pPr>
      <w:r>
        <w:rPr>
          <w:rFonts w:ascii="Arial" w:cs="Arial" w:eastAsia="Arial" w:hAnsi="Arial"/>
          <w:sz w:val="22"/>
          <w:szCs w:val="22"/>
          <w:color w:val="auto"/>
        </w:rPr>
        <w:t>All other Executive Benefit Plans – All other executive benefits shall terminate upon the executive’s Termination Date, pursuant to the terms of each plan.</w:t>
      </w:r>
    </w:p>
    <w:p>
      <w:pPr>
        <w:spacing w:after="0" w:line="168" w:lineRule="exact"/>
        <w:rPr>
          <w:rFonts w:ascii="Arial" w:cs="Arial" w:eastAsia="Arial" w:hAnsi="Arial"/>
          <w:sz w:val="22"/>
          <w:szCs w:val="22"/>
          <w:color w:val="auto"/>
        </w:rPr>
      </w:pPr>
    </w:p>
    <w:p>
      <w:pPr>
        <w:ind w:left="660" w:hanging="652"/>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Re-employment</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253" w:lineRule="auto"/>
        <w:rPr>
          <w:sz w:val="20"/>
          <w:szCs w:val="20"/>
          <w:color w:val="auto"/>
        </w:rPr>
      </w:pPr>
      <w:r>
        <w:rPr>
          <w:rFonts w:ascii="Arial" w:cs="Arial" w:eastAsia="Arial" w:hAnsi="Arial"/>
          <w:sz w:val="22"/>
          <w:szCs w:val="22"/>
          <w:color w:val="auto"/>
        </w:rPr>
        <w:t>If an executive is rehired into a full-time regular or fixed-term position with the Company during the Severance Period, severance pay will have to be repaid to the Company on a pro rata basis for any period of re-employment that overlaps with the Severance Period.</w:t>
      </w:r>
    </w:p>
    <w:p>
      <w:pPr>
        <w:spacing w:after="0" w:line="179"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Exceptions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event that there appear to be mitigating circumstances that might justify deviation from this Plan, the prior approval of the Plan Administrator must be obtained.</w:t>
      </w:r>
    </w:p>
    <w:p>
      <w:pPr>
        <w:spacing w:after="0" w:line="169"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Administration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LendingTree, Inc. is the named fiduciary of the Plan and shall administer the Plan, acting through the Plan Administrator. The Plan Administrator shall administer the Plan in accordance with its terms and shall have all powers necessary to carry out the provisions of the Plan not otherwise reserved to the Plan Sponsor.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in limitation, but in amplification of the powers and duties specified in this Plan, the Plan Administrator shall:</w:t>
      </w:r>
    </w:p>
    <w:p>
      <w:pPr>
        <w:spacing w:after="0" w:line="220"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Have all powers to administer the Plan, within its sole discretion.</w:t>
      </w:r>
    </w:p>
    <w:p>
      <w:pPr>
        <w:spacing w:after="0" w:line="219" w:lineRule="exact"/>
        <w:rPr>
          <w:rFonts w:ascii="Arial" w:cs="Arial" w:eastAsia="Arial" w:hAnsi="Arial"/>
          <w:sz w:val="22"/>
          <w:szCs w:val="22"/>
          <w:color w:val="auto"/>
        </w:rPr>
      </w:pPr>
    </w:p>
    <w:p>
      <w:pPr>
        <w:jc w:val="both"/>
        <w:ind w:right="160" w:firstLine="656"/>
        <w:spacing w:after="0" w:line="248"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Have total and complete discretion to interpret the Plan and to determine all questions arising in the administration, interpretation and application of the Plan, including the power to construe and interpret the Plan; to decide all questions relating to an individual’s eligibility for benefits and the amounts thereof; to make such adjustments which it deems necessary or desirable to correct any mathematical or accounting errors; and to determine the amount, form and timing of any distribution to be made hereunder.</w:t>
      </w:r>
    </w:p>
    <w:p>
      <w:pPr>
        <w:spacing w:after="0" w:line="191" w:lineRule="exact"/>
        <w:rPr>
          <w:rFonts w:ascii="Arial" w:cs="Arial" w:eastAsia="Arial" w:hAnsi="Arial"/>
          <w:sz w:val="22"/>
          <w:szCs w:val="22"/>
          <w:color w:val="auto"/>
        </w:rPr>
      </w:pPr>
    </w:p>
    <w:p>
      <w:pPr>
        <w:ind w:right="180" w:firstLine="656"/>
        <w:spacing w:after="0" w:line="263" w:lineRule="auto"/>
        <w:tabs>
          <w:tab w:leader="none" w:pos="12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Correct any defect, supply any omission or reconcile any inconsistency in such manner and to such extent as the Plan Administrator shall deem necessary to carry out the purposes of this Plan.</w:t>
      </w:r>
    </w:p>
    <w:p>
      <w:pPr>
        <w:spacing w:after="0" w:line="174" w:lineRule="exact"/>
        <w:rPr>
          <w:rFonts w:ascii="Arial" w:cs="Arial" w:eastAsia="Arial" w:hAnsi="Arial"/>
          <w:sz w:val="22"/>
          <w:szCs w:val="22"/>
          <w:color w:val="auto"/>
        </w:rPr>
      </w:pPr>
    </w:p>
    <w:p>
      <w:pPr>
        <w:jc w:val="both"/>
        <w:ind w:right="160" w:firstLine="656"/>
        <w:spacing w:after="0" w:line="250"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Have fact finder discretionary authority to decide all facts relevant to the determination of eligibility for benefits or participation; have the discretion to make factual determinations as well as decisions and determinations relating to the amount and manner of allocations and distribution benefits; and in making such decisions, be entitled to, but need not rely upon, information supplied by an executive or representative thereof.</w:t>
      </w:r>
    </w:p>
    <w:p>
      <w:pPr>
        <w:spacing w:after="0" w:line="187" w:lineRule="exact"/>
        <w:rPr>
          <w:rFonts w:ascii="Arial" w:cs="Arial" w:eastAsia="Arial" w:hAnsi="Arial"/>
          <w:sz w:val="22"/>
          <w:szCs w:val="22"/>
          <w:color w:val="auto"/>
        </w:rPr>
      </w:pPr>
    </w:p>
    <w:p>
      <w:pPr>
        <w:ind w:right="160" w:firstLine="656"/>
        <w:spacing w:after="0" w:line="263" w:lineRule="auto"/>
        <w:tabs>
          <w:tab w:leader="none" w:pos="12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Have total and complete discretion to adopt, publish, and enforce such rules as the Plan Administrator shall deem necessary and proper for the efficient administration of the Plan.</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determinations by the “Company” referred to in the Plan shall be made by the applicable entity in its capacity as the employer. All determinations by LendingTree, Inc.</w:t>
      </w:r>
    </w:p>
    <w:p>
      <w:pPr>
        <w:sectPr>
          <w:pgSz w:w="11900" w:h="16838" w:orient="portrait"/>
          <w:cols w:equalWidth="0" w:num="1">
            <w:col w:w="11240"/>
          </w:cols>
          <w:pgMar w:left="320" w:top="1428"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referred to in the Plan shall be made by LendingTree, Inc. in its capacity as settlor of the Plan.</w:t>
      </w:r>
    </w:p>
    <w:p>
      <w:pPr>
        <w:spacing w:after="0" w:line="214"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that federal law governs, this Plan will be construed, administered and enforced in accordance with the laws of the State of North Carolina.</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provision in the Plan that is prohibited or unenforceable by reason of applicable law in any jurisdiction shall be ineffective, but only in that jurisdiction and only to the extent of such prohibition or unenforceability, without invalidating or affecting the remaining provisions of this Plan.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Executives may not assign or transfer the benefits provided under this Plan.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participating executives, this Plan supersedes any other employment agreement, severance benefit plan, policy, or practice currently or previously in effect at the Company.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in this Plan shall be construed as conferring any right upon an executive with respect to the continuation of employment, or interfere with the right of the Company to terminate an executive’s employment at any time.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no severance payment made under the Plan shall be considered as creditable “compensation” under any benefit plan maintained by the Company, unless specifically provided for under the applicable plan documents or required by applicable law.</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Company is obligated by the Worker Adjustment and Retraining Notification Act (“WARN”) to provide executives compensation or benefits upon a plant closing or mass layoff, then any benefits provided under this Plan will be reduced or offset by the amount of the compensation and benefits executives receive under WARN.</w:t>
      </w:r>
    </w:p>
    <w:p>
      <w:pPr>
        <w:spacing w:after="0" w:line="179"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INFORMATION</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(Information required by the Executive Retirement Income Security Act of 1974)</w:t>
      </w:r>
    </w:p>
    <w:p>
      <w:pPr>
        <w:sectPr>
          <w:pgSz w:w="11900" w:h="16838" w:orient="portrait"/>
          <w:cols w:equalWidth="0" w:num="1">
            <w:col w:w="11240"/>
          </w:cols>
          <w:pgMar w:left="320" w:top="1428" w:right="339" w:bottom="1440" w:gutter="0" w:footer="0" w:header="0"/>
        </w:sectPr>
      </w:pPr>
    </w:p>
    <w:bookmarkStart w:id="155" w:name="page156"/>
    <w:bookmarkEnd w:id="155"/>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6520" w:type="dxa"/>
            <w:vAlign w:val="bottom"/>
            <w:gridSpan w:val="2"/>
          </w:tcPr>
          <w:p>
            <w:pPr>
              <w:spacing w:after="0"/>
              <w:rPr>
                <w:sz w:val="20"/>
                <w:szCs w:val="20"/>
                <w:color w:val="auto"/>
              </w:rPr>
            </w:pPr>
            <w:r>
              <w:rPr>
                <w:rFonts w:ascii="Arial" w:cs="Arial" w:eastAsia="Arial" w:hAnsi="Arial"/>
                <w:sz w:val="22"/>
                <w:szCs w:val="22"/>
                <w:b w:val="1"/>
                <w:bCs w:val="1"/>
                <w:color w:val="auto"/>
              </w:rPr>
              <w:t>Plan Name</w:t>
            </w:r>
          </w:p>
        </w:tc>
        <w:tc>
          <w:tcPr>
            <w:tcW w:w="2780" w:type="dxa"/>
            <w:vAlign w:val="bottom"/>
            <w:gridSpan w:val="2"/>
          </w:tcPr>
          <w:p>
            <w:pPr>
              <w:spacing w:after="0"/>
              <w:rPr>
                <w:sz w:val="20"/>
                <w:szCs w:val="20"/>
                <w:color w:val="auto"/>
              </w:rPr>
            </w:pPr>
            <w:r>
              <w:rPr>
                <w:rFonts w:ascii="Arial" w:cs="Arial" w:eastAsia="Arial" w:hAnsi="Arial"/>
                <w:sz w:val="22"/>
                <w:szCs w:val="22"/>
                <w:b w:val="1"/>
                <w:bCs w:val="1"/>
                <w:color w:val="auto"/>
              </w:rPr>
              <w:t>Type of Welfare Plan</w:t>
            </w:r>
          </w:p>
        </w:tc>
        <w:tc>
          <w:tcPr>
            <w:tcW w:w="0" w:type="dxa"/>
            <w:vAlign w:val="bottom"/>
          </w:tcPr>
          <w:p>
            <w:pPr>
              <w:spacing w:after="0"/>
              <w:rPr>
                <w:sz w:val="1"/>
                <w:szCs w:val="1"/>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22"/>
                <w:szCs w:val="22"/>
                <w:color w:val="auto"/>
              </w:rPr>
              <w:t>LendingTree Executive Severance Pay Plan</w:t>
            </w:r>
          </w:p>
        </w:tc>
        <w:tc>
          <w:tcPr>
            <w:tcW w:w="2780" w:type="dxa"/>
            <w:vAlign w:val="bottom"/>
            <w:gridSpan w:val="2"/>
          </w:tcPr>
          <w:p>
            <w:pPr>
              <w:spacing w:after="0"/>
              <w:rPr>
                <w:sz w:val="20"/>
                <w:szCs w:val="20"/>
                <w:color w:val="auto"/>
              </w:rPr>
            </w:pPr>
            <w:r>
              <w:rPr>
                <w:rFonts w:ascii="Arial" w:cs="Arial" w:eastAsia="Arial" w:hAnsi="Arial"/>
                <w:sz w:val="22"/>
                <w:szCs w:val="22"/>
                <w:color w:val="auto"/>
              </w:rPr>
              <w:t>Severance Pay</w:t>
            </w:r>
          </w:p>
        </w:tc>
        <w:tc>
          <w:tcPr>
            <w:tcW w:w="0" w:type="dxa"/>
            <w:vAlign w:val="bottom"/>
          </w:tcPr>
          <w:p>
            <w:pPr>
              <w:spacing w:after="0"/>
              <w:rPr>
                <w:sz w:val="1"/>
                <w:szCs w:val="1"/>
                <w:color w:val="auto"/>
              </w:rPr>
            </w:pPr>
          </w:p>
        </w:tc>
      </w:tr>
      <w:tr>
        <w:trPr>
          <w:trHeight w:val="310"/>
        </w:trPr>
        <w:tc>
          <w:tcPr>
            <w:tcW w:w="6520" w:type="dxa"/>
            <w:vAlign w:val="bottom"/>
            <w:gridSpan w:val="2"/>
          </w:tcPr>
          <w:p>
            <w:pPr>
              <w:spacing w:after="0"/>
              <w:rPr>
                <w:sz w:val="20"/>
                <w:szCs w:val="20"/>
                <w:color w:val="auto"/>
              </w:rPr>
            </w:pPr>
            <w:r>
              <w:rPr>
                <w:rFonts w:ascii="Arial" w:cs="Arial" w:eastAsia="Arial" w:hAnsi="Arial"/>
                <w:sz w:val="22"/>
                <w:szCs w:val="22"/>
                <w:b w:val="1"/>
                <w:bCs w:val="1"/>
                <w:color w:val="auto"/>
              </w:rPr>
              <w:t>Employer Identification Number</w:t>
            </w:r>
          </w:p>
        </w:tc>
        <w:tc>
          <w:tcPr>
            <w:tcW w:w="2780" w:type="dxa"/>
            <w:vAlign w:val="bottom"/>
            <w:gridSpan w:val="2"/>
          </w:tcPr>
          <w:p>
            <w:pPr>
              <w:spacing w:after="0"/>
              <w:rPr>
                <w:sz w:val="20"/>
                <w:szCs w:val="20"/>
                <w:color w:val="auto"/>
              </w:rPr>
            </w:pPr>
            <w:r>
              <w:rPr>
                <w:rFonts w:ascii="Arial" w:cs="Arial" w:eastAsia="Arial" w:hAnsi="Arial"/>
                <w:sz w:val="22"/>
                <w:szCs w:val="22"/>
                <w:b w:val="1"/>
                <w:bCs w:val="1"/>
                <w:color w:val="auto"/>
              </w:rPr>
              <w:t>Plan Year Ends</w:t>
            </w:r>
          </w:p>
        </w:tc>
        <w:tc>
          <w:tcPr>
            <w:tcW w:w="0" w:type="dxa"/>
            <w:vAlign w:val="bottom"/>
          </w:tcPr>
          <w:p>
            <w:pPr>
              <w:spacing w:after="0"/>
              <w:rPr>
                <w:sz w:val="1"/>
                <w:szCs w:val="1"/>
                <w:color w:val="auto"/>
              </w:rPr>
            </w:pPr>
          </w:p>
        </w:tc>
      </w:tr>
      <w:tr>
        <w:trPr>
          <w:trHeight w:val="473"/>
        </w:trPr>
        <w:tc>
          <w:tcPr>
            <w:tcW w:w="2100" w:type="dxa"/>
            <w:vAlign w:val="bottom"/>
          </w:tcPr>
          <w:p>
            <w:pPr>
              <w:spacing w:after="0"/>
              <w:rPr>
                <w:sz w:val="20"/>
                <w:szCs w:val="20"/>
                <w:color w:val="auto"/>
              </w:rPr>
            </w:pPr>
            <w:r>
              <w:rPr>
                <w:rFonts w:ascii="Arial" w:cs="Arial" w:eastAsia="Arial" w:hAnsi="Arial"/>
                <w:sz w:val="22"/>
                <w:szCs w:val="22"/>
                <w:color w:val="auto"/>
              </w:rPr>
              <w:t>25-1795344</w:t>
            </w:r>
          </w:p>
        </w:tc>
        <w:tc>
          <w:tcPr>
            <w:tcW w:w="44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93"/>
        </w:trPr>
        <w:tc>
          <w:tcPr>
            <w:tcW w:w="6520" w:type="dxa"/>
            <w:vAlign w:val="bottom"/>
            <w:gridSpan w:val="2"/>
          </w:tcPr>
          <w:p>
            <w:pPr>
              <w:spacing w:after="0"/>
              <w:rPr>
                <w:sz w:val="20"/>
                <w:szCs w:val="20"/>
                <w:color w:val="auto"/>
              </w:rPr>
            </w:pPr>
            <w:r>
              <w:rPr>
                <w:rFonts w:ascii="Arial" w:cs="Arial" w:eastAsia="Arial" w:hAnsi="Arial"/>
                <w:sz w:val="22"/>
                <w:szCs w:val="22"/>
                <w:color w:val="auto"/>
              </w:rPr>
              <w:t>Plan Number</w:t>
            </w:r>
          </w:p>
        </w:tc>
        <w:tc>
          <w:tcPr>
            <w:tcW w:w="2780" w:type="dxa"/>
            <w:vAlign w:val="bottom"/>
            <w:gridSpan w:val="2"/>
          </w:tcPr>
          <w:p>
            <w:pPr>
              <w:spacing w:after="0"/>
              <w:rPr>
                <w:sz w:val="20"/>
                <w:szCs w:val="20"/>
                <w:color w:val="auto"/>
              </w:rPr>
            </w:pPr>
            <w:r>
              <w:rPr>
                <w:rFonts w:ascii="Arial" w:cs="Arial" w:eastAsia="Arial" w:hAnsi="Arial"/>
                <w:sz w:val="22"/>
                <w:szCs w:val="22"/>
                <w:color w:val="auto"/>
              </w:rPr>
              <w:t>Plan Administrator</w:t>
            </w:r>
          </w:p>
        </w:tc>
        <w:tc>
          <w:tcPr>
            <w:tcW w:w="0" w:type="dxa"/>
            <w:vAlign w:val="bottom"/>
          </w:tcPr>
          <w:p>
            <w:pPr>
              <w:spacing w:after="0"/>
              <w:rPr>
                <w:sz w:val="1"/>
                <w:szCs w:val="1"/>
                <w:color w:val="auto"/>
              </w:rPr>
            </w:pPr>
          </w:p>
        </w:tc>
      </w:tr>
      <w:tr>
        <w:trPr>
          <w:trHeight w:val="257"/>
        </w:trPr>
        <w:tc>
          <w:tcPr>
            <w:tcW w:w="6520" w:type="dxa"/>
            <w:vAlign w:val="bottom"/>
            <w:gridSpan w:val="2"/>
            <w:vMerge w:val="restart"/>
          </w:tcPr>
          <w:p>
            <w:pPr>
              <w:spacing w:after="0"/>
              <w:rPr>
                <w:sz w:val="20"/>
                <w:szCs w:val="20"/>
                <w:color w:val="auto"/>
              </w:rPr>
            </w:pPr>
            <w:r>
              <w:rPr>
                <w:rFonts w:ascii="Arial" w:cs="Arial" w:eastAsia="Arial" w:hAnsi="Arial"/>
                <w:sz w:val="22"/>
                <w:szCs w:val="22"/>
                <w:color w:val="auto"/>
              </w:rPr>
              <w:t>Plan 502</w:t>
            </w:r>
          </w:p>
        </w:tc>
        <w:tc>
          <w:tcPr>
            <w:tcW w:w="2780" w:type="dxa"/>
            <w:vAlign w:val="bottom"/>
            <w:gridSpan w:val="2"/>
          </w:tcPr>
          <w:p>
            <w:pPr>
              <w:spacing w:after="0"/>
              <w:rPr>
                <w:sz w:val="20"/>
                <w:szCs w:val="20"/>
                <w:color w:val="auto"/>
              </w:rPr>
            </w:pPr>
            <w:r>
              <w:rPr>
                <w:rFonts w:ascii="Arial" w:cs="Arial" w:eastAsia="Arial" w:hAnsi="Arial"/>
                <w:sz w:val="22"/>
                <w:szCs w:val="22"/>
                <w:color w:val="auto"/>
                <w:w w:val="88"/>
              </w:rPr>
              <w:t>Chief Human Resources Officer</w:t>
            </w:r>
          </w:p>
        </w:tc>
        <w:tc>
          <w:tcPr>
            <w:tcW w:w="0" w:type="dxa"/>
            <w:vAlign w:val="bottom"/>
          </w:tcPr>
          <w:p>
            <w:pPr>
              <w:spacing w:after="0"/>
              <w:rPr>
                <w:sz w:val="1"/>
                <w:szCs w:val="1"/>
                <w:color w:val="auto"/>
              </w:rPr>
            </w:pPr>
          </w:p>
        </w:tc>
      </w:tr>
      <w:tr>
        <w:trPr>
          <w:trHeight w:val="224"/>
        </w:trPr>
        <w:tc>
          <w:tcPr>
            <w:tcW w:w="6520" w:type="dxa"/>
            <w:vAlign w:val="bottom"/>
            <w:gridSpan w:val="2"/>
            <w:vMerge w:val="continue"/>
          </w:tcPr>
          <w:p>
            <w:pPr>
              <w:spacing w:after="0"/>
              <w:rPr>
                <w:sz w:val="19"/>
                <w:szCs w:val="19"/>
                <w:color w:val="auto"/>
              </w:rPr>
            </w:pPr>
          </w:p>
        </w:tc>
        <w:tc>
          <w:tcPr>
            <w:tcW w:w="2780" w:type="dxa"/>
            <w:vAlign w:val="bottom"/>
            <w:gridSpan w:val="2"/>
          </w:tcPr>
          <w:p>
            <w:pPr>
              <w:spacing w:after="0" w:line="224" w:lineRule="exact"/>
              <w:rPr>
                <w:sz w:val="20"/>
                <w:szCs w:val="20"/>
                <w:color w:val="auto"/>
              </w:rPr>
            </w:pPr>
            <w:r>
              <w:rPr>
                <w:rFonts w:ascii="Arial" w:cs="Arial" w:eastAsia="Arial" w:hAnsi="Arial"/>
                <w:sz w:val="22"/>
                <w:szCs w:val="22"/>
                <w:color w:val="0000FF"/>
              </w:rPr>
              <w:t>jill@lendingtree.com</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line="228" w:lineRule="exact"/>
              <w:rPr>
                <w:sz w:val="20"/>
                <w:szCs w:val="20"/>
                <w:color w:val="auto"/>
              </w:rPr>
            </w:pPr>
            <w:r>
              <w:rPr>
                <w:rFonts w:ascii="Arial" w:cs="Arial" w:eastAsia="Arial" w:hAnsi="Arial"/>
                <w:sz w:val="22"/>
                <w:szCs w:val="22"/>
                <w:color w:val="auto"/>
              </w:rPr>
              <w:t>Plan Sponsor</w:t>
            </w:r>
          </w:p>
        </w:tc>
        <w:tc>
          <w:tcPr>
            <w:tcW w:w="182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gridSpan w:val="2"/>
          </w:tcPr>
          <w:p>
            <w:pPr>
              <w:spacing w:after="0"/>
              <w:rPr>
                <w:sz w:val="20"/>
                <w:szCs w:val="20"/>
                <w:color w:val="auto"/>
              </w:rPr>
            </w:pPr>
            <w:r>
              <w:rPr>
                <w:rFonts w:ascii="Arial" w:cs="Arial" w:eastAsia="Arial" w:hAnsi="Arial"/>
                <w:sz w:val="22"/>
                <w:szCs w:val="22"/>
                <w:color w:val="auto"/>
              </w:rPr>
              <w:t>LendingTree, Inc.</w:t>
            </w:r>
          </w:p>
        </w:tc>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gridSpan w:val="2"/>
          </w:tcPr>
          <w:p>
            <w:pPr>
              <w:spacing w:after="0"/>
              <w:rPr>
                <w:sz w:val="20"/>
                <w:szCs w:val="20"/>
                <w:color w:val="auto"/>
              </w:rPr>
            </w:pPr>
            <w:r>
              <w:rPr>
                <w:rFonts w:ascii="Arial" w:cs="Arial" w:eastAsia="Arial" w:hAnsi="Arial"/>
                <w:sz w:val="22"/>
                <w:szCs w:val="22"/>
                <w:color w:val="auto"/>
              </w:rPr>
              <w:t>1415 Vantage Park Drive</w:t>
            </w:r>
          </w:p>
        </w:tc>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gridSpan w:val="2"/>
          </w:tcPr>
          <w:p>
            <w:pPr>
              <w:spacing w:after="0"/>
              <w:rPr>
                <w:sz w:val="20"/>
                <w:szCs w:val="20"/>
                <w:color w:val="auto"/>
              </w:rPr>
            </w:pPr>
            <w:r>
              <w:rPr>
                <w:rFonts w:ascii="Arial" w:cs="Arial" w:eastAsia="Arial" w:hAnsi="Arial"/>
                <w:sz w:val="22"/>
                <w:szCs w:val="22"/>
                <w:color w:val="auto"/>
              </w:rPr>
              <w:t>Suite 700</w:t>
            </w:r>
          </w:p>
        </w:tc>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520" w:type="dxa"/>
            <w:vAlign w:val="bottom"/>
            <w:gridSpan w:val="2"/>
          </w:tcPr>
          <w:p>
            <w:pPr>
              <w:spacing w:after="0"/>
              <w:rPr>
                <w:sz w:val="20"/>
                <w:szCs w:val="20"/>
                <w:color w:val="auto"/>
              </w:rPr>
            </w:pPr>
            <w:r>
              <w:rPr>
                <w:rFonts w:ascii="Arial" w:cs="Arial" w:eastAsia="Arial" w:hAnsi="Arial"/>
                <w:sz w:val="22"/>
                <w:szCs w:val="22"/>
                <w:color w:val="auto"/>
              </w:rPr>
              <w:t>Charlotte, NC 28203</w:t>
            </w:r>
          </w:p>
        </w:tc>
        <w:tc>
          <w:tcPr>
            <w:tcW w:w="1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6520" w:type="dxa"/>
            <w:vAlign w:val="bottom"/>
            <w:gridSpan w:val="2"/>
          </w:tcPr>
          <w:p>
            <w:pPr>
              <w:spacing w:after="0"/>
              <w:rPr>
                <w:sz w:val="20"/>
                <w:szCs w:val="20"/>
                <w:color w:val="auto"/>
              </w:rPr>
            </w:pPr>
            <w:r>
              <w:rPr>
                <w:rFonts w:ascii="Arial" w:cs="Arial" w:eastAsia="Arial" w:hAnsi="Arial"/>
                <w:sz w:val="22"/>
                <w:szCs w:val="22"/>
                <w:color w:val="auto"/>
              </w:rPr>
              <w:t>Agent for Service of Legal Process</w:t>
            </w: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20" w:type="dxa"/>
            <w:vAlign w:val="bottom"/>
            <w:gridSpan w:val="2"/>
          </w:tcPr>
          <w:p>
            <w:pPr>
              <w:spacing w:after="0"/>
              <w:rPr>
                <w:sz w:val="20"/>
                <w:szCs w:val="20"/>
                <w:color w:val="auto"/>
              </w:rPr>
            </w:pPr>
            <w:r>
              <w:rPr>
                <w:rFonts w:ascii="Arial" w:cs="Arial" w:eastAsia="Arial" w:hAnsi="Arial"/>
                <w:sz w:val="22"/>
                <w:szCs w:val="22"/>
                <w:color w:val="auto"/>
              </w:rPr>
              <w:t>General Counsel</w:t>
            </w:r>
          </w:p>
        </w:tc>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10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89"/>
              </w:rPr>
              <w:t>Legal@lendingtree.com</w:t>
            </w:r>
          </w:p>
        </w:tc>
        <w:tc>
          <w:tcPr>
            <w:tcW w:w="4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Cost and Funding of the Plan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LendingTree, Inc. pays benefits of the Plan out of the general assets of the Company, at no cost to the executive.</w:t>
      </w:r>
    </w:p>
    <w:p>
      <w:pPr>
        <w:spacing w:after="0" w:line="214"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Changing or Terminating the Plan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reserves the right to amend, modify, suspend or terminate the Plan, in whole or in part, at any time, by action of LendingTree, Inc.’s Board of Directors, or its delegate. Plan amendment, modification, suspension or termination may be made for any reason and at any time.</w:t>
      </w:r>
    </w:p>
    <w:p>
      <w:pPr>
        <w:spacing w:after="0" w:line="17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ERISA Rights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If you are a participant in the LendingTree Executive Severance Pay Plan, you have certain rights and protections under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Employee Retirement Income Security Act of 1974 (“ERISA”). ERISA provides that, as a Plan participant, you are entitled to:</w:t>
      </w:r>
    </w:p>
    <w:p>
      <w:pPr>
        <w:spacing w:after="0" w:line="236" w:lineRule="exact"/>
        <w:rPr>
          <w:sz w:val="20"/>
          <w:szCs w:val="20"/>
          <w:color w:val="auto"/>
        </w:rPr>
      </w:pPr>
    </w:p>
    <w:p>
      <w:pPr>
        <w:ind w:right="160" w:firstLine="656"/>
        <w:spacing w:after="0" w:line="263" w:lineRule="auto"/>
        <w:tabs>
          <w:tab w:leader="none" w:pos="129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Examine, without charge, at the Plan Administrator’s office and at other specified locations, all documents governing the Plan;</w:t>
      </w:r>
    </w:p>
    <w:p>
      <w:pPr>
        <w:spacing w:after="0" w:line="174" w:lineRule="exact"/>
        <w:rPr>
          <w:rFonts w:ascii="Arial" w:cs="Arial" w:eastAsia="Arial" w:hAnsi="Arial"/>
          <w:sz w:val="22"/>
          <w:szCs w:val="22"/>
          <w:color w:val="auto"/>
        </w:rPr>
      </w:pPr>
    </w:p>
    <w:p>
      <w:pPr>
        <w:jc w:val="both"/>
        <w:ind w:right="160" w:firstLine="656"/>
        <w:spacing w:after="0" w:line="250" w:lineRule="auto"/>
        <w:tabs>
          <w:tab w:leader="none" w:pos="12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Obtain, upon written request to the Plan Administrator, copies of documents governing the operation of the Plan, including a copy of the latest annual report (Form 5500) filed by the Plan with the U.S. Department of Labor and available at the Public Disclosure Room of the Employee Benefits Security Administration. The Plan Administrator may make a reasonable charge for the copies.</w:t>
      </w:r>
    </w:p>
    <w:p>
      <w:pPr>
        <w:sectPr>
          <w:pgSz w:w="11900" w:h="16838" w:orient="portrait"/>
          <w:cols w:equalWidth="0" w:num="1">
            <w:col w:w="11240"/>
          </w:cols>
          <w:pgMar w:left="320" w:top="1440" w:right="339" w:bottom="1440" w:gutter="0" w:footer="0" w:header="0"/>
        </w:sectPr>
      </w:pPr>
    </w:p>
    <w:bookmarkStart w:id="156" w:name="page157"/>
    <w:bookmarkEnd w:id="156"/>
    <w:p>
      <w:pPr>
        <w:ind w:left="660" w:hanging="652"/>
        <w:spacing w:after="0"/>
        <w:tabs>
          <w:tab w:leader="none" w:pos="6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Prudent Actions by Plan Fiduciaries</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addition to creating rights for Plan participants, ERISA imposes duties upon the people who are responsible for the operation of the Plan. The people who operate your Plan, called “fiduciaries,” have a duty to administer the Plan prudently and solely in the interest of you and other Plan participants and beneficiaries. No one, including your employer, or any other person, may fire you or otherwise discriminate against you in any way to prevent you from obtaining a benefit or exercising your rights under ERISA.</w:t>
      </w:r>
    </w:p>
    <w:p>
      <w:pPr>
        <w:spacing w:after="0" w:line="13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Filing a Claim</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If you disagree with the determination or payment of your benefits, or if you have any questions about receiving these benefits, you should contact the Plan Administrator in writing at the address set forth in the Plan Information above.</w:t>
      </w:r>
    </w:p>
    <w:p>
      <w:pPr>
        <w:spacing w:after="0" w:line="145"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Time Frame for Claim Determinations Regarding your Benefits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you receive an adverse benefit determination (i.e., any denial, reduction, or termination of a benefit, or a failure to provide or make a payment), the Plan Administrator will notify you of the adverse determination within a reasonable period of time, but not later than 90 days after receiving your written claim. This 90-day period may be extended for up to an additional 90 days, if the Plan Administrator both determines that special circumstances require an extension of time for processing the claim, and notifies you, before the initial 90-day period expires, of the special circumstances requiring the extension of time and the date by which the Plan expects to render a determination.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an extension is necessary due to your failure to submit necessary information, the Plan’s time frame for making a benefit determination on review is stopped from the date the Plan Administrator sends you the extension notification until the date you respond to the request for additional information.</w:t>
      </w:r>
    </w:p>
    <w:p>
      <w:pPr>
        <w:spacing w:after="0" w:line="179"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If You Receive an Adverse Benefit Determination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Plan Administrator will provide you with a notification of any adverse benefit determination that will set forth:</w:t>
      </w:r>
    </w:p>
    <w:p>
      <w:pPr>
        <w:spacing w:after="0" w:line="220"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specific reason(s) for the adverse benefit determination;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benefit determination is based;</w:t>
      </w:r>
    </w:p>
    <w:p>
      <w:pPr>
        <w:spacing w:after="0" w:line="219" w:lineRule="exact"/>
        <w:rPr>
          <w:rFonts w:ascii="Arial" w:cs="Arial" w:eastAsia="Arial" w:hAnsi="Arial"/>
          <w:sz w:val="22"/>
          <w:szCs w:val="22"/>
          <w:color w:val="auto"/>
        </w:rPr>
      </w:pPr>
    </w:p>
    <w:p>
      <w:pPr>
        <w:ind w:right="160" w:firstLine="656"/>
        <w:spacing w:after="0" w:line="263" w:lineRule="auto"/>
        <w:tabs>
          <w:tab w:leader="none" w:pos="129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you to perfect the claim and an explanation of why that material or information is necessary; and</w:t>
      </w:r>
    </w:p>
    <w:p>
      <w:pPr>
        <w:sectPr>
          <w:pgSz w:w="11900" w:h="16838" w:orient="portrait"/>
          <w:cols w:equalWidth="0" w:num="1">
            <w:col w:w="11240"/>
          </w:cols>
          <w:pgMar w:left="320" w:top="1422" w:right="339" w:bottom="1440" w:gutter="0" w:footer="0" w:header="0"/>
        </w:sectPr>
      </w:pPr>
    </w:p>
    <w:bookmarkStart w:id="157" w:name="page158"/>
    <w:bookmarkEnd w:id="157"/>
    <w:p>
      <w:pPr>
        <w:spacing w:after="0" w:line="56" w:lineRule="exact"/>
        <w:rPr>
          <w:sz w:val="20"/>
          <w:szCs w:val="20"/>
          <w:color w:val="auto"/>
        </w:rPr>
      </w:pPr>
    </w:p>
    <w:p>
      <w:pPr>
        <w:ind w:right="160" w:firstLine="656"/>
        <w:spacing w:after="0" w:line="343" w:lineRule="auto"/>
        <w:tabs>
          <w:tab w:leader="none" w:pos="129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 description of the Plan’s appeal procedures and time limits applicable to such procedures, including a statement of your right to bring a civil action under ERISA after an adverse determination on appeal to the Plan Administrator.</w:t>
      </w:r>
    </w:p>
    <w:p>
      <w:pPr>
        <w:spacing w:after="0" w:line="98" w:lineRule="exact"/>
        <w:rPr>
          <w:rFonts w:ascii="Arial" w:cs="Arial" w:eastAsia="Arial" w:hAnsi="Arial"/>
          <w:sz w:val="19"/>
          <w:szCs w:val="19"/>
          <w:color w:val="auto"/>
        </w:rPr>
      </w:pPr>
    </w:p>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Procedures for Appealing an Adverse Benefit Determination</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You, or your authorized representative, have 60 days following the receipt of a notification of an adverse benefit determination within which to appeal the determination.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 have the right to:</w:t>
      </w:r>
    </w:p>
    <w:p>
      <w:pPr>
        <w:spacing w:after="0" w:line="220"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Submit written comments, documents, records and other information relating to the claim for benefits;</w:t>
      </w:r>
    </w:p>
    <w:p>
      <w:pPr>
        <w:spacing w:after="0" w:line="219" w:lineRule="exact"/>
        <w:rPr>
          <w:rFonts w:ascii="Arial" w:cs="Arial" w:eastAsia="Arial" w:hAnsi="Arial"/>
          <w:sz w:val="22"/>
          <w:szCs w:val="22"/>
          <w:color w:val="auto"/>
        </w:rPr>
      </w:pPr>
    </w:p>
    <w:p>
      <w:pPr>
        <w:jc w:val="both"/>
        <w:ind w:right="160" w:firstLine="656"/>
        <w:spacing w:after="0" w:line="253" w:lineRule="auto"/>
        <w:tabs>
          <w:tab w:leader="none" w:pos="129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Request reasonable access to, and copies of all documents, records and other information relevant to your claim for benefits. Note that a reasonable charge will be made for copies of the Plan document. For this purpose, a document, record, or other information is treated as “relevant” to your claim if it:</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(i)Was relied upon in making the benefit determination;</w:t>
      </w:r>
    </w:p>
    <w:p>
      <w:pPr>
        <w:spacing w:after="0" w:line="220" w:lineRule="exact"/>
        <w:rPr>
          <w:sz w:val="20"/>
          <w:szCs w:val="20"/>
          <w:color w:val="auto"/>
        </w:rPr>
      </w:pPr>
    </w:p>
    <w:p>
      <w:pPr>
        <w:ind w:firstLine="1032"/>
        <w:spacing w:after="0" w:line="287" w:lineRule="auto"/>
        <w:rPr>
          <w:sz w:val="20"/>
          <w:szCs w:val="20"/>
          <w:color w:val="auto"/>
        </w:rPr>
      </w:pPr>
      <w:r>
        <w:rPr>
          <w:rFonts w:ascii="Arial" w:cs="Arial" w:eastAsia="Arial" w:hAnsi="Arial"/>
          <w:sz w:val="21"/>
          <w:szCs w:val="21"/>
          <w:color w:val="auto"/>
        </w:rPr>
        <w:t>(ii)Was submitted, considered, or generated in the course of making the benefit determination, regardless of whether such document, record or other information was relied upon in making the benefit determination;</w:t>
      </w:r>
    </w:p>
    <w:p>
      <w:pPr>
        <w:spacing w:after="0" w:line="151"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(iii)Demonstrates compliance with the administrative processes and safeguards required in making the benefit determination; or</w:t>
      </w:r>
    </w:p>
    <w:p>
      <w:pPr>
        <w:spacing w:after="0" w:line="175" w:lineRule="exact"/>
        <w:rPr>
          <w:sz w:val="20"/>
          <w:szCs w:val="20"/>
          <w:color w:val="auto"/>
        </w:rPr>
      </w:pPr>
    </w:p>
    <w:p>
      <w:pPr>
        <w:ind w:right="180" w:firstLine="656"/>
        <w:spacing w:after="0" w:line="343" w:lineRule="auto"/>
        <w:tabs>
          <w:tab w:leader="none" w:pos="129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 review that takes into account all comments, documents, records, and other information submitted by you relating to the claim, regardless of whether such information was submitted or considered in the initial benefit determination.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 Administrator will notify you of the Plan’s benefit determination on review within a reasonable period of time, but not later than 60 days after receipt of your request for review by the Plan. This 60-day period may be extended for up to an additional 60 days, if the Plan Administrator both determines that special circumstances require an extension of time for processing the claim, and notifies you, before the initial 60-day period expires, of the special circumstances requiring the extension of time and the date by which the Plan expects to render a determination on review.</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an extension is necessary due to your failure to submit necessary information, the Plan’s time frame for making a benefit determination on review is stopped from the date the Plan Administrator sends you the extension notification until the date you respond to the request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The Plan Administrator’s notice of an adverse benefit determination on appeal will contain all of the following information:</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5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i.The specific reason(s) for the adverse benefit determination;</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ii.Reference to the specific Plan provisions on which the benefit determination is based;</w:t>
      </w:r>
    </w:p>
    <w:p>
      <w:pPr>
        <w:spacing w:after="0" w:line="220" w:lineRule="exact"/>
        <w:rPr>
          <w:sz w:val="20"/>
          <w:szCs w:val="20"/>
          <w:color w:val="auto"/>
        </w:rPr>
      </w:pPr>
    </w:p>
    <w:p>
      <w:pPr>
        <w:ind w:right="160" w:firstLine="414"/>
        <w:spacing w:after="0" w:line="343" w:lineRule="auto"/>
        <w:rPr>
          <w:sz w:val="20"/>
          <w:szCs w:val="20"/>
          <w:color w:val="auto"/>
        </w:rPr>
      </w:pPr>
      <w:r>
        <w:rPr>
          <w:rFonts w:ascii="Arial" w:cs="Arial" w:eastAsia="Arial" w:hAnsi="Arial"/>
          <w:sz w:val="19"/>
          <w:szCs w:val="19"/>
          <w:color w:val="auto"/>
        </w:rPr>
        <w:t>iii.A statement that you are entitled to receive, upon request, reasonable access to, and copies of, all documents, records, and other information relevant to your claim. Note that a reasonable charge will be made for copies of the Plan document; and</w:t>
      </w:r>
    </w:p>
    <w:p>
      <w:pPr>
        <w:spacing w:after="0" w:line="104" w:lineRule="exact"/>
        <w:rPr>
          <w:sz w:val="20"/>
          <w:szCs w:val="20"/>
          <w:color w:val="auto"/>
        </w:rPr>
      </w:pPr>
    </w:p>
    <w:p>
      <w:pPr>
        <w:ind w:right="180" w:firstLine="426"/>
        <w:spacing w:after="0" w:line="263" w:lineRule="auto"/>
        <w:rPr>
          <w:sz w:val="20"/>
          <w:szCs w:val="20"/>
          <w:color w:val="auto"/>
        </w:rPr>
      </w:pPr>
      <w:r>
        <w:rPr>
          <w:rFonts w:ascii="Arial" w:cs="Arial" w:eastAsia="Arial" w:hAnsi="Arial"/>
          <w:sz w:val="22"/>
          <w:szCs w:val="22"/>
          <w:color w:val="auto"/>
        </w:rPr>
        <w:t>iv.A statement describing your right to obtain the information about such procedures, and a statement of your right to bring an action under ERISA.</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must exhaust this Plan’s administrative claims and appeals procedure before bringing a suit in either state or federal court. Similarly, failure to follow the Plan’s prescribed procedures in a timely manner will also cause you to lose your right to sue regarding an adverse benefit determination.</w:t>
      </w:r>
    </w:p>
    <w:p>
      <w:pPr>
        <w:spacing w:after="0" w:line="179"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Assistance with Your Questions</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240"/>
          </w:cols>
          <w:pgMar w:left="320" w:top="1440"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in effect December 22,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LENDINGTREE</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EXECUTIVE SEVERANCE PAY PLAN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SEVERANCE PAY CALCULATION FOR</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TIER A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Qualifying Termination other than in connection with a Change in Control:</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of a Tier A executive’s Qualifying Termination that occurs other than in connection with a Change in Control of the Company, the Company shall (i) pay the executive cash severance equal to 1.0x the executive’s base salary, payable in equal installments over the 12-month period following the executive’s Qualifying Termination and in accordance with Section 3 of this Plan and the Company’s regular payroll policies, (ii) provide for accelerated vesting of the executive’s outstanding equity awards that would have vested during the 12 months following such Qualifying Termination, and (iii) cover 12 months of COBRA premiums for the executive and his or her eligible dependents.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Tier A executive shall be subject to all applicable restrictive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Provision related to a Change in Control, including Qualifying Termination in connection with a Change in Control:</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the event of a Tier A executive’s Qualifying Termination that occurs within 12 months after a Change in Control of the Company, the Company shall (i) pay the executive (A) cash severance equal to 2.0x the sum of the executive’s base salary and target annual bonus and (B) an amount equal to the pro-rated portion of the executive’s annual bonus for the Company’s fiscal year in which the Qualifying Termination occurs based on target performance, with such proration based on the ratio of the number of days the executive was employed by the Company during such year to 365, in each case, payable in a lump sum on the first Company payroll date following the effectiveness of the Release, and (ii) cover 15 months of COBRA premiums for the executive and his or her eligible dependents. The severance payment described in this paragraph is automatic and not at the discretion of the Plan Sponsor.</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Separately, upon the consummation of the Change in Control, the Company will provide for full acceleration of the time-vesting requirements of all outstanding equity awards held by the executive (i.e., single-trigger protection) with the achievement of any performance vesting requirements to be determined at the time of the Change in Control based on the parameters set forth in the applicable award agreement or by the Compensation Committee, as applicable. Any equity awards held by the executive that do</w:t>
      </w:r>
    </w:p>
    <w:p>
      <w:pPr>
        <w:sectPr>
          <w:pgSz w:w="11900" w:h="16838" w:orient="portrait"/>
          <w:cols w:equalWidth="0" w:num="1">
            <w:col w:w="11240"/>
          </w:cols>
          <w:pgMar w:left="320" w:top="1422" w:right="3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not become vested upon the consummation of the Change in Control based on the foregoing will be immediately forfeited without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Tier A executive shall be subject to all applicable restrictive covenants other than any non-compete covenant.</w:t>
      </w:r>
    </w:p>
    <w:p>
      <w:pPr>
        <w:sectPr>
          <w:pgSz w:w="11900" w:h="16838" w:orient="portrait"/>
          <w:cols w:equalWidth="0" w:num="1">
            <w:col w:w="11220"/>
          </w:cols>
          <w:pgMar w:left="320" w:top="1428" w:right="35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SCHEDULE B</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in effect December 22,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LENDINGTREE</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EXECUTIVE SEVERANCE PAY PLAN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SEVERANCE PAY CALCULATION FOR</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TIER B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Qualifying Termination other than in connection with a Change in Control:</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of a Tier B executive’s Qualifying Termination that occurs other than in connection with a Change in Control of the Company, the Company shall (i) pay the executive cash severance equal to 0.75x the executive’s base salary, payable in equal installments over the nine-month period following the executive’s Qualifying Termination and in accordance with Section 3 of this Plan and the Company’s regular payroll policies, (ii) provide for accelerated vesting of the executive’s outstanding equity awards that would have vested during the nine months following such Qualifying Termination, and (iii) cover nine months of COBRA premiums for the executive and his or her eligible dependents.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Tier B executive shall be subject to all applicable restrictive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Provision related to a Change in Control, including Qualifying Termination in connection with a Change in Control:</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the event of a Tier B executive’s Qualifying Termination that occurs within 12 months after a Change in Control of the Company, the Company shall (i) pay the executive (A) cash severance equal to 1.0x the sum of the executive’s base salary and target annual bonus and (B) an amount equal to the pro-rated portion of the executive’s annual bonus for the Company’s fiscal year in which the Qualifying Termination occurs based on target performance, with such proration based on the ratio of the number of days the executive was employed by the Company during such year to 365, in each case, payable in a lump sum on the first Company payroll date following the effectiveness of the Release, and (ii) cover 12 months of COBRA premiums for the executive and his or her eligible dependents. The severance payment described in this paragraph is automatic and not at the discretion of the Plan Sponsor.</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Separately, upon the consummation of the Change in Control, the Company will provide for full acceleration of the time-vesting requirements of all outstanding equity awards held by the executive (i.e., single-trigger protection) with the achievement of any performance vesting requirements to be determined at the time of the Change in Control based on the parameters set forth in the applicable award agreement or by the Compensation Committee, as applicable. Any equity awards held by the executive that do</w:t>
      </w:r>
    </w:p>
    <w:p>
      <w:pPr>
        <w:sectPr>
          <w:pgSz w:w="11900" w:h="16838" w:orient="portrait"/>
          <w:cols w:equalWidth="0" w:num="1">
            <w:col w:w="11240"/>
          </w:cols>
          <w:pgMar w:left="320" w:top="1422" w:right="33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22"/>
          <w:szCs w:val="22"/>
          <w:color w:val="auto"/>
        </w:rPr>
        <w:t>not become vested upon the consummation of the Change in Control based on the foregoing will be immediately forfeited without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Tier B executive shall be subject to all applicable restrictive covenants other than any non-compete covenant.</w:t>
      </w:r>
    </w:p>
    <w:p>
      <w:pPr>
        <w:sectPr>
          <w:pgSz w:w="11900" w:h="16838" w:orient="portrait"/>
          <w:cols w:equalWidth="0" w:num="1">
            <w:col w:w="11220"/>
          </w:cols>
          <w:pgMar w:left="320" w:top="1428" w:right="3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SCHEDULE C</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in effect December 22,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LENDINGTREE</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EXECUTIVE SEVERANCE PAY PLAN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SEVERANCE PAY CALCULATION FOR</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TIER C PARTICIPANTS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Qualifying Termination other than in connection with a Change in Control:</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of a Tier C executive’s Qualifying Termination that occurs other than in connection with a Change in Control of the Company, the Company shall (i) pay the executive cash severance equal to 0.5x the executive’s base salary, payable in equal installments over the six-month period following the executive’s Qualifying Termination and in accordance with Section 3 of this Plan and the Company’s regular payroll policies, and (ii) cover six months of COBRA premiums for the executive and his or her eligible dependents.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The Tier C executive shall be subject to all applicable restrictive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Provision related to a Change in Control, including Qualifying Termination in connection with a Change in Control:</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the event of a Tier C executive’s Qualifying Termination that occurs within 12 months after a Change in Control of the Company, the Company shall (i) pay the executive (A) cash severance equal to 0.5x the sum of the executive’s base salary and target annual bonus and (B) an amount equal to the pro-rated portion of the executive’s annual bonus for the Company’s fiscal year in which the Qualifying Termination occurs based on target performance, with such proration based on the ratio of the number of days the executive was employed by the Company during such year to 365, in each case, payable in a lump sum on the first Company payroll date following the effectiveness of the Release, and (ii) cover 12 months of COBRA premiums for the executive and his or her eligible dependents. The severance payment described in this paragraph is automatic and not at the discretion of the Plan Sponsor.</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Separately, upon the consummation of the Change in Control, the Company will provide for full acceleration of the time-vesting requirements of all outstanding equity awards held by the executive (i.e., single-trigger protection) with the achievement of any performance vesting requirements to be determined at the time of the Change in Control based on the parameters set forth in the applicable award agreement or by the Compensation Committee, as applicable. Any equity awards held by the executive that do not become vested upon the consummation of the Change in Control based on the foregoing will be immediately forfeited without consideration.</w:t>
      </w:r>
    </w:p>
    <w:p>
      <w:pPr>
        <w:sectPr>
          <w:pgSz w:w="11900" w:h="16838" w:orient="portrait"/>
          <w:cols w:equalWidth="0" w:num="1">
            <w:col w:w="11240"/>
          </w:cols>
          <w:pgMar w:left="320" w:top="1422"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The Tier C executive shall be subject to all applicable restrictive covenants other than any non-compete covenant.</w:t>
      </w:r>
    </w:p>
    <w:p>
      <w:pPr>
        <w:sectPr>
          <w:pgSz w:w="11900" w:h="16838" w:orient="portrait"/>
          <w:cols w:equalWidth="0" w:num="1">
            <w:col w:w="10139"/>
          </w:cols>
          <w:pgMar w:left="320" w:top="1428"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00" w:type="dxa"/>
            <w:vAlign w:val="bottom"/>
            <w:gridSpan w:val="2"/>
          </w:tcPr>
          <w:p>
            <w:pPr>
              <w:ind w:left="698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918"/>
        </w:trPr>
        <w:tc>
          <w:tcPr>
            <w:tcW w:w="3300" w:type="dxa"/>
            <w:vAlign w:val="bottom"/>
          </w:tcPr>
          <w:p>
            <w:pPr>
              <w:spacing w:after="0"/>
              <w:rPr>
                <w:sz w:val="24"/>
                <w:szCs w:val="24"/>
                <w:color w:val="auto"/>
              </w:rPr>
            </w:pPr>
          </w:p>
        </w:tc>
        <w:tc>
          <w:tcPr>
            <w:tcW w:w="7900" w:type="dxa"/>
            <w:vAlign w:val="bottom"/>
            <w:gridSpan w:val="2"/>
          </w:tcPr>
          <w:p>
            <w:pPr>
              <w:ind w:left="58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594"/>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900" w:type="dxa"/>
            <w:vAlign w:val="bottom"/>
            <w:gridSpan w:val="2"/>
          </w:tcPr>
          <w:p>
            <w:pPr>
              <w:jc w:val="center"/>
              <w:ind w:left="6372"/>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7900" w:type="dxa"/>
            <w:vAlign w:val="bottom"/>
            <w:gridSpan w:val="2"/>
          </w:tcPr>
          <w:p>
            <w:pPr>
              <w:jc w:val="center"/>
              <w:ind w:left="6372"/>
              <w:spacing w:after="0"/>
              <w:rPr>
                <w:sz w:val="20"/>
                <w:szCs w:val="20"/>
                <w:color w:val="auto"/>
              </w:rPr>
            </w:pPr>
            <w:r>
              <w:rPr>
                <w:rFonts w:ascii="Arial" w:cs="Arial" w:eastAsia="Arial" w:hAnsi="Arial"/>
                <w:sz w:val="14"/>
                <w:szCs w:val="14"/>
                <w:b w:val="1"/>
                <w:bCs w:val="1"/>
                <w:color w:val="auto"/>
                <w:w w:val="93"/>
              </w:rPr>
              <w:t>Formation</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LendingTree, LLC</w:t>
            </w:r>
          </w:p>
        </w:tc>
        <w:tc>
          <w:tcPr>
            <w:tcW w:w="7880" w:type="dxa"/>
            <w:vAlign w:val="bottom"/>
            <w:tcBorders>
              <w:top w:val="single" w:sz="8" w:color="auto"/>
            </w:tcBorders>
            <w:shd w:val="clear" w:color="auto" w:fill="CCEEFF"/>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Tree.com BU Holding Company, Inc.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DegreeTree, Inc.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Rexford Office Holdings, LLC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Home Loan Center, Inc.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5"/>
              </w:rPr>
              <w:t>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HLC Escrow, Inc.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LT Real Estate, Inc.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LT India Holding Company, LLC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Research Services LLP</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2"/>
              </w:rPr>
              <w:t>India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Ovation Credit Services, Inc.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4"/>
              </w:rPr>
              <w:t>FL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CM LT Holdings, LLC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QuoteWizard.com, LLC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QW Insurance Solutions, LLC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6"/>
              </w:rPr>
              <w:t>WA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LT Intermediate Company, LLC</w:t>
            </w:r>
          </w:p>
        </w:tc>
        <w:tc>
          <w:tcPr>
            <w:tcW w:w="7880" w:type="dxa"/>
            <w:vAlign w:val="bottom"/>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LTIM, LLC</w:t>
            </w:r>
          </w:p>
        </w:tc>
        <w:tc>
          <w:tcPr>
            <w:tcW w:w="7880" w:type="dxa"/>
            <w:vAlign w:val="bottom"/>
            <w:shd w:val="clear" w:color="auto" w:fill="CCEEFF"/>
          </w:tcPr>
          <w:p>
            <w:pPr>
              <w:jc w:val="center"/>
              <w:ind w:left="6392"/>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333-233034) and Form S-8 (No. 333-233035, No. 333-218747, No. 333-197952) of LendingTree, Inc. of our report dated February 26,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58"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LendingTree, Inc.;</w:t>
      </w:r>
    </w:p>
    <w:p>
      <w:pPr>
        <w:spacing w:after="0" w:line="157"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644"/>
        <w:spacing w:after="0" w:line="263" w:lineRule="auto"/>
        <w:tabs>
          <w:tab w:leader="none" w:pos="9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hanging="644"/>
        <w:spacing w:after="0" w:line="263" w:lineRule="auto"/>
        <w:tabs>
          <w:tab w:leader="none" w:pos="10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center"/>
        <w:ind w:left="1300" w:hanging="644"/>
        <w:spacing w:after="0" w:line="342" w:lineRule="auto"/>
        <w:tabs>
          <w:tab w:leader="none" w:pos="107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hanging="644"/>
        <w:spacing w:after="0" w:line="263" w:lineRule="auto"/>
        <w:tabs>
          <w:tab w:leader="none" w:pos="99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hanging="644"/>
        <w:spacing w:after="0" w:line="308" w:lineRule="auto"/>
        <w:tabs>
          <w:tab w:leader="none" w:pos="110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300" w:hanging="644"/>
        <w:spacing w:after="0" w:line="277" w:lineRule="auto"/>
        <w:tabs>
          <w:tab w:leader="none" w:pos="10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00" w:lineRule="exact"/>
        <w:rPr>
          <w:sz w:val="20"/>
          <w:szCs w:val="20"/>
          <w:color w:val="auto"/>
        </w:rPr>
      </w:pPr>
    </w:p>
    <w:p>
      <w:pPr>
        <w:spacing w:after="0" w:line="345"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207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0">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Douglas R. Lebda</w:t>
      </w:r>
    </w:p>
    <w:p>
      <w:pPr>
        <w:ind w:left="7160"/>
        <w:spacing w:after="0" w:line="203" w:lineRule="auto"/>
        <w:rPr>
          <w:sz w:val="20"/>
          <w:szCs w:val="20"/>
          <w:color w:val="auto"/>
        </w:rPr>
      </w:pPr>
      <w:r>
        <w:rPr>
          <w:rFonts w:ascii="Arial" w:cs="Arial" w:eastAsia="Arial" w:hAnsi="Arial"/>
          <w:sz w:val="18"/>
          <w:szCs w:val="18"/>
          <w:i w:val="1"/>
          <w:iCs w:val="1"/>
          <w:color w:val="auto"/>
        </w:rPr>
        <w:t>Chairman and Chief Executive Officer</w:t>
      </w:r>
    </w:p>
    <w:p>
      <w:pPr>
        <w:ind w:left="7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58"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LendingTree, Inc.;</w:t>
      </w:r>
    </w:p>
    <w:p>
      <w:pPr>
        <w:spacing w:after="0" w:line="157"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644"/>
        <w:spacing w:after="0" w:line="263" w:lineRule="auto"/>
        <w:tabs>
          <w:tab w:leader="none" w:pos="98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hanging="644"/>
        <w:spacing w:after="0" w:line="263" w:lineRule="auto"/>
        <w:tabs>
          <w:tab w:leader="none" w:pos="105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center"/>
        <w:ind w:left="1300" w:hanging="644"/>
        <w:spacing w:after="0" w:line="342" w:lineRule="auto"/>
        <w:tabs>
          <w:tab w:leader="none" w:pos="107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hanging="644"/>
        <w:spacing w:after="0" w:line="263" w:lineRule="auto"/>
        <w:tabs>
          <w:tab w:leader="none" w:pos="99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hanging="644"/>
        <w:spacing w:after="0" w:line="308" w:lineRule="auto"/>
        <w:tabs>
          <w:tab w:leader="none" w:pos="110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300" w:hanging="644"/>
        <w:spacing w:after="0" w:line="277" w:lineRule="auto"/>
        <w:tabs>
          <w:tab w:leader="none" w:pos="105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00" w:lineRule="exact"/>
        <w:rPr>
          <w:sz w:val="20"/>
          <w:szCs w:val="20"/>
          <w:color w:val="auto"/>
        </w:rPr>
      </w:pPr>
    </w:p>
    <w:p>
      <w:pPr>
        <w:spacing w:after="0" w:line="237"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20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J.D. Moriarty</w:t>
      </w:r>
    </w:p>
    <w:p>
      <w:pPr>
        <w:ind w:left="7700"/>
        <w:spacing w:after="0" w:line="203" w:lineRule="auto"/>
        <w:rPr>
          <w:sz w:val="20"/>
          <w:szCs w:val="20"/>
          <w:color w:val="auto"/>
        </w:rPr>
      </w:pPr>
      <w:r>
        <w:rPr>
          <w:rFonts w:ascii="Arial" w:cs="Arial" w:eastAsia="Arial" w:hAnsi="Arial"/>
          <w:sz w:val="18"/>
          <w:szCs w:val="18"/>
          <w:i w:val="1"/>
          <w:iCs w:val="1"/>
          <w:color w:val="auto"/>
        </w:rPr>
        <w:t>Chief Financial Officer</w:t>
      </w:r>
    </w:p>
    <w:p>
      <w:pPr>
        <w:ind w:left="7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jc w:val="both"/>
        <w:ind w:left="660" w:hanging="328"/>
        <w:spacing w:after="0" w:line="263" w:lineRule="auto"/>
        <w:tabs>
          <w:tab w:leader="none" w:pos="65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2020 of LendingTree, Inc. (the "Report") which this statement accompanies fully complies with the requirements of Section 13(a) or 15(d) of the Securities Exchange Act of 1934 (15 U.S.C. 78m or 78o(d)); and</w:t>
      </w:r>
    </w:p>
    <w:p>
      <w:pPr>
        <w:spacing w:after="0" w:line="210"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00" w:lineRule="exact"/>
        <w:rPr>
          <w:sz w:val="20"/>
          <w:szCs w:val="20"/>
          <w:color w:val="auto"/>
        </w:rPr>
      </w:pPr>
    </w:p>
    <w:p>
      <w:pPr>
        <w:spacing w:after="0" w:line="264"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Douglas R. Lebda</w:t>
      </w:r>
    </w:p>
    <w:p>
      <w:pPr>
        <w:ind w:left="7040"/>
        <w:spacing w:after="0" w:line="203" w:lineRule="auto"/>
        <w:rPr>
          <w:sz w:val="20"/>
          <w:szCs w:val="20"/>
          <w:color w:val="auto"/>
        </w:rPr>
      </w:pPr>
      <w:r>
        <w:rPr>
          <w:rFonts w:ascii="Arial" w:cs="Arial" w:eastAsia="Arial" w:hAnsi="Arial"/>
          <w:sz w:val="18"/>
          <w:szCs w:val="18"/>
          <w:i w:val="1"/>
          <w:iCs w:val="1"/>
          <w:color w:val="auto"/>
        </w:rPr>
        <w:t>Chairman and Chief Executive Officer</w:t>
      </w:r>
    </w:p>
    <w:p>
      <w:pPr>
        <w:ind w:left="7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J.D. Moriarty, certify, pursuant to 18 U.S.C. Section 1350, as adopted pursuant to Section 906 of the Sarbanes-Oxley Act of 2002, that to my knowledge:</w:t>
      </w:r>
    </w:p>
    <w:p>
      <w:pPr>
        <w:spacing w:after="0" w:line="116" w:lineRule="exact"/>
        <w:rPr>
          <w:sz w:val="20"/>
          <w:szCs w:val="20"/>
          <w:color w:val="auto"/>
        </w:rPr>
      </w:pPr>
    </w:p>
    <w:p>
      <w:pPr>
        <w:jc w:val="both"/>
        <w:ind w:left="660" w:hanging="328"/>
        <w:spacing w:after="0" w:line="263" w:lineRule="auto"/>
        <w:tabs>
          <w:tab w:leader="none" w:pos="6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2020 of LendingTree, Inc. (the "Report") which this statement accompanies fully complies with the requirements of Section 13(a) or 15(d) of the Securities Exchange Act of 1934 (15 U.S.C. 78m or 78o(d)); and</w:t>
      </w:r>
    </w:p>
    <w:p>
      <w:pPr>
        <w:spacing w:after="0" w:line="210"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pacing w:after="0" w:line="200" w:lineRule="exact"/>
        <w:rPr>
          <w:sz w:val="20"/>
          <w:szCs w:val="20"/>
          <w:color w:val="auto"/>
        </w:rPr>
      </w:pPr>
    </w:p>
    <w:p>
      <w:pPr>
        <w:spacing w:after="0" w:line="264"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J.D. Moriarty</w:t>
      </w:r>
    </w:p>
    <w:p>
      <w:pPr>
        <w:ind w:left="7580"/>
        <w:spacing w:after="0" w:line="203" w:lineRule="auto"/>
        <w:rPr>
          <w:sz w:val="20"/>
          <w:szCs w:val="20"/>
          <w:color w:val="auto"/>
        </w:rPr>
      </w:pPr>
      <w:r>
        <w:rPr>
          <w:rFonts w:ascii="Arial" w:cs="Arial" w:eastAsia="Arial" w:hAnsi="Arial"/>
          <w:sz w:val="18"/>
          <w:szCs w:val="18"/>
          <w:i w:val="1"/>
          <w:iCs w:val="1"/>
          <w:color w:val="auto"/>
        </w:rPr>
        <w:t>Chief Financial Officer</w:t>
      </w:r>
    </w:p>
    <w:p>
      <w:pPr>
        <w:ind w:left="74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lowerLetter"/>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decimal"/>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1)"/>
      <w:numFmt w:val="lowerLetter"/>
      <w:start w:val="1"/>
    </w:lvl>
  </w:abstractNum>
  <w:abstractNum w:abstractNumId="29">
    <w:nsid w:val="7BD3EE7B"/>
    <w:multiLevelType w:val="hybridMultilevel"/>
    <w:lvl w:ilvl="0">
      <w:lvlJc w:val="left"/>
      <w:lvlText w:val="(%1)"/>
      <w:numFmt w:val="decimal"/>
      <w:start w:val="1"/>
    </w:lvl>
  </w:abstractNum>
  <w:abstractNum w:abstractNumId="30">
    <w:nsid w:val="51D9C564"/>
    <w:multiLevelType w:val="hybridMultilevel"/>
    <w:lvl w:ilvl="0">
      <w:lvlJc w:val="left"/>
      <w:lvlText w:val="(%1)"/>
      <w:numFmt w:val="decimal"/>
      <w:start w:val="4"/>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1)"/>
      <w:numFmt w:val="lowerLetter"/>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1)"/>
      <w:numFmt w:val="lowerLetter"/>
      <w:start w:val="1"/>
    </w:lvl>
  </w:abstractNum>
  <w:abstractNum w:abstractNumId="37">
    <w:nsid w:val="1A32234B"/>
    <w:multiLevelType w:val="hybridMultilevel"/>
    <w:lvl w:ilvl="0">
      <w:lvlJc w:val="left"/>
      <w:lvlText w:val="(%1)"/>
      <w:numFmt w:val="lowerLetter"/>
      <w:start w:val="1"/>
    </w:lvl>
  </w:abstractNum>
  <w:abstractNum w:abstractNumId="38">
    <w:nsid w:val="3B0FD379"/>
    <w:multiLevelType w:val="hybridMultilevel"/>
    <w:lvl w:ilvl="0">
      <w:lvlJc w:val="left"/>
      <w:lvlText w:val="%1"/>
      <w:numFmt w:val="decimal"/>
      <w:start w:val="104"/>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1."/>
      <w:numFmt w:val="decimal"/>
      <w:start w:val="2"/>
    </w:lvl>
  </w:abstractNum>
  <w:abstractNum w:abstractNumId="44">
    <w:nsid w:val="7FFFCA11"/>
    <w:multiLevelType w:val="hybridMultilevel"/>
    <w:lvl w:ilvl="0">
      <w:lvlJc w:val="left"/>
      <w:lvlText w:val="%1."/>
      <w:numFmt w:val="decimal"/>
      <w:start w:val="3"/>
    </w:lvl>
    <w:lvl w:ilvl="1">
      <w:lvlJc w:val="left"/>
      <w:lvlText w:val="(%2)"/>
      <w:numFmt w:val="lowerLetter"/>
      <w:start w:val="1"/>
    </w:lvl>
  </w:abstractNum>
  <w:abstractNum w:abstractNumId="45">
    <w:nsid w:val="1A27709E"/>
    <w:multiLevelType w:val="hybridMultilevel"/>
    <w:lvl w:ilvl="0">
      <w:lvlJc w:val="left"/>
      <w:lvlText w:val="(%1)"/>
      <w:numFmt w:val="lowerLetter"/>
      <w:start w:val="4"/>
    </w:lvl>
  </w:abstractNum>
  <w:abstractNum w:abstractNumId="46">
    <w:nsid w:val="71EA1109"/>
    <w:multiLevelType w:val="hybridMultilevel"/>
    <w:lvl w:ilvl="0">
      <w:lvlJc w:val="left"/>
      <w:lvlText w:val="%1."/>
      <w:numFmt w:val="decimal"/>
      <w:start w:val="4"/>
    </w:lvl>
  </w:abstractNum>
  <w:abstractNum w:abstractNumId="47">
    <w:nsid w:val="100F59DC"/>
    <w:multiLevelType w:val="hybridMultilevel"/>
    <w:lvl w:ilvl="0">
      <w:lvlJc w:val="left"/>
      <w:lvlText w:val="%1."/>
      <w:numFmt w:val="decimal"/>
      <w:start w:val="5"/>
    </w:lvl>
    <w:lvl w:ilvl="1">
      <w:lvlJc w:val="left"/>
      <w:lvlText w:val="(%2)"/>
      <w:numFmt w:val="lowerLetter"/>
      <w:start w:val="1"/>
    </w:lvl>
  </w:abstractNum>
  <w:abstractNum w:abstractNumId="48">
    <w:nsid w:val="7FB7E0AA"/>
    <w:multiLevelType w:val="hybridMultilevel"/>
    <w:lvl w:ilvl="0">
      <w:lvlJc w:val="left"/>
      <w:lvlText w:val="%1"/>
      <w:numFmt w:val="decimal"/>
      <w:start w:val="1"/>
    </w:lvl>
    <w:lvl w:ilvl="1">
      <w:lvlJc w:val="left"/>
      <w:lvlText w:val="(%2)"/>
      <w:numFmt w:val="lowerLetter"/>
      <w:start w:val="3"/>
    </w:lvl>
  </w:abstractNum>
  <w:abstractNum w:abstractNumId="49">
    <w:nsid w:val="6EB5BD4"/>
    <w:multiLevelType w:val="hybridMultilevel"/>
    <w:lvl w:ilvl="0">
      <w:lvlJc w:val="left"/>
      <w:lvlText w:val="%1."/>
      <w:numFmt w:val="decimal"/>
      <w:start w:val="6"/>
    </w:lvl>
    <w:lvl w:ilvl="1">
      <w:lvlJc w:val="left"/>
      <w:lvlText w:val="%2"/>
      <w:numFmt w:val="lowerLetter"/>
      <w:start w:val="1"/>
    </w:lvl>
  </w:abstractNum>
  <w:abstractNum w:abstractNumId="50">
    <w:nsid w:val="6F6DD9AC"/>
    <w:multiLevelType w:val="hybridMultilevel"/>
    <w:lvl w:ilvl="0">
      <w:lvlJc w:val="left"/>
      <w:lvlText w:val="%1."/>
      <w:numFmt w:val="decimal"/>
      <w:start w:val="1"/>
    </w:lvl>
    <w:lvl w:ilvl="1">
      <w:lvlJc w:val="left"/>
      <w:lvlText w:val="(%2)"/>
      <w:numFmt w:val="lowerLetter"/>
      <w:start w:val="1"/>
    </w:lvl>
  </w:abstractNum>
  <w:abstractNum w:abstractNumId="51">
    <w:nsid w:val="94211F2"/>
    <w:multiLevelType w:val="hybridMultilevel"/>
    <w:lvl w:ilvl="0">
      <w:lvlJc w:val="left"/>
      <w:lvlText w:val="(%1)"/>
      <w:numFmt w:val="upperLetter"/>
      <w:start w:val="1"/>
    </w:lvl>
  </w:abstractNum>
  <w:abstractNum w:abstractNumId="52">
    <w:nsid w:val="885E1B"/>
    <w:multiLevelType w:val="hybridMultilevel"/>
    <w:lvl w:ilvl="0">
      <w:lvlJc w:val="left"/>
      <w:lvlText w:val="%1"/>
      <w:numFmt w:val="upperLetter"/>
      <w:start w:val="1"/>
    </w:lvl>
    <w:lvl w:ilvl="1">
      <w:lvlJc w:val="left"/>
      <w:lvlText w:val="(%2)"/>
      <w:numFmt w:val="lowerLetter"/>
      <w:start w:val="2"/>
    </w:lvl>
  </w:abstractNum>
  <w:abstractNum w:abstractNumId="53">
    <w:nsid w:val="76272110"/>
    <w:multiLevelType w:val="hybridMultilevel"/>
    <w:lvl w:ilvl="0">
      <w:lvlJc w:val="left"/>
      <w:lvlText w:val="(%1)"/>
      <w:numFmt w:val="upperLetter"/>
      <w:start w:val="1"/>
    </w:lvl>
    <w:lvl w:ilvl="1">
      <w:lvlJc w:val="left"/>
      <w:lvlText w:val="%2"/>
      <w:numFmt w:val="lowerLetter"/>
      <w:start w:val="1"/>
    </w:lvl>
  </w:abstractNum>
  <w:abstractNum w:abstractNumId="54">
    <w:nsid w:val="4C04A8AF"/>
    <w:multiLevelType w:val="hybridMultilevel"/>
    <w:lvl w:ilvl="0">
      <w:lvlJc w:val="left"/>
      <w:lvlText w:val="%1"/>
      <w:numFmt w:val="upperLetter"/>
      <w:start w:val="1"/>
    </w:lvl>
    <w:lvl w:ilvl="1">
      <w:lvlJc w:val="left"/>
      <w:lvlText w:val="(%2)"/>
      <w:numFmt w:val="lowerLetter"/>
      <w:start w:val="3"/>
    </w:lvl>
  </w:abstractNum>
  <w:abstractNum w:abstractNumId="55">
    <w:nsid w:val="1716703B"/>
    <w:multiLevelType w:val="hybridMultilevel"/>
    <w:lvl w:ilvl="0">
      <w:lvlJc w:val="left"/>
      <w:lvlText w:val="(%1)"/>
      <w:numFmt w:val="upperLetter"/>
      <w:start w:val="1"/>
    </w:lvl>
    <w:lvl w:ilvl="1">
      <w:lvlJc w:val="left"/>
      <w:lvlText w:val="%2"/>
      <w:numFmt w:val="lowerLetter"/>
      <w:start w:val="1"/>
    </w:lvl>
  </w:abstractNum>
  <w:abstractNum w:abstractNumId="56">
    <w:nsid w:val="14E17E33"/>
    <w:multiLevelType w:val="hybridMultilevel"/>
    <w:lvl w:ilvl="0">
      <w:lvlJc w:val="left"/>
      <w:lvlText w:val="(%1)"/>
      <w:numFmt w:val="upperLetter"/>
      <w:start w:val="1"/>
    </w:lvl>
  </w:abstractNum>
  <w:abstractNum w:abstractNumId="57">
    <w:nsid w:val="3222E7CD"/>
    <w:multiLevelType w:val="hybridMultilevel"/>
    <w:lvl w:ilvl="0">
      <w:lvlJc w:val="left"/>
      <w:lvlText w:val="(%1)"/>
      <w:numFmt w:val="upperLetter"/>
      <w:start w:val="2"/>
    </w:lvl>
  </w:abstractNum>
  <w:abstractNum w:abstractNumId="58">
    <w:nsid w:val="74DE0EE3"/>
    <w:multiLevelType w:val="hybridMultilevel"/>
    <w:lvl w:ilvl="0">
      <w:lvlJc w:val="left"/>
      <w:lvlText w:val="(%1)"/>
      <w:numFmt w:val="upperLetter"/>
      <w:start w:val="4"/>
    </w:lvl>
  </w:abstractNum>
  <w:abstractNum w:abstractNumId="59">
    <w:nsid w:val="68EBC550"/>
    <w:multiLevelType w:val="hybridMultilevel"/>
    <w:lvl w:ilvl="0">
      <w:lvlJc w:val="left"/>
      <w:lvlText w:val="(%1)"/>
      <w:numFmt w:val="upperLetter"/>
      <w:start w:val="5"/>
    </w:lvl>
  </w:abstractNum>
  <w:abstractNum w:abstractNumId="60">
    <w:nsid w:val="2DF6D648"/>
    <w:multiLevelType w:val="hybridMultilevel"/>
    <w:lvl w:ilvl="0">
      <w:lvlJc w:val="left"/>
      <w:lvlText w:val="(%1)"/>
      <w:numFmt w:val="lowerLetter"/>
      <w:start w:val="5"/>
    </w:lvl>
  </w:abstractNum>
  <w:abstractNum w:abstractNumId="61">
    <w:nsid w:val="46B7D44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62">
    <w:nsid w:val="4A2AC31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63">
    <w:nsid w:val="39EE015C"/>
    <w:multiLevelType w:val="hybridMultilevel"/>
    <w:lvl w:ilvl="0">
      <w:lvlJc w:val="left"/>
      <w:lvlText w:val="(%1)"/>
      <w:numFmt w:val="lowerRoman"/>
      <w:start w:val="1"/>
    </w:lvl>
  </w:abstractNum>
  <w:abstractNum w:abstractNumId="64">
    <w:nsid w:val="57FC4FBB"/>
    <w:multiLevelType w:val="hybridMultilevel"/>
    <w:lvl w:ilvl="0">
      <w:lvlJc w:val="left"/>
      <w:lvlText w:val="%1."/>
      <w:numFmt w:val="decimal"/>
      <w:start w:val="2"/>
    </w:lvl>
    <w:lvl w:ilvl="1">
      <w:lvlJc w:val="left"/>
      <w:lvlText w:val="(%2)"/>
      <w:numFmt w:val="lowerLetter"/>
      <w:start w:val="1"/>
    </w:lvl>
  </w:abstractNum>
  <w:abstractNum w:abstractNumId="65">
    <w:nsid w:val="CC1016F"/>
    <w:multiLevelType w:val="hybridMultilevel"/>
    <w:lvl w:ilvl="0">
      <w:lvlJc w:val="left"/>
      <w:lvlText w:val="(%1)"/>
      <w:numFmt w:val="lowerRoman"/>
      <w:start w:val="7"/>
    </w:lvl>
  </w:abstractNum>
  <w:abstractNum w:abstractNumId="66">
    <w:nsid w:val="43F18422"/>
    <w:multiLevelType w:val="hybridMultilevel"/>
    <w:lvl w:ilvl="0">
      <w:lvlJc w:val="left"/>
      <w:lvlText w:val="(%1)"/>
      <w:numFmt w:val="lowerLetter"/>
      <w:start w:val="2"/>
    </w:lvl>
  </w:abstractNum>
  <w:abstractNum w:abstractNumId="67">
    <w:nsid w:val="60EF0119"/>
    <w:multiLevelType w:val="hybridMultilevel"/>
    <w:lvl w:ilvl="0">
      <w:lvlJc w:val="left"/>
      <w:lvlText w:val="(%1)"/>
      <w:numFmt w:val="lowerRoman"/>
      <w:start w:val="1"/>
    </w:lvl>
    <w:lvl w:ilvl="1">
      <w:lvlJc w:val="left"/>
      <w:lvlText w:val="(%2)"/>
      <w:numFmt w:val="decimal"/>
      <w:start w:val="2"/>
    </w:lvl>
  </w:abstractNum>
  <w:abstractNum w:abstractNumId="68">
    <w:nsid w:val="26F324B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69">
    <w:nsid w:val="7F01579B"/>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70">
    <w:nsid w:val="49DA307D"/>
    <w:multiLevelType w:val="hybridMultilevel"/>
    <w:lvl w:ilvl="0">
      <w:lvlJc w:val="left"/>
      <w:lvlText w:val="(%1)"/>
      <w:numFmt w:val="lowerRoman"/>
      <w:start w:val="2"/>
    </w:lvl>
  </w:abstractNum>
  <w:abstractNum w:abstractNumId="71">
    <w:nsid w:val="7055A5F5"/>
    <w:multiLevelType w:val="hybridMultilevel"/>
    <w:lvl w:ilvl="0">
      <w:lvlJc w:val="left"/>
      <w:lvlText w:val="(%1)"/>
      <w:numFmt w:val="lowerLetter"/>
      <w:start w:val="6"/>
    </w:lvl>
  </w:abstractNum>
  <w:abstractNum w:abstractNumId="72">
    <w:nsid w:val="5FB8370B"/>
    <w:multiLevelType w:val="hybridMultilevel"/>
    <w:lvl w:ilvl="0">
      <w:lvlJc w:val="left"/>
      <w:lvlText w:val="%1"/>
      <w:numFmt w:val="decimal"/>
      <w:start w:val="1"/>
    </w:lvl>
    <w:lvl w:ilvl="1">
      <w:lvlJc w:val="left"/>
      <w:lvlText w:val="(%2)"/>
      <w:numFmt w:val="lowerLetter"/>
      <w:start w:val="8"/>
    </w:lvl>
  </w:abstractNum>
  <w:abstractNum w:abstractNumId="73">
    <w:nsid w:val="50801EE1"/>
    <w:multiLevelType w:val="hybridMultilevel"/>
    <w:lvl w:ilvl="0">
      <w:lvlJc w:val="left"/>
      <w:lvlText w:val="%1."/>
      <w:numFmt w:val="decimal"/>
      <w:start w:val="3"/>
    </w:lvl>
    <w:lvl w:ilvl="1">
      <w:lvlJc w:val="left"/>
      <w:lvlText w:val="%2"/>
      <w:numFmt w:val="lowerLetter"/>
      <w:start w:val="1"/>
    </w:lvl>
  </w:abstractNum>
  <w:abstractNum w:abstractNumId="74">
    <w:nsid w:val="488AC1A"/>
    <w:multiLevelType w:val="hybridMultilevel"/>
    <w:lvl w:ilvl="0">
      <w:lvlJc w:val="left"/>
      <w:lvlText w:val="%1."/>
      <w:numFmt w:val="decimal"/>
      <w:start w:val="4"/>
    </w:lvl>
  </w:abstractNum>
  <w:abstractNum w:abstractNumId="75">
    <w:nsid w:val="5FB8011C"/>
    <w:multiLevelType w:val="hybridMultilevel"/>
    <w:lvl w:ilvl="0">
      <w:lvlJc w:val="left"/>
      <w:lvlText w:val="%1."/>
      <w:numFmt w:val="decimal"/>
      <w:start w:val="5"/>
    </w:lvl>
  </w:abstractNum>
  <w:abstractNum w:abstractNumId="76">
    <w:nsid w:val="6AA78F7F"/>
    <w:multiLevelType w:val="hybridMultilevel"/>
    <w:lvl w:ilvl="0">
      <w:lvlJc w:val="left"/>
      <w:lvlText w:val="%1."/>
      <w:numFmt w:val="decimal"/>
      <w:start w:val="6"/>
    </w:lvl>
  </w:abstractNum>
  <w:abstractNum w:abstractNumId="77">
    <w:nsid w:val="7672BD23"/>
    <w:multiLevelType w:val="hybridMultilevel"/>
    <w:lvl w:ilvl="0">
      <w:lvlJc w:val="left"/>
      <w:lvlText w:val="%1."/>
      <w:numFmt w:val="decimal"/>
      <w:start w:val="7"/>
    </w:lvl>
  </w:abstractNum>
  <w:abstractNum w:abstractNumId="78">
    <w:nsid w:val="6FC75AF8"/>
    <w:multiLevelType w:val="hybridMultilevel"/>
    <w:lvl w:ilvl="0">
      <w:lvlJc w:val="left"/>
      <w:lvlText w:val="%1."/>
      <w:numFmt w:val="decimal"/>
      <w:start w:val="11"/>
    </w:lvl>
  </w:abstractNum>
  <w:abstractNum w:abstractNumId="79">
    <w:nsid w:val="6A5F7029"/>
    <w:multiLevelType w:val="hybridMultilevel"/>
    <w:lvl w:ilvl="0">
      <w:lvlJc w:val="left"/>
      <w:lvlText w:val="%1."/>
      <w:numFmt w:val="decimal"/>
      <w:start w:val="12"/>
    </w:lvl>
  </w:abstractNum>
  <w:abstractNum w:abstractNumId="80">
    <w:nsid w:val="7D5E18F8"/>
    <w:multiLevelType w:val="hybridMultilevel"/>
    <w:lvl w:ilvl="0">
      <w:lvlJc w:val="left"/>
      <w:lvlText w:val="(%1)"/>
      <w:numFmt w:val="lowerRoman"/>
      <w:start w:val="2"/>
    </w:lvl>
    <w:lvl w:ilvl="1">
      <w:lvlJc w:val="left"/>
      <w:lvlText w:val="%2."/>
      <w:numFmt w:val="decimal"/>
      <w:start w:val="13"/>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upperLetter"/>
      <w:start w:val="1"/>
    </w:lvl>
    <w:lvl w:ilvl="1">
      <w:lvlJc w:val="left"/>
      <w:lvlText w:val="%2."/>
      <w:numFmt w:val="decimal"/>
      <w:start w:val="4"/>
    </w:lvl>
  </w:abstractNum>
  <w:abstractNum w:abstractNumId="83">
    <w:nsid w:val="7DE67713"/>
    <w:multiLevelType w:val="hybridMultilevel"/>
    <w:lvl w:ilvl="0">
      <w:lvlJc w:val="left"/>
      <w:lvlText w:val="(%1)"/>
      <w:numFmt w:val="upperLetter"/>
      <w:start w:val="2"/>
    </w:lvl>
    <w:lvl w:ilvl="1">
      <w:lvlJc w:val="left"/>
      <w:lvlText w:val="%2."/>
      <w:numFmt w:val="decimal"/>
      <w:start w:val="9"/>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2"/>
    </w:lvl>
  </w:abstractNum>
  <w:abstractNum w:abstractNumId="88">
    <w:nsid w:val="71C91298"/>
    <w:multiLevelType w:val="hybridMultilevel"/>
    <w:lvl w:ilvl="0">
      <w:lvlJc w:val="left"/>
      <w:lvlText w:val="%1."/>
      <w:numFmt w:val="decimal"/>
      <w:start w:val="3"/>
    </w:lvl>
  </w:abstractNum>
  <w:abstractNum w:abstractNumId="89">
    <w:nsid w:val="9DAF632"/>
    <w:multiLevelType w:val="hybridMultilevel"/>
    <w:lvl w:ilvl="0">
      <w:lvlJc w:val="left"/>
      <w:lvlText w:val="%1."/>
      <w:numFmt w:val="decimal"/>
      <w:start w:val="4"/>
    </w:lvl>
  </w:abstractNum>
  <w:abstractNum w:abstractNumId="90">
    <w:nsid w:val="53299938"/>
    <w:multiLevelType w:val="hybridMultilevel"/>
    <w:lvl w:ilvl="0">
      <w:lvlJc w:val="left"/>
      <w:lvlText w:val="%1."/>
      <w:numFmt w:val="decimal"/>
      <w:start w:val="5"/>
    </w:lvl>
  </w:abstractNum>
  <w:abstractNum w:abstractNumId="91">
    <w:nsid w:val="1FBFE8E0"/>
    <w:multiLevelType w:val="hybridMultilevel"/>
    <w:lvl w:ilvl="0">
      <w:lvlJc w:val="left"/>
      <w:lvlText w:val="%1."/>
      <w:numFmt w:val="decimal"/>
      <w:start w:val="6"/>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decimal"/>
      <w:start w:val="7"/>
    </w:lvl>
  </w:abstractNum>
  <w:abstractNum w:abstractNumId="94">
    <w:nsid w:val="59ADEA3D"/>
    <w:multiLevelType w:val="hybridMultilevel"/>
    <w:lvl w:ilvl="0">
      <w:lvlJc w:val="left"/>
      <w:lvlText w:val="%1."/>
      <w:numFmt w:val="decimal"/>
      <w:start w:val="8"/>
    </w:lvl>
  </w:abstractNum>
  <w:abstractNum w:abstractNumId="95">
    <w:nsid w:val="288F1A34"/>
    <w:multiLevelType w:val="hybridMultilevel"/>
    <w:lvl w:ilvl="0">
      <w:lvlJc w:val="left"/>
      <w:lvlText w:val="%1"/>
      <w:numFmt w:val="decimal"/>
      <w:start w:val="1"/>
    </w:lvl>
    <w:lvl w:ilvl="1">
      <w:lvlJc w:val="left"/>
      <w:lvlText w:val="(%2)"/>
      <w:numFmt w:val="lowerLetter"/>
      <w:start w:val="1"/>
    </w:lvl>
  </w:abstractNum>
  <w:abstractNum w:abstractNumId="96">
    <w:nsid w:val="2A155DBC"/>
    <w:multiLevelType w:val="hybridMultilevel"/>
    <w:lvl w:ilvl="0">
      <w:lvlJc w:val="left"/>
      <w:lvlText w:val="%1."/>
      <w:numFmt w:val="decimal"/>
      <w:start w:val="9"/>
    </w:lvl>
    <w:lvl w:ilvl="1">
      <w:lvlJc w:val="left"/>
      <w:lvlText w:val="%2"/>
      <w:numFmt w:val="lowerLetter"/>
      <w:start w:val="1"/>
    </w:lvl>
  </w:abstractNum>
  <w:abstractNum w:abstractNumId="97">
    <w:nsid w:val="1D9F6E5F"/>
    <w:multiLevelType w:val="hybridMultilevel"/>
    <w:lvl w:ilvl="0">
      <w:lvlJc w:val="left"/>
      <w:lvlText w:val="%1."/>
      <w:numFmt w:val="decimal"/>
      <w:start w:val="10"/>
    </w:lvl>
  </w:abstractNum>
  <w:abstractNum w:abstractNumId="98">
    <w:nsid w:val="97E1B4E"/>
    <w:multiLevelType w:val="hybridMultilevel"/>
    <w:lvl w:ilvl="0">
      <w:lvlJc w:val="left"/>
      <w:lvlText w:val="%1."/>
      <w:numFmt w:val="decimal"/>
      <w:start w:val="1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decimal"/>
      <w:start w:val="12"/>
    </w:lvl>
  </w:abstractNum>
  <w:abstractNum w:abstractNumId="101">
    <w:nsid w:val="53584BCB"/>
    <w:multiLevelType w:val="hybridMultilevel"/>
    <w:lvl w:ilvl="0">
      <w:lvlJc w:val="left"/>
      <w:lvlText w:val="%1."/>
      <w:numFmt w:val="decimal"/>
      <w:start w:val="13"/>
    </w:lvl>
  </w:abstractNum>
  <w:abstractNum w:abstractNumId="102">
    <w:nsid w:val="415E286C"/>
    <w:multiLevelType w:val="hybridMultilevel"/>
    <w:lvl w:ilvl="0">
      <w:lvlJc w:val="left"/>
      <w:lvlText w:val="%1."/>
      <w:numFmt w:val="decimal"/>
      <w:start w:val="14"/>
    </w:lvl>
  </w:abstractNum>
  <w:abstractNum w:abstractNumId="103">
    <w:nsid w:val="7C58FD05"/>
    <w:multiLevelType w:val="hybridMultilevel"/>
    <w:lvl w:ilvl="0">
      <w:lvlJc w:val="left"/>
      <w:lvlText w:val="%1."/>
      <w:numFmt w:val="decimal"/>
      <w:start w:val="15"/>
    </w:lvl>
  </w:abstractNum>
  <w:abstractNum w:abstractNumId="104">
    <w:nsid w:val="23D86AAC"/>
    <w:multiLevelType w:val="hybridMultilevel"/>
    <w:lvl w:ilvl="0">
      <w:lvlJc w:val="left"/>
      <w:lvlText w:val="%1."/>
      <w:numFmt w:val="decimal"/>
      <w:start w:val="16"/>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decimal"/>
      <w:start w:val="17"/>
    </w:lvl>
  </w:abstractNum>
  <w:abstractNum w:abstractNumId="107">
    <w:nsid w:val="E7FFA2B"/>
    <w:multiLevelType w:val="hybridMultilevel"/>
    <w:lvl w:ilvl="0">
      <w:lvlJc w:val="left"/>
      <w:lvlText w:val="%1."/>
      <w:numFmt w:val="decimal"/>
      <w:start w:val="18"/>
    </w:lvl>
  </w:abstractNum>
  <w:abstractNum w:abstractNumId="108">
    <w:nsid w:val="3C5991AA"/>
    <w:multiLevelType w:val="hybridMultilevel"/>
    <w:lvl w:ilvl="0">
      <w:lvlJc w:val="left"/>
      <w:lvlText w:val="%1."/>
      <w:numFmt w:val="decimal"/>
      <w:start w:val="19"/>
    </w:lvl>
  </w:abstractNum>
  <w:abstractNum w:abstractNumId="109">
    <w:nsid w:val="4BD8591A"/>
    <w:multiLevelType w:val="hybridMultilevel"/>
    <w:lvl w:ilvl="0">
      <w:lvlJc w:val="left"/>
      <w:lvlText w:val="%1."/>
      <w:numFmt w:val="decimal"/>
      <w:start w:val="20"/>
    </w:lvl>
  </w:abstractNum>
  <w:abstractNum w:abstractNumId="110">
    <w:nsid w:val="78DF6A55"/>
    <w:multiLevelType w:val="hybridMultilevel"/>
    <w:lvl w:ilvl="0">
      <w:lvlJc w:val="left"/>
      <w:lvlText w:val="(%1)"/>
      <w:numFmt w:val="lowerLetter"/>
      <w:start w:val="1"/>
    </w:lvl>
  </w:abstractNum>
  <w:abstractNum w:abstractNumId="111">
    <w:nsid w:val="39B7AAA2"/>
    <w:multiLevelType w:val="hybridMultilevel"/>
    <w:lvl w:ilvl="0">
      <w:lvlJc w:val="left"/>
      <w:lvlText w:val="%1"/>
      <w:numFmt w:val="decimal"/>
      <w:start w:val="1"/>
    </w:lvl>
    <w:lvl w:ilvl="1">
      <w:lvlJc w:val="left"/>
      <w:lvlText w:val="(%2)"/>
      <w:numFmt w:val="lowerLetter"/>
      <w:start w:val="4"/>
    </w:lvl>
  </w:abstractNum>
  <w:abstractNum w:abstractNumId="112">
    <w:nsid w:val="2B0D8DBE"/>
    <w:multiLevelType w:val="hybridMultilevel"/>
    <w:lvl w:ilvl="0">
      <w:lvlJc w:val="left"/>
      <w:lvlText w:val="%1."/>
      <w:numFmt w:val="decimal"/>
      <w:start w:val="21"/>
    </w:lvl>
    <w:lvl w:ilvl="1">
      <w:lvlJc w:val="left"/>
      <w:lvlText w:val="%2"/>
      <w:numFmt w:val="lowerLetter"/>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3"/>
    </w:lvl>
  </w:abstractNum>
  <w:abstractNum w:abstractNumId="115">
    <w:nsid w:val="69E373"/>
    <w:multiLevelType w:val="hybridMultilevel"/>
    <w:lvl w:ilvl="0">
      <w:lvlJc w:val="left"/>
      <w:lvlText w:val="%1."/>
      <w:numFmt w:val="decimal"/>
      <w:start w:val="22"/>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91" Type="http://schemas.openxmlformats.org/officeDocument/2006/relationships/image" Target="media/image120.png"/><Relationship Id="rId192" Type="http://schemas.openxmlformats.org/officeDocument/2006/relationships/image" Target="media/image121.png"/><Relationship Id="rId193" Type="http://schemas.openxmlformats.org/officeDocument/2006/relationships/image" Target="media/image122.png"/><Relationship Id="rId194" Type="http://schemas.openxmlformats.org/officeDocument/2006/relationships/image" Target="media/image123.png"/><Relationship Id="rId195" Type="http://schemas.openxmlformats.org/officeDocument/2006/relationships/image" Target="media/image124.png"/><Relationship Id="rId196" Type="http://schemas.openxmlformats.org/officeDocument/2006/relationships/image" Target="media/image125.png"/><Relationship Id="rId197" Type="http://schemas.openxmlformats.org/officeDocument/2006/relationships/image" Target="media/image126.png"/><Relationship Id="rId198" Type="http://schemas.openxmlformats.org/officeDocument/2006/relationships/image" Target="media/image127.png"/><Relationship Id="rId199" Type="http://schemas.openxmlformats.org/officeDocument/2006/relationships/image" Target="media/image128.png"/><Relationship Id="rId200" Type="http://schemas.openxmlformats.org/officeDocument/2006/relationships/image" Target="media/image129.png"/><Relationship Id="rId201" Type="http://schemas.openxmlformats.org/officeDocument/2006/relationships/image" Target="media/image130.png"/><Relationship Id="rId202" Type="http://schemas.openxmlformats.org/officeDocument/2006/relationships/image" Target="media/image131.png"/><Relationship Id="rId203" Type="http://schemas.openxmlformats.org/officeDocument/2006/relationships/image" Target="media/image132.png"/><Relationship Id="rId121" Type="http://schemas.openxmlformats.org/officeDocument/2006/relationships/hyperlink" Target="http://www.sec.gov/Archives/edgar/data/1434621/000104746908008622/a2187113zex-2_1.htm" TargetMode="External"/><Relationship Id="rId122" Type="http://schemas.openxmlformats.org/officeDocument/2006/relationships/hyperlink" Target="http://www.sec.gov/Archives/edgar/data/1434621/000110465908054882/a08-22125_1ex10d2.htm" TargetMode="External"/><Relationship Id="rId123" Type="http://schemas.openxmlformats.org/officeDocument/2006/relationships/hyperlink" Target="http://www.sec.gov/Archives/edgar/data/1434621/000110465908054882/a08-22125_1ex10d3.htm" TargetMode="External"/><Relationship Id="rId124" Type="http://schemas.openxmlformats.org/officeDocument/2006/relationships/hyperlink" Target="http://www.sec.gov/Archives/edgar/data/1434621/000110465908054882/a08-22125_1ex10d4.htm" TargetMode="External"/><Relationship Id="rId125" Type="http://schemas.openxmlformats.org/officeDocument/2006/relationships/hyperlink" Target="http://www.sec.gov/Archives/edgar/data/1434621/000110465908054882/a08-22125_1ex10d6.htm" TargetMode="External"/><Relationship Id="rId126" Type="http://schemas.openxmlformats.org/officeDocument/2006/relationships/hyperlink" Target="http://www.sec.gov/Archives/edgar/data/1434621/000110465910058747/a10-21366_1ex2d1.htm" TargetMode="External"/><Relationship Id="rId127" Type="http://schemas.openxmlformats.org/officeDocument/2006/relationships/hyperlink" Target="http://www.sec.gov/Archives/edgar/data/1434621/000110465911015602/a11-8401_1ex2d1.htm" TargetMode="External"/><Relationship Id="rId128" Type="http://schemas.openxmlformats.org/officeDocument/2006/relationships/hyperlink" Target="http://www.sec.gov/Archives/edgar/data/1434621/000110465911015602/a11-8401_1ex2d2.htm" TargetMode="External"/><Relationship Id="rId131" Type="http://schemas.openxmlformats.org/officeDocument/2006/relationships/hyperlink" Target="http://www.sec.gov/Archives/edgar/data/1434621/000110465911029396/a11-12364_1ex2d1.htm" TargetMode="External"/><Relationship Id="rId132" Type="http://schemas.openxmlformats.org/officeDocument/2006/relationships/hyperlink" Target="http://www.sec.gov/Archives/edgar/data/1434621/000110465911052643/a11-26750_1ex2d1.htm" TargetMode="External"/><Relationship Id="rId133" Type="http://schemas.openxmlformats.org/officeDocument/2006/relationships/hyperlink" Target="http://www.sec.gov/Archives/edgar/data/1434621/000110465912007840/a12-4544_1ex2d1.htm" TargetMode="External"/><Relationship Id="rId134" Type="http://schemas.openxmlformats.org/officeDocument/2006/relationships/hyperlink" Target="http://www.sec.gov/Archives/edgar/data/1434621/000143462116000102/ex21ironhorsepurchaseagree.htm" TargetMode="External"/><Relationship Id="rId135" Type="http://schemas.openxmlformats.org/officeDocument/2006/relationships/hyperlink" Target="http://www.sec.gov/Archives/edgar/data/1355096/000110465917066108/a17-25170_1ex99d7d.htm" TargetMode="External"/><Relationship Id="rId136" Type="http://schemas.openxmlformats.org/officeDocument/2006/relationships/hyperlink" Target="http://www.sec.gov/Archives/edgar/data/1434621/000143462118000036/exhibit21-quotewizardpurch.htm" TargetMode="External"/><Relationship Id="rId137" Type="http://schemas.openxmlformats.org/officeDocument/2006/relationships/hyperlink" Target="http://www.sec.gov/Archives/edgar/data/1434621/000143462118000054/exhibit21-valuepenguinpurc.htm" TargetMode="External"/><Relationship Id="rId138" Type="http://schemas.openxmlformats.org/officeDocument/2006/relationships/hyperlink" Target="http://www.sec.gov/Archives/edgar/data/1434621/000110465908054882/a08-22125_1ex3d1.htm" TargetMode="External"/><Relationship Id="rId139" Type="http://schemas.openxmlformats.org/officeDocument/2006/relationships/hyperlink" Target="http://www.sec.gov/Archives/edgar/data/1434621/000143462117000080/fourthamendedandrestatedby.htm" TargetMode="External"/><Relationship Id="rId140" Type="http://schemas.openxmlformats.org/officeDocument/2006/relationships/hyperlink" Target="http://www.sec.gov/Archives/edgar/data/891103/000104746903023716/a2111938zex-99_4.htm" TargetMode="External"/><Relationship Id="rId141" Type="http://schemas.openxmlformats.org/officeDocument/2006/relationships/hyperlink" Target="http://www.sec.gov/Archives/edgar/data/1434621/000110465908054882/a08-22125_1ex10d5.htm" TargetMode="External"/><Relationship Id="rId142" Type="http://schemas.openxmlformats.org/officeDocument/2006/relationships/hyperlink" Target="http://www.sec.gov/Archives/edgar/data/1434621/000143462117000036/exhibit41-indenture.htm" TargetMode="External"/><Relationship Id="rId143" Type="http://schemas.openxmlformats.org/officeDocument/2006/relationships/hyperlink" Target="http://www.sec.gov/Archives/edgar/data/1434621/000143462117000036/exhibit991-purchaseagreeme.htm" TargetMode="External"/><Relationship Id="rId144" Type="http://schemas.openxmlformats.org/officeDocument/2006/relationships/hyperlink" Target="http://www.sec.gov/Archives/edgar/data/1434621/000143462117000036/exhibit994-basewarrantconf.htm" TargetMode="External"/><Relationship Id="rId145" Type="http://schemas.openxmlformats.org/officeDocument/2006/relationships/hyperlink" Target="http://www.sec.gov/Archives/edgar/data/1434621/000143462117000036/exhibit995-additionalwarra.htm" TargetMode="External"/><Relationship Id="rId146" Type="http://schemas.openxmlformats.org/officeDocument/2006/relationships/hyperlink" Target="https://www.sec.gov/Archives/edgar/data/1434621/000143462120000015/tree-12312019xex47.htm" TargetMode="External"/><Relationship Id="rId147" Type="http://schemas.openxmlformats.org/officeDocument/2006/relationships/hyperlink" Target="https://www.sec.gov/Archives/edgar/data/1434621/000095010320014161/dp132751_ex0401.htm" TargetMode="External"/><Relationship Id="rId148" Type="http://schemas.openxmlformats.org/officeDocument/2006/relationships/hyperlink" Target="https://www.sec.gov/Archives/edgar/data/1434621/000143462117000078/tree-2017930x10qexx103.htm" TargetMode="External"/><Relationship Id="rId151" Type="http://schemas.openxmlformats.org/officeDocument/2006/relationships/hyperlink" Target="http://www.sec.gov/Archives/edgar/data/1434621/000104746913003755/a2213996zex-10_112.htm" TargetMode="External"/><Relationship Id="rId152" Type="http://schemas.openxmlformats.org/officeDocument/2006/relationships/hyperlink" Target="http://www.sec.gov/Archives/edgar/data/1434621/000143462115000024/tree-letteragreementexx101.htm" TargetMode="External"/><Relationship Id="rId153" Type="http://schemas.openxmlformats.org/officeDocument/2006/relationships/hyperlink" Target="http://www.sec.gov/Archives/edgar/data/1434621/000143462116000052/tree-12312015xex106.htm" TargetMode="External"/><Relationship Id="rId154" Type="http://schemas.openxmlformats.org/officeDocument/2006/relationships/hyperlink" Target="http://www.sec.gov/Archives/edgar/data/1434621/000143462117000039/exhibit43a-fifthamendedand.htm" TargetMode="External"/><Relationship Id="rId155" Type="http://schemas.openxmlformats.org/officeDocument/2006/relationships/hyperlink" Target="http://www.sec.gov/Archives/edgar/data/1434621/000110465909020996/a09-8855_1ex10d6.htm" TargetMode="External"/><Relationship Id="rId156" Type="http://schemas.openxmlformats.org/officeDocument/2006/relationships/hyperlink" Target="http://www.sec.gov/Archives/edgar/data/1434621/000143462114000030/ex103-noticeofrsuaward.htm" TargetMode="External"/><Relationship Id="rId157" Type="http://schemas.openxmlformats.org/officeDocument/2006/relationships/hyperlink" Target="http://www.sec.gov/Archives/edgar/data/1434621/000143462114000030/ex104-noticeofrsaward.htm" TargetMode="External"/><Relationship Id="rId158" Type="http://schemas.openxmlformats.org/officeDocument/2006/relationships/hyperlink" Target="http://www.sec.gov/Archives/edgar/data/1434621/000143462114000030/ex105-noticeofoptionaward.htm" TargetMode="External"/><Relationship Id="rId159" Type="http://schemas.openxmlformats.org/officeDocument/2006/relationships/hyperlink" Target="http://www.sec.gov/Archives/edgar/data/1434621/000143462117000039/exhibit44a-2017inducementg.htm" TargetMode="External"/><Relationship Id="rId160" Type="http://schemas.openxmlformats.org/officeDocument/2006/relationships/hyperlink" Target="http://www.sec.gov/Archives/edgar/data/1434621/000143462117000039/exhibit44b-formofnoticeofr.htm" TargetMode="External"/><Relationship Id="rId161" Type="http://schemas.openxmlformats.org/officeDocument/2006/relationships/hyperlink" Target="http://www.sec.gov/Archives/edgar/data/1434621/000143462117000039/exhibit44c-formofnoticeofr.htm" TargetMode="External"/><Relationship Id="rId162" Type="http://schemas.openxmlformats.org/officeDocument/2006/relationships/hyperlink" Target="http://www.sec.gov/Archives/edgar/data/1434621/000143462117000039/exhibit44d-formofnoticeofs.htm" TargetMode="External"/><Relationship Id="rId163" Type="http://schemas.openxmlformats.org/officeDocument/2006/relationships/hyperlink" Target="http://www.sec.gov/Archives/edgar/data/1434621/000143462115000024/tree-deferredcompplanbodex.htm" TargetMode="External"/><Relationship Id="rId164" Type="http://schemas.openxmlformats.org/officeDocument/2006/relationships/hyperlink" Target="http://www.sec.gov/Archives/edgar/data/1434621/000104746908008622/a2187113zex-10_15.htm" TargetMode="External"/><Relationship Id="rId165" Type="http://schemas.openxmlformats.org/officeDocument/2006/relationships/hyperlink" Target="http://www.sec.gov/Archives/edgar/data/1434621/000110465911004845/a11-5223_1ex10d2.htm" TargetMode="External"/><Relationship Id="rId166" Type="http://schemas.openxmlformats.org/officeDocument/2006/relationships/hyperlink" Target="http://www.sec.gov/Archives/edgar/data/1434621/000104746912007188/a2209872zex-10_86b.htm" TargetMode="External"/><Relationship Id="rId167" Type="http://schemas.openxmlformats.org/officeDocument/2006/relationships/hyperlink" Target="http://www.sec.gov/Archives/edgar/data/1434621/000104746912007188/a2209872zex-10_86c.htm" TargetMode="External"/><Relationship Id="rId168" Type="http://schemas.openxmlformats.org/officeDocument/2006/relationships/hyperlink" Target="http://www.sec.gov/Archives/edgar/data/1434621/000104746912007188/a2209872zex-10_86d.htm" TargetMode="External"/><Relationship Id="rId169" Type="http://schemas.openxmlformats.org/officeDocument/2006/relationships/hyperlink" Target="http://www.sec.gov/Archives/edgar/data/1434621/000104746910005187/a2198626zex-10_13.htm" TargetMode="External"/><Relationship Id="rId170" Type="http://schemas.openxmlformats.org/officeDocument/2006/relationships/hyperlink" Target="http://www.sec.gov/Archives/edgar/data/1434621/000143462117000036/exhibit992-formofbasebondh.htm" TargetMode="External"/><Relationship Id="rId171" Type="http://schemas.openxmlformats.org/officeDocument/2006/relationships/hyperlink" Target="http://www.sec.gov/Archives/edgar/data/1434621/000143462117000036/exhibit993-additionalbondh.htm" TargetMode="External"/><Relationship Id="rId172" Type="http://schemas.openxmlformats.org/officeDocument/2006/relationships/hyperlink" Target="http://www.sec.gov/Archives/edgar/data/1434621/000143462118000006/tree-12312017xex1038.htm" TargetMode="External"/><Relationship Id="rId173" Type="http://schemas.openxmlformats.org/officeDocument/2006/relationships/hyperlink" Target="http://www.sec.gov/Archives/edgar/data/1434621/000143462119000014/tree-12312018xex1030.htm" TargetMode="External"/><Relationship Id="rId176" Type="http://schemas.openxmlformats.org/officeDocument/2006/relationships/hyperlink" Target="http://www.sec.gov/Archives/edgar/data/1434621/000143462117000017/tree-12312016xex1031.htm" TargetMode="External"/><Relationship Id="rId177" Type="http://schemas.openxmlformats.org/officeDocument/2006/relationships/hyperlink" Target="http://www.sec.gov/Archives/edgar/data/1434621/000143462117000017/tree-12312016xex1032.htm" TargetMode="External"/><Relationship Id="rId178" Type="http://schemas.openxmlformats.org/officeDocument/2006/relationships/hyperlink" Target="http://www.sec.gov/Archives/edgar/data/1434621/000143462118000017/tree-2018331x10qexx101.htm" TargetMode="External"/><Relationship Id="rId179" Type="http://schemas.openxmlformats.org/officeDocument/2006/relationships/hyperlink" Target="http://www.sec.gov/Archives/edgar/data/1434621/000143462118000017/tree-2018331x10qexx102.htm" TargetMode="External"/><Relationship Id="rId180" Type="http://schemas.openxmlformats.org/officeDocument/2006/relationships/hyperlink" Target="http://www.sec.gov/Archives/edgar/data/1434621/000095010319017167/dp117607_ex9901.htm" TargetMode="External"/><Relationship Id="rId181" Type="http://schemas.openxmlformats.org/officeDocument/2006/relationships/hyperlink" Target="http://www.sec.gov/Archives/edgar/data/1434621/000143462119000055/exhibit43a-sixthamendedand.htm" TargetMode="External"/><Relationship Id="rId182" Type="http://schemas.openxmlformats.org/officeDocument/2006/relationships/hyperlink" Target="https://www.sec.gov/Archives/edgar/data/1434621/000143462120000030/tree-2020630x10qexx101.htm" TargetMode="External"/><Relationship Id="rId183" Type="http://schemas.openxmlformats.org/officeDocument/2006/relationships/hyperlink" Target="https://www.sec.gov/Archives/edgar/data/1434621/000143462120000030/tree-2020630x10qexx102.htm" TargetMode="External"/><Relationship Id="rId184" Type="http://schemas.openxmlformats.org/officeDocument/2006/relationships/hyperlink" Target="https://www.sec.gov/Archives/edgar/data/1434621/000143462120000030/tree-2020630x10qexx103.htm" TargetMode="External"/><Relationship Id="rId185" Type="http://schemas.openxmlformats.org/officeDocument/2006/relationships/hyperlink" Target="https://www.sec.gov/Archives/edgar/data/1434621/000143462120000030/tree-2020630x10qexx104.htm" TargetMode="External"/><Relationship Id="rId186" Type="http://schemas.openxmlformats.org/officeDocument/2006/relationships/hyperlink" Target="https://www.sec.gov/Archives/edgar/data/1434621/000095010320014161/dp132751_ex9901.htm" TargetMode="External"/><Relationship Id="rId187" Type="http://schemas.openxmlformats.org/officeDocument/2006/relationships/hyperlink" Target="https://www.sec.gov/Archives/edgar/data/1434621/000095010320014161/dp132751_ex9902.htm" TargetMode="External"/><Relationship Id="rId188" Type="http://schemas.openxmlformats.org/officeDocument/2006/relationships/hyperlink" Target="https://www.sec.gov/Archives/edgar/data/1434621/000095010320014161/dp132751_ex9903.htm" TargetMode="External"/><Relationship Id="rId189" Type="http://schemas.openxmlformats.org/officeDocument/2006/relationships/hyperlink" Target="https://www.sec.gov/Archives/edgar/data/1434621/000095010320014161/dp132751_ex9904.htm" TargetMode="External"/><Relationship Id="rId190" Type="http://schemas.openxmlformats.org/officeDocument/2006/relationships/hyperlink" Target="https://www.sec.gov/Archives/edgar/data/1434621/000095010320014161/dp132751_ex99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2021-03-01T06:58:59Z</dcterms:created>
  <dcterms:modified xsi:type="dcterms:W3CDTF">2021-03-01T06:58:59Z</dcterms:modified>
</cp:coreProperties>
</file>